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2D26C">
      <w:pPr>
        <w:ind w:left="-630" w:leftChars="-300" w:firstLine="208" w:firstLineChars="47"/>
        <w:rPr>
          <w:rFonts w:hint="eastAsia" w:ascii="宋体" w:hAnsi="宋体"/>
          <w:b/>
          <w:kern w:val="0"/>
          <w:sz w:val="44"/>
          <w:szCs w:val="44"/>
        </w:rPr>
      </w:pPr>
    </w:p>
    <w:p w14:paraId="47270DAF">
      <w:pPr>
        <w:ind w:left="-630" w:leftChars="-300" w:firstLine="208" w:firstLineChars="47"/>
        <w:rPr>
          <w:rFonts w:ascii="宋体" w:hAnsi="宋体"/>
          <w:b/>
          <w:kern w:val="0"/>
          <w:sz w:val="44"/>
          <w:szCs w:val="44"/>
        </w:rPr>
      </w:pPr>
    </w:p>
    <w:p w14:paraId="484461CF">
      <w:pPr>
        <w:ind w:left="-630" w:leftChars="-300" w:firstLine="208" w:firstLineChars="47"/>
        <w:rPr>
          <w:rFonts w:ascii="宋体" w:hAnsi="宋体"/>
          <w:b/>
          <w:kern w:val="0"/>
          <w:sz w:val="44"/>
          <w:szCs w:val="44"/>
        </w:rPr>
      </w:pPr>
    </w:p>
    <w:p w14:paraId="3910E30C">
      <w:pPr>
        <w:ind w:left="-630" w:leftChars="-300" w:firstLine="208" w:firstLineChars="47"/>
        <w:rPr>
          <w:rFonts w:hint="eastAsia" w:ascii="宋体" w:hAnsi="宋体"/>
          <w:b/>
          <w:kern w:val="0"/>
          <w:sz w:val="44"/>
          <w:szCs w:val="44"/>
        </w:rPr>
      </w:pPr>
    </w:p>
    <w:p w14:paraId="535A7D8C">
      <w:pPr>
        <w:jc w:val="center"/>
        <w:rPr>
          <w:rFonts w:ascii="宋体" w:hAnsi="宋体"/>
          <w:b/>
          <w:spacing w:val="-20"/>
          <w:kern w:val="0"/>
          <w:sz w:val="48"/>
          <w:szCs w:val="48"/>
        </w:rPr>
      </w:pPr>
      <w:r>
        <w:rPr>
          <w:rFonts w:hint="eastAsia" w:ascii="宋体" w:hAnsi="宋体"/>
          <w:b/>
          <w:kern w:val="0"/>
          <w:sz w:val="48"/>
          <w:szCs w:val="48"/>
        </w:rPr>
        <w:t>周口市公共资源交易中心政府采购中心</w:t>
      </w:r>
    </w:p>
    <w:p w14:paraId="36C8E2A6">
      <w:pPr>
        <w:jc w:val="center"/>
        <w:rPr>
          <w:rFonts w:ascii="宋体" w:hAnsi="宋体"/>
          <w:spacing w:val="70"/>
          <w:w w:val="64"/>
          <w:kern w:val="0"/>
          <w:sz w:val="48"/>
          <w:szCs w:val="48"/>
        </w:rPr>
      </w:pPr>
    </w:p>
    <w:p w14:paraId="782ECC9B">
      <w:pPr>
        <w:rPr>
          <w:rFonts w:ascii="宋体" w:hAnsi="宋体"/>
          <w:spacing w:val="70"/>
          <w:w w:val="64"/>
          <w:kern w:val="0"/>
          <w:sz w:val="48"/>
          <w:szCs w:val="48"/>
        </w:rPr>
      </w:pPr>
      <w:r>
        <w:rPr>
          <w:rFonts w:hint="eastAsia" w:ascii="宋体" w:hAnsi="宋体"/>
          <w:spacing w:val="70"/>
          <w:w w:val="64"/>
          <w:kern w:val="0"/>
          <w:sz w:val="48"/>
          <w:szCs w:val="48"/>
        </w:rPr>
        <w:t xml:space="preserve">              </w:t>
      </w:r>
    </w:p>
    <w:p w14:paraId="3F6A8AC6">
      <w:pPr>
        <w:rPr>
          <w:rFonts w:ascii="宋体" w:hAnsi="宋体"/>
        </w:rPr>
      </w:pPr>
    </w:p>
    <w:p w14:paraId="792E2A34">
      <w:pPr>
        <w:jc w:val="center"/>
        <w:rPr>
          <w:rFonts w:hint="eastAsia" w:ascii="宋体" w:hAnsi="宋体"/>
          <w:b/>
          <w:sz w:val="48"/>
          <w:szCs w:val="48"/>
        </w:rPr>
      </w:pPr>
      <w:r>
        <w:rPr>
          <w:rFonts w:hint="eastAsia" w:ascii="宋体" w:hAnsi="宋体"/>
          <w:b/>
          <w:sz w:val="48"/>
          <w:szCs w:val="48"/>
        </w:rPr>
        <w:t>单一来源通知书</w:t>
      </w:r>
    </w:p>
    <w:p w14:paraId="261DEDC5">
      <w:pPr>
        <w:rPr>
          <w:rFonts w:ascii="宋体" w:hAnsi="宋体"/>
        </w:rPr>
      </w:pPr>
    </w:p>
    <w:p w14:paraId="2EF1164A">
      <w:pPr>
        <w:rPr>
          <w:rFonts w:hint="eastAsia" w:ascii="宋体" w:hAnsi="宋体"/>
        </w:rPr>
      </w:pPr>
    </w:p>
    <w:p w14:paraId="21190BD9">
      <w:pPr>
        <w:rPr>
          <w:rFonts w:hint="eastAsia" w:ascii="宋体" w:hAnsi="宋体"/>
        </w:rPr>
      </w:pPr>
    </w:p>
    <w:p w14:paraId="29EDD3A4">
      <w:pPr>
        <w:rPr>
          <w:rFonts w:hint="eastAsia" w:ascii="宋体" w:hAnsi="宋体"/>
        </w:rPr>
      </w:pPr>
    </w:p>
    <w:p w14:paraId="6282AC4B">
      <w:pPr>
        <w:rPr>
          <w:rFonts w:hint="eastAsia" w:ascii="宋体" w:hAnsi="宋体"/>
        </w:rPr>
      </w:pPr>
    </w:p>
    <w:p w14:paraId="0A41E487">
      <w:pPr>
        <w:rPr>
          <w:rFonts w:hint="eastAsia" w:ascii="宋体" w:hAnsi="宋体"/>
          <w:sz w:val="32"/>
          <w:szCs w:val="32"/>
        </w:rPr>
      </w:pPr>
    </w:p>
    <w:p w14:paraId="4CA6EFD6">
      <w:pPr>
        <w:rPr>
          <w:rFonts w:hint="eastAsia" w:ascii="宋体" w:hAnsi="宋体"/>
          <w:sz w:val="32"/>
          <w:szCs w:val="32"/>
        </w:rPr>
      </w:pPr>
    </w:p>
    <w:p w14:paraId="6C6384EA">
      <w:pPr>
        <w:jc w:val="both"/>
        <w:rPr>
          <w:rFonts w:ascii="宋体" w:hAnsi="宋体"/>
          <w:color w:val="auto"/>
          <w:sz w:val="32"/>
          <w:szCs w:val="32"/>
          <w:highlight w:val="yellow"/>
        </w:rPr>
      </w:pPr>
      <w:r>
        <w:rPr>
          <w:rFonts w:hint="eastAsia" w:ascii="宋体" w:hAnsi="宋体"/>
          <w:color w:val="auto"/>
          <w:sz w:val="32"/>
          <w:szCs w:val="32"/>
          <w:lang w:val="en-US" w:eastAsia="zh-CN"/>
        </w:rPr>
        <w:t>项目</w:t>
      </w:r>
      <w:r>
        <w:rPr>
          <w:rFonts w:hint="eastAsia" w:ascii="宋体" w:hAnsi="宋体"/>
          <w:color w:val="auto"/>
          <w:sz w:val="32"/>
          <w:szCs w:val="32"/>
        </w:rPr>
        <w:t>编号：</w:t>
      </w:r>
      <w:r>
        <w:rPr>
          <w:rFonts w:hint="eastAsia" w:ascii="宋体" w:hAnsi="宋体"/>
          <w:color w:val="auto"/>
          <w:sz w:val="32"/>
          <w:szCs w:val="32"/>
          <w:lang w:eastAsia="zh-CN"/>
        </w:rPr>
        <w:t>项财单一采购-2025-1</w:t>
      </w:r>
      <w:r>
        <w:rPr>
          <w:rFonts w:hint="eastAsia" w:ascii="宋体" w:hAnsi="宋体"/>
          <w:color w:val="auto"/>
          <w:sz w:val="32"/>
          <w:szCs w:val="32"/>
          <w:lang w:val="en-US" w:eastAsia="zh-CN"/>
        </w:rPr>
        <w:t xml:space="preserve"> </w:t>
      </w:r>
    </w:p>
    <w:p w14:paraId="70BC3263">
      <w:pPr>
        <w:jc w:val="both"/>
        <w:rPr>
          <w:rFonts w:hint="default" w:ascii="宋体" w:hAnsi="宋体" w:eastAsia="宋体"/>
          <w:sz w:val="32"/>
          <w:szCs w:val="32"/>
          <w:lang w:val="en-US" w:eastAsia="zh-CN"/>
        </w:rPr>
      </w:pPr>
      <w:r>
        <w:rPr>
          <w:rFonts w:hint="eastAsia" w:ascii="宋体" w:hAnsi="宋体"/>
          <w:sz w:val="32"/>
          <w:szCs w:val="32"/>
        </w:rPr>
        <w:t>项目名称：</w:t>
      </w:r>
      <w:r>
        <w:rPr>
          <w:rFonts w:hint="eastAsia" w:ascii="宋体" w:hAnsi="宋体"/>
          <w:sz w:val="32"/>
          <w:szCs w:val="32"/>
          <w:lang w:eastAsia="zh-CN"/>
        </w:rPr>
        <w:t>项城市第二人民医院西门子CT更换球管采购项目</w:t>
      </w:r>
      <w:r>
        <w:rPr>
          <w:rFonts w:hint="eastAsia" w:ascii="宋体" w:hAnsi="宋体"/>
          <w:sz w:val="32"/>
          <w:szCs w:val="32"/>
          <w:lang w:val="en-US" w:eastAsia="zh-CN"/>
        </w:rPr>
        <w:t xml:space="preserve"> </w:t>
      </w:r>
    </w:p>
    <w:p w14:paraId="29062B18">
      <w:pPr>
        <w:jc w:val="center"/>
        <w:rPr>
          <w:rFonts w:ascii="宋体" w:hAnsi="宋体"/>
          <w:sz w:val="32"/>
          <w:szCs w:val="32"/>
        </w:rPr>
      </w:pPr>
    </w:p>
    <w:p w14:paraId="2388581E">
      <w:pPr>
        <w:rPr>
          <w:rFonts w:ascii="宋体" w:hAnsi="宋体"/>
          <w:sz w:val="32"/>
          <w:szCs w:val="32"/>
        </w:rPr>
      </w:pPr>
    </w:p>
    <w:p w14:paraId="6B81CB02">
      <w:pPr>
        <w:pStyle w:val="7"/>
        <w:tabs>
          <w:tab w:val="left" w:pos="1980"/>
        </w:tabs>
        <w:ind w:firstLine="0" w:firstLineChars="0"/>
        <w:rPr>
          <w:rFonts w:ascii="宋体" w:hAnsi="宋体"/>
          <w:sz w:val="32"/>
          <w:szCs w:val="32"/>
        </w:rPr>
      </w:pPr>
    </w:p>
    <w:p w14:paraId="12ECBB8B">
      <w:pPr>
        <w:rPr>
          <w:rFonts w:ascii="宋体" w:hAnsi="宋体"/>
          <w:sz w:val="32"/>
          <w:szCs w:val="32"/>
        </w:rPr>
      </w:pPr>
    </w:p>
    <w:p w14:paraId="4C90D17E">
      <w:pPr>
        <w:rPr>
          <w:rFonts w:hint="eastAsia" w:ascii="宋体" w:hAnsi="宋体"/>
          <w:sz w:val="32"/>
          <w:szCs w:val="32"/>
        </w:rPr>
      </w:pPr>
    </w:p>
    <w:p w14:paraId="73AC6A4A">
      <w:pPr>
        <w:pStyle w:val="14"/>
        <w:spacing w:line="240" w:lineRule="auto"/>
        <w:jc w:val="center"/>
        <w:rPr>
          <w:rFonts w:hint="eastAsia" w:hAnsi="宋体"/>
          <w:b/>
          <w:bCs/>
          <w:color w:val="auto"/>
          <w:sz w:val="32"/>
          <w:szCs w:val="32"/>
        </w:rPr>
      </w:pPr>
      <w:r>
        <w:rPr>
          <w:rFonts w:hint="eastAsia" w:hAnsi="宋体"/>
          <w:b/>
          <w:bCs/>
          <w:color w:val="FF0000"/>
          <w:sz w:val="32"/>
          <w:szCs w:val="32"/>
          <w:lang w:val="en-US" w:eastAsia="zh-CN"/>
        </w:rPr>
        <w:t xml:space="preserve"> </w:t>
      </w:r>
      <w:r>
        <w:rPr>
          <w:rFonts w:hint="eastAsia" w:hAnsi="宋体"/>
          <w:b/>
          <w:bCs/>
          <w:color w:val="auto"/>
          <w:sz w:val="32"/>
          <w:szCs w:val="32"/>
          <w:lang w:val="en-US" w:eastAsia="zh-CN"/>
        </w:rPr>
        <w:t xml:space="preserve"> 2025</w:t>
      </w:r>
      <w:r>
        <w:rPr>
          <w:rFonts w:hint="eastAsia" w:hAnsi="宋体"/>
          <w:b/>
          <w:bCs/>
          <w:color w:val="auto"/>
          <w:sz w:val="32"/>
          <w:szCs w:val="32"/>
        </w:rPr>
        <w:t>年</w:t>
      </w:r>
      <w:r>
        <w:rPr>
          <w:rFonts w:hint="eastAsia" w:hAnsi="宋体"/>
          <w:b/>
          <w:bCs/>
          <w:color w:val="auto"/>
          <w:sz w:val="32"/>
          <w:szCs w:val="32"/>
          <w:lang w:val="en-US" w:eastAsia="zh-CN"/>
        </w:rPr>
        <w:t>2</w:t>
      </w:r>
      <w:r>
        <w:rPr>
          <w:rFonts w:hint="eastAsia" w:hAnsi="宋体"/>
          <w:b/>
          <w:bCs/>
          <w:color w:val="auto"/>
          <w:sz w:val="32"/>
          <w:szCs w:val="32"/>
        </w:rPr>
        <w:t>月</w:t>
      </w:r>
      <w:r>
        <w:rPr>
          <w:rFonts w:hint="eastAsia" w:hAnsi="宋体"/>
          <w:b/>
          <w:bCs/>
          <w:color w:val="auto"/>
          <w:sz w:val="32"/>
          <w:szCs w:val="32"/>
          <w:lang w:val="en-US" w:eastAsia="zh-CN"/>
        </w:rPr>
        <w:t>26</w:t>
      </w:r>
      <w:r>
        <w:rPr>
          <w:rFonts w:hint="eastAsia" w:hAnsi="宋体"/>
          <w:b/>
          <w:bCs/>
          <w:color w:val="auto"/>
          <w:sz w:val="32"/>
          <w:szCs w:val="32"/>
        </w:rPr>
        <w:t>日</w:t>
      </w:r>
    </w:p>
    <w:p w14:paraId="11D11034">
      <w:pPr>
        <w:rPr>
          <w:rFonts w:hint="eastAsia" w:ascii="宋体" w:hAnsi="宋体"/>
        </w:rPr>
      </w:pPr>
    </w:p>
    <w:p w14:paraId="61AEB08E">
      <w:pPr>
        <w:rPr>
          <w:rFonts w:hint="eastAsia" w:ascii="宋体" w:hAnsi="宋体"/>
        </w:rPr>
      </w:pPr>
    </w:p>
    <w:p w14:paraId="7E382E6F">
      <w:pPr>
        <w:rPr>
          <w:rFonts w:hint="eastAsia" w:ascii="宋体" w:hAnsi="宋体"/>
        </w:rPr>
      </w:pPr>
    </w:p>
    <w:p w14:paraId="18FEB0CA">
      <w:pPr>
        <w:jc w:val="center"/>
        <w:rPr>
          <w:rFonts w:ascii="宋体" w:hAnsi="宋体"/>
          <w:b/>
          <w:bCs/>
          <w:sz w:val="36"/>
          <w:szCs w:val="36"/>
        </w:rPr>
      </w:pPr>
      <w:r>
        <w:rPr>
          <w:rFonts w:hint="eastAsia" w:ascii="宋体" w:hAnsi="宋体"/>
          <w:b/>
          <w:bCs/>
          <w:sz w:val="36"/>
          <w:szCs w:val="36"/>
        </w:rPr>
        <w:t>目  录</w:t>
      </w:r>
    </w:p>
    <w:p w14:paraId="0DEBC452">
      <w:pPr>
        <w:spacing w:line="680" w:lineRule="exact"/>
        <w:jc w:val="center"/>
        <w:rPr>
          <w:rFonts w:ascii="宋体" w:hAnsi="宋体"/>
          <w:b/>
          <w:bCs/>
          <w:sz w:val="28"/>
          <w:szCs w:val="28"/>
        </w:rPr>
      </w:pPr>
    </w:p>
    <w:p w14:paraId="7E713898">
      <w:pPr>
        <w:pStyle w:val="56"/>
        <w:tabs>
          <w:tab w:val="right" w:leader="dot" w:pos="8306"/>
        </w:tabs>
        <w:rPr>
          <w:rFonts w:hint="eastAsia" w:ascii="宋体" w:hAnsi="宋体" w:eastAsia="宋体" w:cs="宋体"/>
          <w:sz w:val="28"/>
          <w:szCs w:val="28"/>
        </w:rPr>
      </w:pPr>
      <w:bookmarkStart w:id="0" w:name="_Toc10401"/>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_Toc10707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单一来源邀请函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_Toc10707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8278C2">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_Toc343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CFBDC9D">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_Toc4707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采购内容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_Toc4707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174B70">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_Toc29538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_Toc29538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0A88176">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_Toc6870 </w:instrText>
      </w:r>
      <w:r>
        <w:rPr>
          <w:rFonts w:hint="eastAsia" w:ascii="宋体" w:hAnsi="宋体" w:eastAsia="宋体" w:cs="宋体"/>
          <w:sz w:val="28"/>
          <w:szCs w:val="28"/>
        </w:rPr>
        <w:fldChar w:fldCharType="separate"/>
      </w:r>
      <w:r>
        <w:rPr>
          <w:rFonts w:hint="eastAsia" w:ascii="宋体" w:hAnsi="宋体" w:eastAsia="宋体" w:cs="宋体"/>
          <w:sz w:val="28"/>
          <w:szCs w:val="28"/>
        </w:rPr>
        <w:t>附件一 报价表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_Toc6870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0E27AA">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_Toc30474 </w:instrText>
      </w:r>
      <w:r>
        <w:rPr>
          <w:rFonts w:hint="eastAsia" w:ascii="宋体" w:hAnsi="宋体" w:eastAsia="宋体" w:cs="宋体"/>
          <w:sz w:val="28"/>
          <w:szCs w:val="28"/>
        </w:rPr>
        <w:fldChar w:fldCharType="separate"/>
      </w:r>
      <w:r>
        <w:rPr>
          <w:rFonts w:hint="eastAsia" w:ascii="宋体" w:hAnsi="宋体" w:eastAsia="宋体" w:cs="宋体"/>
          <w:sz w:val="28"/>
          <w:szCs w:val="28"/>
        </w:rPr>
        <w:t>附件二 法定代表人</w:t>
      </w:r>
      <w:r>
        <w:rPr>
          <w:rFonts w:hint="eastAsia" w:ascii="宋体" w:hAnsi="宋体" w:eastAsia="宋体" w:cs="宋体"/>
          <w:sz w:val="28"/>
          <w:szCs w:val="28"/>
          <w:lang w:eastAsia="zh-CN"/>
        </w:rPr>
        <w:t>/负责人</w:t>
      </w:r>
      <w:r>
        <w:rPr>
          <w:rFonts w:hint="eastAsia" w:ascii="宋体" w:hAnsi="宋体" w:eastAsia="宋体" w:cs="宋体"/>
          <w:sz w:val="28"/>
          <w:szCs w:val="28"/>
        </w:rPr>
        <w:t>授权书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_Toc30474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E74870">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_Toc26244 </w:instrText>
      </w:r>
      <w:r>
        <w:rPr>
          <w:rFonts w:hint="eastAsia" w:ascii="宋体" w:hAnsi="宋体" w:eastAsia="宋体" w:cs="宋体"/>
          <w:sz w:val="28"/>
          <w:szCs w:val="28"/>
        </w:rPr>
        <w:fldChar w:fldCharType="separate"/>
      </w:r>
      <w:r>
        <w:rPr>
          <w:rFonts w:hint="eastAsia" w:ascii="宋体" w:hAnsi="宋体" w:eastAsia="宋体" w:cs="宋体"/>
          <w:sz w:val="28"/>
          <w:szCs w:val="28"/>
        </w:rPr>
        <w:t>附件三 资格证明文件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_Toc26244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A7C60F">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_Toc26887 </w:instrText>
      </w:r>
      <w:r>
        <w:rPr>
          <w:rFonts w:hint="eastAsia" w:ascii="宋体" w:hAnsi="宋体" w:eastAsia="宋体" w:cs="宋体"/>
          <w:sz w:val="28"/>
          <w:szCs w:val="28"/>
        </w:rPr>
        <w:fldChar w:fldCharType="separate"/>
      </w:r>
      <w:r>
        <w:rPr>
          <w:rFonts w:hint="eastAsia" w:ascii="宋体" w:hAnsi="宋体" w:eastAsia="宋体" w:cs="宋体"/>
          <w:smallCaps/>
          <w:kern w:val="0"/>
          <w:sz w:val="28"/>
          <w:szCs w:val="28"/>
          <w:lang w:val="en-US" w:eastAsia="zh-CN" w:bidi="ar-SA"/>
        </w:rPr>
        <w:t>附件四  周口市政府采购合同（服务类）标准文本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_Toc26887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FE6083">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_Toc22980 </w:instrText>
      </w:r>
      <w:r>
        <w:rPr>
          <w:rFonts w:hint="eastAsia" w:ascii="宋体" w:hAnsi="宋体" w:eastAsia="宋体" w:cs="宋体"/>
          <w:sz w:val="28"/>
          <w:szCs w:val="28"/>
        </w:rPr>
        <w:fldChar w:fldCharType="separate"/>
      </w:r>
      <w:r>
        <w:rPr>
          <w:rFonts w:hint="eastAsia" w:ascii="宋体" w:hAnsi="宋体" w:eastAsia="宋体" w:cs="宋体"/>
          <w:sz w:val="28"/>
          <w:szCs w:val="28"/>
        </w:rPr>
        <w:t>合同签订指引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_Toc22980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525916">
      <w:pPr>
        <w:pStyle w:val="5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_Toc1847 </w:instrText>
      </w:r>
      <w:r>
        <w:rPr>
          <w:rFonts w:hint="eastAsia" w:ascii="宋体" w:hAnsi="宋体" w:eastAsia="宋体" w:cs="宋体"/>
          <w:sz w:val="28"/>
          <w:szCs w:val="28"/>
        </w:rPr>
        <w:fldChar w:fldCharType="separate"/>
      </w:r>
      <w:r>
        <w:rPr>
          <w:rFonts w:hint="eastAsia" w:ascii="宋体" w:hAnsi="宋体" w:eastAsia="宋体" w:cs="宋体"/>
          <w:bCs/>
          <w:sz w:val="28"/>
          <w:szCs w:val="28"/>
        </w:rPr>
        <w:t>供应商履约验收指引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CC89F1">
      <w:pPr>
        <w:pStyle w:val="56"/>
        <w:tabs>
          <w:tab w:val="right" w:leader="dot" w:pos="8306"/>
        </w:tabs>
        <w:rPr>
          <w:rFonts w:hint="eastAsia" w:ascii="宋体" w:hAnsi="宋体" w:eastAsia="宋体" w:cs="宋体"/>
          <w:sz w:val="28"/>
          <w:szCs w:val="28"/>
        </w:rPr>
      </w:pPr>
    </w:p>
    <w:p w14:paraId="52FAC2B1">
      <w:pPr>
        <w:rPr>
          <w:rFonts w:hint="eastAsia" w:ascii="宋体" w:hAnsi="宋体" w:eastAsia="宋体" w:cs="宋体"/>
          <w:sz w:val="28"/>
          <w:szCs w:val="28"/>
        </w:rPr>
      </w:pPr>
      <w:r>
        <w:rPr>
          <w:rFonts w:hint="eastAsia" w:ascii="宋体" w:hAnsi="宋体" w:eastAsia="宋体" w:cs="宋体"/>
          <w:sz w:val="28"/>
          <w:szCs w:val="28"/>
        </w:rPr>
        <w:fldChar w:fldCharType="end"/>
      </w:r>
    </w:p>
    <w:p w14:paraId="235C58EC">
      <w:pPr>
        <w:pStyle w:val="2"/>
        <w:jc w:val="center"/>
        <w:rPr>
          <w:rFonts w:hint="eastAsia" w:ascii="宋体" w:eastAsia="宋体"/>
          <w:b/>
        </w:rPr>
      </w:pPr>
      <w:r>
        <w:rPr>
          <w:rFonts w:ascii="宋体"/>
        </w:rPr>
        <w:br w:type="page"/>
      </w:r>
      <w:bookmarkStart w:id="1" w:name="_Toc10707"/>
      <w:r>
        <w:rPr>
          <w:rFonts w:hint="eastAsia" w:ascii="宋体" w:eastAsia="宋体"/>
          <w:b/>
        </w:rPr>
        <w:t>第一章  单一来源邀请函</w:t>
      </w:r>
      <w:bookmarkEnd w:id="0"/>
      <w:bookmarkEnd w:id="1"/>
    </w:p>
    <w:p w14:paraId="07C522B4"/>
    <w:p w14:paraId="70AA6F07">
      <w:pPr>
        <w:ind w:firstLine="560" w:firstLineChars="200"/>
        <w:jc w:val="left"/>
        <w:rPr>
          <w:rFonts w:hint="eastAsia" w:ascii="宋体" w:hAnsi="宋体" w:eastAsia="宋体" w:cs="宋体"/>
          <w:i w:val="0"/>
          <w:iCs w:val="0"/>
          <w:sz w:val="28"/>
          <w:szCs w:val="28"/>
          <w:u w:val="none"/>
        </w:rPr>
      </w:pPr>
      <w:bookmarkStart w:id="2" w:name="_Toc28359089"/>
      <w:bookmarkStart w:id="3" w:name="_Toc28359012"/>
      <w:bookmarkStart w:id="4" w:name="_Toc35393798"/>
      <w:bookmarkStart w:id="5" w:name="_Toc35393629"/>
      <w:r>
        <w:rPr>
          <w:rFonts w:hint="eastAsia" w:ascii="宋体" w:hAnsi="宋体" w:eastAsia="宋体" w:cs="宋体"/>
          <w:i w:val="0"/>
          <w:iCs w:val="0"/>
          <w:sz w:val="28"/>
          <w:szCs w:val="28"/>
          <w:u w:val="none"/>
        </w:rPr>
        <w:t>一、项目基本情况</w:t>
      </w:r>
      <w:bookmarkEnd w:id="2"/>
      <w:bookmarkEnd w:id="3"/>
      <w:bookmarkEnd w:id="4"/>
      <w:bookmarkEnd w:id="5"/>
    </w:p>
    <w:p w14:paraId="570E0202">
      <w:pPr>
        <w:ind w:firstLine="560" w:firstLineChars="200"/>
        <w:jc w:val="left"/>
        <w:rPr>
          <w:rFonts w:hint="eastAsia" w:ascii="宋体" w:hAnsi="宋体" w:eastAsia="宋体" w:cs="宋体"/>
          <w:i w:val="0"/>
          <w:iCs w:val="0"/>
          <w:color w:val="auto"/>
          <w:sz w:val="28"/>
          <w:szCs w:val="28"/>
          <w:u w:val="none"/>
          <w:lang w:eastAsia="zh-CN"/>
        </w:rPr>
      </w:pPr>
      <w:r>
        <w:rPr>
          <w:rFonts w:hint="eastAsia" w:ascii="宋体" w:hAnsi="宋体" w:eastAsia="宋体" w:cs="宋体"/>
          <w:i w:val="0"/>
          <w:iCs w:val="0"/>
          <w:color w:val="auto"/>
          <w:sz w:val="28"/>
          <w:szCs w:val="28"/>
          <w:u w:val="none"/>
        </w:rPr>
        <w:t>项目编号：</w:t>
      </w:r>
      <w:r>
        <w:rPr>
          <w:rFonts w:hint="eastAsia" w:ascii="宋体" w:hAnsi="宋体" w:cs="宋体"/>
          <w:i w:val="0"/>
          <w:iCs w:val="0"/>
          <w:color w:val="auto"/>
          <w:sz w:val="28"/>
          <w:szCs w:val="28"/>
          <w:u w:val="none"/>
          <w:lang w:eastAsia="zh-CN"/>
        </w:rPr>
        <w:t>项财单一采购-2025-1</w:t>
      </w:r>
    </w:p>
    <w:p w14:paraId="4B2A01DC">
      <w:pPr>
        <w:ind w:firstLine="560" w:firstLineChars="200"/>
        <w:jc w:val="left"/>
        <w:rPr>
          <w:rFonts w:hint="eastAsia" w:ascii="宋体" w:hAnsi="宋体" w:eastAsia="宋体" w:cs="宋体"/>
          <w:i w:val="0"/>
          <w:iCs w:val="0"/>
          <w:sz w:val="28"/>
          <w:szCs w:val="28"/>
          <w:u w:val="none"/>
          <w:lang w:eastAsia="zh-CN"/>
        </w:rPr>
      </w:pPr>
      <w:r>
        <w:rPr>
          <w:rFonts w:hint="eastAsia" w:ascii="宋体" w:hAnsi="宋体" w:eastAsia="宋体" w:cs="宋体"/>
          <w:i w:val="0"/>
          <w:iCs w:val="0"/>
          <w:sz w:val="28"/>
          <w:szCs w:val="28"/>
          <w:u w:val="none"/>
        </w:rPr>
        <w:t>项目名称：</w:t>
      </w:r>
      <w:r>
        <w:rPr>
          <w:rFonts w:hint="eastAsia" w:ascii="宋体" w:hAnsi="宋体" w:cs="宋体"/>
          <w:i w:val="0"/>
          <w:iCs w:val="0"/>
          <w:sz w:val="28"/>
          <w:szCs w:val="28"/>
          <w:u w:val="none"/>
          <w:lang w:eastAsia="zh-CN"/>
        </w:rPr>
        <w:t>项城市第二人民医院西门子CT更换球管采购项目</w:t>
      </w:r>
    </w:p>
    <w:p w14:paraId="26462DD6">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采购方式：</w:t>
      </w:r>
      <w:r>
        <w:rPr>
          <w:rFonts w:hint="eastAsia" w:ascii="宋体" w:hAnsi="宋体" w:eastAsia="宋体" w:cs="宋体"/>
          <w:i w:val="0"/>
          <w:iCs w:val="0"/>
          <w:sz w:val="28"/>
          <w:szCs w:val="28"/>
          <w:u w:val="none"/>
          <w:lang w:val="en-US" w:eastAsia="zh-CN"/>
        </w:rPr>
        <w:t>单一来源</w:t>
      </w:r>
    </w:p>
    <w:p w14:paraId="59D2DA7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预算金额：</w:t>
      </w:r>
      <w:r>
        <w:rPr>
          <w:rFonts w:hint="eastAsia" w:ascii="宋体" w:hAnsi="宋体" w:cs="宋体"/>
          <w:i w:val="0"/>
          <w:iCs w:val="0"/>
          <w:sz w:val="28"/>
          <w:szCs w:val="28"/>
          <w:u w:val="none"/>
          <w:lang w:eastAsia="zh-CN"/>
        </w:rPr>
        <w:t>330000</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元</w:t>
      </w:r>
    </w:p>
    <w:p w14:paraId="0618EB6B">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最高限价：</w:t>
      </w:r>
      <w:r>
        <w:rPr>
          <w:rFonts w:hint="eastAsia" w:ascii="宋体" w:hAnsi="宋体" w:cs="宋体"/>
          <w:i w:val="0"/>
          <w:iCs w:val="0"/>
          <w:sz w:val="28"/>
          <w:szCs w:val="28"/>
          <w:u w:val="none"/>
          <w:lang w:eastAsia="zh-CN"/>
        </w:rPr>
        <w:t>330000</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元</w:t>
      </w:r>
    </w:p>
    <w:p w14:paraId="5C58A84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采购需求：（包括但不限于标的的名称、数量、简要技术需求或服务要求等）</w:t>
      </w:r>
    </w:p>
    <w:p w14:paraId="30C24281">
      <w:pPr>
        <w:ind w:firstLine="560" w:firstLineChars="200"/>
        <w:jc w:val="left"/>
        <w:rPr>
          <w:rFonts w:hint="eastAsia" w:ascii="宋体" w:hAnsi="宋体" w:eastAsia="宋体" w:cs="宋体"/>
          <w:i w:val="0"/>
          <w:iCs w:val="0"/>
          <w:sz w:val="28"/>
          <w:szCs w:val="28"/>
          <w:highlight w:val="none"/>
          <w:u w:val="none"/>
          <w:lang w:val="en-US" w:eastAsia="zh-CN"/>
        </w:rPr>
      </w:pPr>
      <w:r>
        <w:rPr>
          <w:rFonts w:hint="eastAsia" w:ascii="宋体" w:hAnsi="宋体" w:eastAsia="宋体" w:cs="宋体"/>
          <w:i w:val="0"/>
          <w:iCs w:val="0"/>
          <w:sz w:val="28"/>
          <w:szCs w:val="28"/>
          <w:highlight w:val="none"/>
          <w:u w:val="none"/>
        </w:rPr>
        <w:t>合同履行期限：合同签订后</w:t>
      </w:r>
      <w:r>
        <w:rPr>
          <w:rFonts w:hint="eastAsia" w:ascii="宋体" w:hAnsi="宋体" w:cs="宋体"/>
          <w:i w:val="0"/>
          <w:iCs w:val="0"/>
          <w:sz w:val="28"/>
          <w:szCs w:val="28"/>
          <w:highlight w:val="none"/>
          <w:u w:val="none"/>
          <w:lang w:val="en-US" w:eastAsia="zh-CN"/>
        </w:rPr>
        <w:t>3个工作日</w:t>
      </w:r>
      <w:r>
        <w:rPr>
          <w:rFonts w:hint="eastAsia" w:ascii="宋体" w:hAnsi="宋体" w:eastAsia="宋体" w:cs="宋体"/>
          <w:i w:val="0"/>
          <w:iCs w:val="0"/>
          <w:sz w:val="28"/>
          <w:szCs w:val="28"/>
          <w:highlight w:val="none"/>
          <w:u w:val="none"/>
          <w:lang w:eastAsia="zh-CN"/>
        </w:rPr>
        <w:t>。</w:t>
      </w:r>
    </w:p>
    <w:p w14:paraId="3F714442">
      <w:pPr>
        <w:ind w:firstLine="560" w:firstLineChars="200"/>
        <w:jc w:val="left"/>
        <w:rPr>
          <w:rFonts w:hint="eastAsia"/>
        </w:rPr>
      </w:pPr>
      <w:r>
        <w:rPr>
          <w:rFonts w:hint="eastAsia" w:ascii="宋体" w:hAnsi="宋体" w:eastAsia="宋体" w:cs="宋体"/>
          <w:i w:val="0"/>
          <w:iCs w:val="0"/>
          <w:sz w:val="28"/>
          <w:szCs w:val="28"/>
          <w:u w:val="none"/>
        </w:rPr>
        <w:t>本项目</w:t>
      </w:r>
      <w:r>
        <w:rPr>
          <w:rFonts w:hint="eastAsia" w:ascii="宋体" w:hAnsi="宋体" w:eastAsia="宋体" w:cs="宋体"/>
          <w:i w:val="0"/>
          <w:iCs w:val="0"/>
          <w:sz w:val="28"/>
          <w:szCs w:val="28"/>
          <w:u w:val="none"/>
          <w:lang w:val="en-US" w:eastAsia="zh-CN"/>
        </w:rPr>
        <w:t>是否为只面向中小企业采购：否。</w:t>
      </w:r>
    </w:p>
    <w:p w14:paraId="656E68F6">
      <w:pPr>
        <w:ind w:firstLine="560" w:firstLineChars="200"/>
        <w:jc w:val="left"/>
        <w:rPr>
          <w:rFonts w:hint="eastAsia" w:ascii="宋体" w:hAnsi="宋体" w:eastAsia="宋体" w:cs="宋体"/>
          <w:i w:val="0"/>
          <w:iCs w:val="0"/>
          <w:sz w:val="28"/>
          <w:szCs w:val="28"/>
          <w:u w:val="none"/>
        </w:rPr>
      </w:pPr>
      <w:bookmarkStart w:id="6" w:name="_Toc28359090"/>
      <w:bookmarkStart w:id="7" w:name="_Toc35393630"/>
      <w:bookmarkStart w:id="8" w:name="_Toc35393799"/>
      <w:bookmarkStart w:id="9" w:name="_Toc28359013"/>
      <w:r>
        <w:rPr>
          <w:rFonts w:hint="eastAsia" w:ascii="宋体" w:hAnsi="宋体" w:eastAsia="宋体" w:cs="宋体"/>
          <w:i w:val="0"/>
          <w:iCs w:val="0"/>
          <w:sz w:val="28"/>
          <w:szCs w:val="28"/>
          <w:u w:val="none"/>
        </w:rPr>
        <w:t>二、申请人的资格要求：</w:t>
      </w:r>
      <w:bookmarkEnd w:id="6"/>
      <w:bookmarkEnd w:id="7"/>
      <w:bookmarkEnd w:id="8"/>
      <w:bookmarkEnd w:id="9"/>
    </w:p>
    <w:p w14:paraId="3FED40F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1.满足《中华人民共和国政府采购法》第二十二条规定；</w:t>
      </w:r>
    </w:p>
    <w:p w14:paraId="11CD61EA">
      <w:pPr>
        <w:ind w:firstLine="560" w:firstLineChars="200"/>
        <w:jc w:val="left"/>
        <w:rPr>
          <w:rFonts w:hint="eastAsia" w:ascii="宋体" w:hAnsi="宋体" w:eastAsia="宋体" w:cs="宋体"/>
          <w:i w:val="0"/>
          <w:iCs w:val="0"/>
          <w:sz w:val="28"/>
          <w:szCs w:val="28"/>
          <w:u w:val="none"/>
        </w:rPr>
      </w:pPr>
      <w:bookmarkStart w:id="10" w:name="_Toc28359091"/>
      <w:bookmarkStart w:id="11" w:name="_Toc28359014"/>
      <w:r>
        <w:rPr>
          <w:rFonts w:hint="eastAsia" w:ascii="宋体" w:hAnsi="宋体" w:eastAsia="宋体" w:cs="宋体"/>
          <w:i w:val="0"/>
          <w:iCs w:val="0"/>
          <w:sz w:val="28"/>
          <w:szCs w:val="28"/>
          <w:u w:val="none"/>
        </w:rPr>
        <w:t>2.本项目的特定资格要求：</w:t>
      </w:r>
    </w:p>
    <w:p w14:paraId="4C4435D2">
      <w:pPr>
        <w:ind w:firstLine="840" w:firstLineChars="3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根据《关于在政府采购活动中查询及使用信用记录有关问题的通知》(财库[2016]125号)和豫财购【2016】15号的规定，对列入“信用中国”网站（</w:t>
      </w:r>
      <w:r>
        <w:rPr>
          <w:rFonts w:hint="eastAsia" w:ascii="宋体" w:hAnsi="宋体" w:eastAsia="宋体" w:cs="宋体"/>
          <w:i w:val="0"/>
          <w:iCs w:val="0"/>
          <w:sz w:val="28"/>
          <w:szCs w:val="28"/>
          <w:u w:val="none"/>
        </w:rPr>
        <w:fldChar w:fldCharType="begin"/>
      </w:r>
      <w:r>
        <w:rPr>
          <w:rFonts w:hint="eastAsia" w:ascii="宋体" w:hAnsi="宋体" w:eastAsia="宋体" w:cs="宋体"/>
          <w:i w:val="0"/>
          <w:iCs w:val="0"/>
          <w:sz w:val="28"/>
          <w:szCs w:val="28"/>
          <w:u w:val="none"/>
        </w:rPr>
        <w:instrText xml:space="preserve">HYPERLINK "http://www.creditchina.gov.cn/"</w:instrText>
      </w:r>
      <w:r>
        <w:rPr>
          <w:rFonts w:hint="eastAsia" w:ascii="宋体" w:hAnsi="宋体" w:eastAsia="宋体" w:cs="宋体"/>
          <w:i w:val="0"/>
          <w:iCs w:val="0"/>
          <w:sz w:val="28"/>
          <w:szCs w:val="28"/>
          <w:u w:val="none"/>
        </w:rPr>
        <w:fldChar w:fldCharType="separate"/>
      </w:r>
      <w:r>
        <w:rPr>
          <w:rFonts w:hint="eastAsia" w:ascii="宋体" w:hAnsi="宋体" w:eastAsia="宋体" w:cs="宋体"/>
          <w:i w:val="0"/>
          <w:iCs w:val="0"/>
          <w:sz w:val="28"/>
          <w:szCs w:val="28"/>
          <w:u w:val="none"/>
        </w:rPr>
        <w:t>www.creditchina.gov.cn</w:t>
      </w:r>
      <w:r>
        <w:rPr>
          <w:rFonts w:hint="eastAsia" w:ascii="宋体" w:hAnsi="宋体" w:eastAsia="宋体" w:cs="宋体"/>
          <w:i w:val="0"/>
          <w:iCs w:val="0"/>
          <w:sz w:val="28"/>
          <w:szCs w:val="28"/>
          <w:u w:val="none"/>
        </w:rPr>
        <w:fldChar w:fldCharType="end"/>
      </w:r>
      <w:r>
        <w:rPr>
          <w:rFonts w:hint="eastAsia" w:ascii="宋体" w:hAnsi="宋体" w:eastAsia="宋体" w:cs="宋体"/>
          <w:i w:val="0"/>
          <w:iCs w:val="0"/>
          <w:sz w:val="28"/>
          <w:szCs w:val="28"/>
          <w:u w:val="none"/>
        </w:rPr>
        <w:t>）的“失信被执行人”、“重大税收违法案件当事人名单（</w:t>
      </w:r>
      <w:r>
        <w:rPr>
          <w:rFonts w:hint="eastAsia" w:ascii="宋体" w:hAnsi="宋体" w:eastAsia="宋体" w:cs="宋体"/>
          <w:i w:val="0"/>
          <w:iCs w:val="0"/>
          <w:sz w:val="28"/>
          <w:szCs w:val="28"/>
          <w:u w:val="none"/>
          <w:lang w:val="en-US" w:eastAsia="zh-CN"/>
        </w:rPr>
        <w:t>重大税收违法失信主体</w:t>
      </w:r>
      <w:r>
        <w:rPr>
          <w:rFonts w:hint="eastAsia" w:ascii="宋体" w:hAnsi="宋体" w:eastAsia="宋体" w:cs="宋体"/>
          <w:i w:val="0"/>
          <w:iCs w:val="0"/>
          <w:sz w:val="28"/>
          <w:szCs w:val="28"/>
          <w:u w:val="none"/>
        </w:rPr>
        <w:t>）”和“中国政府采购”网站(</w:t>
      </w:r>
      <w:r>
        <w:rPr>
          <w:rFonts w:hint="eastAsia" w:ascii="宋体" w:hAnsi="宋体" w:eastAsia="宋体" w:cs="宋体"/>
          <w:i w:val="0"/>
          <w:iCs w:val="0"/>
          <w:sz w:val="28"/>
          <w:szCs w:val="28"/>
          <w:u w:val="none"/>
        </w:rPr>
        <w:fldChar w:fldCharType="begin"/>
      </w:r>
      <w:r>
        <w:rPr>
          <w:rFonts w:hint="eastAsia" w:ascii="宋体" w:hAnsi="宋体" w:eastAsia="宋体" w:cs="宋体"/>
          <w:i w:val="0"/>
          <w:iCs w:val="0"/>
          <w:sz w:val="28"/>
          <w:szCs w:val="28"/>
          <w:u w:val="none"/>
        </w:rPr>
        <w:instrText xml:space="preserve">HYPERLINK "http://www.ccgp.gov.cn/"</w:instrText>
      </w:r>
      <w:r>
        <w:rPr>
          <w:rFonts w:hint="eastAsia" w:ascii="宋体" w:hAnsi="宋体" w:eastAsia="宋体" w:cs="宋体"/>
          <w:i w:val="0"/>
          <w:iCs w:val="0"/>
          <w:sz w:val="28"/>
          <w:szCs w:val="28"/>
          <w:u w:val="none"/>
        </w:rPr>
        <w:fldChar w:fldCharType="separate"/>
      </w:r>
      <w:r>
        <w:rPr>
          <w:rFonts w:hint="eastAsia" w:ascii="宋体" w:hAnsi="宋体" w:eastAsia="宋体" w:cs="宋体"/>
          <w:i w:val="0"/>
          <w:iCs w:val="0"/>
          <w:sz w:val="28"/>
          <w:szCs w:val="28"/>
          <w:u w:val="none"/>
        </w:rPr>
        <w:t>www.ccgp.gov.cn</w:t>
      </w:r>
      <w:r>
        <w:rPr>
          <w:rFonts w:hint="eastAsia" w:ascii="宋体" w:hAnsi="宋体" w:eastAsia="宋体" w:cs="宋体"/>
          <w:i w:val="0"/>
          <w:iCs w:val="0"/>
          <w:sz w:val="28"/>
          <w:szCs w:val="28"/>
          <w:u w:val="none"/>
        </w:rPr>
        <w:fldChar w:fldCharType="end"/>
      </w:r>
      <w:r>
        <w:rPr>
          <w:rFonts w:hint="eastAsia" w:ascii="宋体" w:hAnsi="宋体" w:eastAsia="宋体" w:cs="宋体"/>
          <w:i w:val="0"/>
          <w:iCs w:val="0"/>
          <w:sz w:val="28"/>
          <w:szCs w:val="28"/>
          <w:u w:val="none"/>
        </w:rPr>
        <w:t>)的“政府采购严重违法失信行为记录名单”的供应商，将拒绝其参加政府采购活动；在标书中附加盖公章的网页查询扫描件，查询日期为公告发布之日起至投标截止之日止。</w:t>
      </w:r>
    </w:p>
    <w:p w14:paraId="2420E39A">
      <w:pPr>
        <w:ind w:firstLine="560" w:firstLineChars="200"/>
        <w:jc w:val="left"/>
        <w:rPr>
          <w:rFonts w:hint="eastAsia" w:ascii="宋体" w:hAnsi="宋体" w:eastAsia="宋体" w:cs="宋体"/>
          <w:i w:val="0"/>
          <w:iCs w:val="0"/>
          <w:sz w:val="28"/>
          <w:szCs w:val="28"/>
          <w:u w:val="none"/>
        </w:rPr>
      </w:pPr>
      <w:bookmarkStart w:id="12" w:name="_Toc35393800"/>
      <w:bookmarkStart w:id="13" w:name="_Toc35393631"/>
      <w:r>
        <w:rPr>
          <w:rFonts w:hint="eastAsia" w:ascii="宋体" w:hAnsi="宋体" w:eastAsia="宋体" w:cs="宋体"/>
          <w:i w:val="0"/>
          <w:iCs w:val="0"/>
          <w:sz w:val="28"/>
          <w:szCs w:val="28"/>
          <w:u w:val="none"/>
        </w:rPr>
        <w:t>三、获取采购文件</w:t>
      </w:r>
      <w:bookmarkEnd w:id="10"/>
      <w:bookmarkEnd w:id="11"/>
      <w:bookmarkEnd w:id="12"/>
      <w:bookmarkEnd w:id="13"/>
    </w:p>
    <w:p w14:paraId="592DF7CC">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时间：</w:t>
      </w:r>
      <w:r>
        <w:rPr>
          <w:rFonts w:hint="eastAsia" w:ascii="宋体" w:hAnsi="宋体" w:eastAsia="宋体" w:cs="宋体"/>
          <w:i w:val="0"/>
          <w:iCs w:val="0"/>
          <w:color w:val="FF0000"/>
          <w:sz w:val="28"/>
          <w:szCs w:val="28"/>
          <w:u w:val="none"/>
          <w:lang w:val="en-US" w:eastAsia="zh-CN"/>
        </w:rPr>
        <w:t>202</w:t>
      </w:r>
      <w:r>
        <w:rPr>
          <w:rFonts w:hint="eastAsia" w:ascii="宋体" w:hAnsi="宋体" w:cs="宋体"/>
          <w:i w:val="0"/>
          <w:iCs w:val="0"/>
          <w:color w:val="FF0000"/>
          <w:sz w:val="28"/>
          <w:szCs w:val="28"/>
          <w:u w:val="none"/>
          <w:lang w:val="en-US" w:eastAsia="zh-CN"/>
        </w:rPr>
        <w:t>5</w:t>
      </w:r>
      <w:r>
        <w:rPr>
          <w:rFonts w:hint="eastAsia" w:ascii="宋体" w:hAnsi="宋体" w:eastAsia="宋体" w:cs="宋体"/>
          <w:i w:val="0"/>
          <w:iCs w:val="0"/>
          <w:color w:val="FF0000"/>
          <w:sz w:val="28"/>
          <w:szCs w:val="28"/>
          <w:u w:val="none"/>
        </w:rPr>
        <w:t>年</w:t>
      </w:r>
      <w:r>
        <w:rPr>
          <w:rFonts w:hint="eastAsia" w:ascii="宋体" w:hAnsi="宋体" w:cs="宋体"/>
          <w:i w:val="0"/>
          <w:iCs w:val="0"/>
          <w:color w:val="FF0000"/>
          <w:sz w:val="28"/>
          <w:szCs w:val="28"/>
          <w:u w:val="none"/>
          <w:lang w:val="en-US" w:eastAsia="zh-CN"/>
        </w:rPr>
        <w:t>2</w:t>
      </w:r>
      <w:r>
        <w:rPr>
          <w:rFonts w:hint="eastAsia" w:ascii="宋体" w:hAnsi="宋体" w:eastAsia="宋体" w:cs="宋体"/>
          <w:i w:val="0"/>
          <w:iCs w:val="0"/>
          <w:color w:val="FF0000"/>
          <w:sz w:val="28"/>
          <w:szCs w:val="28"/>
          <w:u w:val="none"/>
        </w:rPr>
        <w:t>月</w:t>
      </w:r>
      <w:r>
        <w:rPr>
          <w:rFonts w:hint="eastAsia" w:ascii="宋体" w:hAnsi="宋体" w:cs="宋体"/>
          <w:i w:val="0"/>
          <w:iCs w:val="0"/>
          <w:color w:val="FF0000"/>
          <w:sz w:val="28"/>
          <w:szCs w:val="28"/>
          <w:u w:val="none"/>
          <w:lang w:val="en-US" w:eastAsia="zh-CN"/>
        </w:rPr>
        <w:t>26</w:t>
      </w:r>
      <w:r>
        <w:rPr>
          <w:rFonts w:hint="eastAsia" w:ascii="宋体" w:hAnsi="宋体" w:eastAsia="宋体" w:cs="宋体"/>
          <w:i w:val="0"/>
          <w:iCs w:val="0"/>
          <w:color w:val="FF0000"/>
          <w:sz w:val="28"/>
          <w:szCs w:val="28"/>
          <w:u w:val="none"/>
        </w:rPr>
        <w:t>日至</w:t>
      </w:r>
      <w:r>
        <w:rPr>
          <w:rFonts w:hint="eastAsia" w:ascii="宋体" w:hAnsi="宋体" w:eastAsia="宋体" w:cs="宋体"/>
          <w:i w:val="0"/>
          <w:iCs w:val="0"/>
          <w:color w:val="FF0000"/>
          <w:sz w:val="28"/>
          <w:szCs w:val="28"/>
          <w:u w:val="none"/>
          <w:lang w:val="en-US" w:eastAsia="zh-CN"/>
        </w:rPr>
        <w:t>202</w:t>
      </w:r>
      <w:r>
        <w:rPr>
          <w:rFonts w:hint="eastAsia" w:ascii="宋体" w:hAnsi="宋体" w:cs="宋体"/>
          <w:i w:val="0"/>
          <w:iCs w:val="0"/>
          <w:color w:val="FF0000"/>
          <w:sz w:val="28"/>
          <w:szCs w:val="28"/>
          <w:u w:val="none"/>
          <w:lang w:val="en-US" w:eastAsia="zh-CN"/>
        </w:rPr>
        <w:t>5</w:t>
      </w:r>
      <w:r>
        <w:rPr>
          <w:rFonts w:hint="eastAsia" w:ascii="宋体" w:hAnsi="宋体" w:eastAsia="宋体" w:cs="宋体"/>
          <w:i w:val="0"/>
          <w:iCs w:val="0"/>
          <w:color w:val="FF0000"/>
          <w:sz w:val="28"/>
          <w:szCs w:val="28"/>
          <w:u w:val="none"/>
        </w:rPr>
        <w:t>年</w:t>
      </w:r>
      <w:r>
        <w:rPr>
          <w:rFonts w:hint="eastAsia" w:ascii="宋体" w:hAnsi="宋体" w:cs="宋体"/>
          <w:i w:val="0"/>
          <w:iCs w:val="0"/>
          <w:color w:val="FF0000"/>
          <w:sz w:val="28"/>
          <w:szCs w:val="28"/>
          <w:u w:val="none"/>
          <w:lang w:val="en-US" w:eastAsia="zh-CN"/>
        </w:rPr>
        <w:t>3</w:t>
      </w:r>
      <w:r>
        <w:rPr>
          <w:rFonts w:hint="eastAsia" w:ascii="宋体" w:hAnsi="宋体" w:eastAsia="宋体" w:cs="宋体"/>
          <w:i w:val="0"/>
          <w:iCs w:val="0"/>
          <w:color w:val="FF0000"/>
          <w:sz w:val="28"/>
          <w:szCs w:val="28"/>
          <w:u w:val="none"/>
        </w:rPr>
        <w:t>月</w:t>
      </w:r>
      <w:r>
        <w:rPr>
          <w:rFonts w:hint="eastAsia" w:ascii="宋体" w:hAnsi="宋体" w:cs="宋体"/>
          <w:i w:val="0"/>
          <w:iCs w:val="0"/>
          <w:color w:val="FF0000"/>
          <w:sz w:val="28"/>
          <w:szCs w:val="28"/>
          <w:u w:val="none"/>
          <w:lang w:val="en-US" w:eastAsia="zh-CN"/>
        </w:rPr>
        <w:t>5</w:t>
      </w:r>
      <w:r>
        <w:rPr>
          <w:rFonts w:hint="eastAsia" w:ascii="宋体" w:hAnsi="宋体" w:eastAsia="宋体" w:cs="宋体"/>
          <w:i w:val="0"/>
          <w:iCs w:val="0"/>
          <w:color w:val="FF0000"/>
          <w:sz w:val="28"/>
          <w:szCs w:val="28"/>
          <w:u w:val="none"/>
        </w:rPr>
        <w:t>日</w:t>
      </w:r>
      <w:r>
        <w:rPr>
          <w:rFonts w:hint="eastAsia" w:ascii="宋体" w:hAnsi="宋体" w:eastAsia="宋体" w:cs="宋体"/>
          <w:i w:val="0"/>
          <w:iCs w:val="0"/>
          <w:sz w:val="28"/>
          <w:szCs w:val="28"/>
          <w:u w:val="none"/>
        </w:rPr>
        <w:t>，每天上午</w:t>
      </w:r>
      <w:r>
        <w:rPr>
          <w:rFonts w:hint="eastAsia" w:ascii="宋体" w:hAnsi="宋体" w:eastAsia="宋体" w:cs="宋体"/>
          <w:i w:val="0"/>
          <w:iCs w:val="0"/>
          <w:sz w:val="28"/>
          <w:szCs w:val="28"/>
          <w:u w:val="none"/>
          <w:lang w:val="en-US" w:eastAsia="zh-CN"/>
        </w:rPr>
        <w:t>09:00</w:t>
      </w:r>
      <w:r>
        <w:rPr>
          <w:rFonts w:hint="eastAsia" w:ascii="宋体" w:hAnsi="宋体" w:eastAsia="宋体" w:cs="宋体"/>
          <w:i w:val="0"/>
          <w:iCs w:val="0"/>
          <w:sz w:val="28"/>
          <w:szCs w:val="28"/>
          <w:u w:val="none"/>
        </w:rPr>
        <w:t>至</w:t>
      </w:r>
      <w:r>
        <w:rPr>
          <w:rFonts w:hint="eastAsia" w:ascii="宋体" w:hAnsi="宋体" w:eastAsia="宋体" w:cs="宋体"/>
          <w:i w:val="0"/>
          <w:iCs w:val="0"/>
          <w:sz w:val="28"/>
          <w:szCs w:val="28"/>
          <w:u w:val="none"/>
          <w:lang w:val="en-US" w:eastAsia="zh-CN"/>
        </w:rPr>
        <w:t>12:00</w:t>
      </w:r>
      <w:r>
        <w:rPr>
          <w:rFonts w:hint="eastAsia" w:ascii="宋体" w:hAnsi="宋体" w:eastAsia="宋体" w:cs="宋体"/>
          <w:i w:val="0"/>
          <w:iCs w:val="0"/>
          <w:sz w:val="28"/>
          <w:szCs w:val="28"/>
          <w:u w:val="none"/>
        </w:rPr>
        <w:t>下午</w:t>
      </w:r>
      <w:r>
        <w:rPr>
          <w:rFonts w:hint="eastAsia" w:ascii="宋体" w:hAnsi="宋体" w:eastAsia="宋体" w:cs="宋体"/>
          <w:i w:val="0"/>
          <w:iCs w:val="0"/>
          <w:sz w:val="28"/>
          <w:szCs w:val="28"/>
          <w:u w:val="none"/>
          <w:lang w:val="en-US" w:eastAsia="zh-CN"/>
        </w:rPr>
        <w:t>14:00</w:t>
      </w:r>
      <w:r>
        <w:rPr>
          <w:rFonts w:hint="eastAsia" w:ascii="宋体" w:hAnsi="宋体" w:eastAsia="宋体" w:cs="宋体"/>
          <w:i w:val="0"/>
          <w:iCs w:val="0"/>
          <w:sz w:val="28"/>
          <w:szCs w:val="28"/>
          <w:u w:val="none"/>
        </w:rPr>
        <w:t>至</w:t>
      </w:r>
      <w:r>
        <w:rPr>
          <w:rFonts w:hint="eastAsia" w:ascii="宋体" w:hAnsi="宋体" w:eastAsia="宋体" w:cs="宋体"/>
          <w:i w:val="0"/>
          <w:iCs w:val="0"/>
          <w:sz w:val="28"/>
          <w:szCs w:val="28"/>
          <w:u w:val="none"/>
          <w:lang w:val="en-US" w:eastAsia="zh-CN"/>
        </w:rPr>
        <w:t>17：00</w:t>
      </w:r>
      <w:r>
        <w:rPr>
          <w:rFonts w:hint="eastAsia" w:ascii="宋体" w:hAnsi="宋体" w:eastAsia="宋体" w:cs="宋体"/>
          <w:i w:val="0"/>
          <w:iCs w:val="0"/>
          <w:sz w:val="28"/>
          <w:szCs w:val="28"/>
          <w:u w:val="none"/>
        </w:rPr>
        <w:t>（北京时间，法定节假日除外 ）</w:t>
      </w:r>
    </w:p>
    <w:p w14:paraId="00F8048B">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地点：</w:t>
      </w:r>
      <w:r>
        <w:rPr>
          <w:rFonts w:hint="eastAsia" w:ascii="宋体" w:hAnsi="宋体" w:cs="宋体"/>
          <w:i w:val="0"/>
          <w:iCs w:val="0"/>
          <w:sz w:val="28"/>
          <w:szCs w:val="28"/>
          <w:u w:val="none"/>
          <w:lang w:eastAsia="zh-CN"/>
        </w:rPr>
        <w:t>项城市</w:t>
      </w:r>
      <w:r>
        <w:rPr>
          <w:rFonts w:hint="eastAsia" w:ascii="宋体" w:hAnsi="宋体" w:eastAsia="宋体" w:cs="宋体"/>
          <w:i w:val="0"/>
          <w:iCs w:val="0"/>
          <w:sz w:val="28"/>
          <w:szCs w:val="28"/>
          <w:u w:val="none"/>
          <w:lang w:eastAsia="zh-CN"/>
        </w:rPr>
        <w:t>（</w:t>
      </w:r>
      <w:r>
        <w:rPr>
          <w:rFonts w:hint="eastAsia" w:ascii="宋体" w:hAnsi="宋体" w:eastAsia="宋体" w:cs="宋体"/>
          <w:i w:val="0"/>
          <w:iCs w:val="0"/>
          <w:sz w:val="28"/>
          <w:szCs w:val="28"/>
          <w:u w:val="none"/>
          <w:lang w:val="en-US" w:eastAsia="zh-CN"/>
        </w:rPr>
        <w:t>采购人地址）</w:t>
      </w:r>
    </w:p>
    <w:p w14:paraId="221463E0">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方式：</w:t>
      </w:r>
      <w:r>
        <w:rPr>
          <w:rFonts w:hint="eastAsia" w:ascii="宋体" w:hAnsi="宋体" w:eastAsia="宋体" w:cs="宋体"/>
          <w:i w:val="0"/>
          <w:iCs w:val="0"/>
          <w:sz w:val="28"/>
          <w:szCs w:val="28"/>
          <w:u w:val="none"/>
          <w:lang w:val="en-US" w:eastAsia="zh-CN"/>
        </w:rPr>
        <w:t>向采购人领取</w:t>
      </w:r>
    </w:p>
    <w:p w14:paraId="50A64FF8">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售价：</w:t>
      </w:r>
      <w:r>
        <w:rPr>
          <w:rFonts w:hint="eastAsia" w:ascii="宋体" w:hAnsi="宋体" w:eastAsia="宋体" w:cs="宋体"/>
          <w:i w:val="0"/>
          <w:iCs w:val="0"/>
          <w:sz w:val="28"/>
          <w:szCs w:val="28"/>
          <w:u w:val="none"/>
          <w:lang w:val="en-US" w:eastAsia="zh-CN"/>
        </w:rPr>
        <w:t>0</w:t>
      </w:r>
    </w:p>
    <w:p w14:paraId="4AFF433D">
      <w:pPr>
        <w:ind w:firstLine="560" w:firstLineChars="200"/>
        <w:jc w:val="left"/>
        <w:rPr>
          <w:rFonts w:hint="eastAsia" w:ascii="宋体" w:hAnsi="宋体" w:eastAsia="宋体" w:cs="宋体"/>
          <w:i w:val="0"/>
          <w:iCs w:val="0"/>
          <w:sz w:val="28"/>
          <w:szCs w:val="28"/>
          <w:u w:val="none"/>
        </w:rPr>
      </w:pPr>
      <w:bookmarkStart w:id="14" w:name="_Toc35393801"/>
      <w:bookmarkStart w:id="15" w:name="_Toc35393632"/>
      <w:bookmarkStart w:id="16" w:name="_Toc28359092"/>
      <w:bookmarkStart w:id="17" w:name="_Toc28359015"/>
      <w:r>
        <w:rPr>
          <w:rFonts w:hint="eastAsia" w:ascii="宋体" w:hAnsi="宋体" w:eastAsia="宋体" w:cs="宋体"/>
          <w:i w:val="0"/>
          <w:iCs w:val="0"/>
          <w:sz w:val="28"/>
          <w:szCs w:val="28"/>
          <w:u w:val="none"/>
        </w:rPr>
        <w:t>四、响应文件提交</w:t>
      </w:r>
      <w:bookmarkEnd w:id="14"/>
      <w:bookmarkEnd w:id="15"/>
      <w:bookmarkEnd w:id="16"/>
      <w:bookmarkEnd w:id="17"/>
    </w:p>
    <w:p w14:paraId="62A7711C">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截止时间：</w:t>
      </w:r>
      <w:r>
        <w:rPr>
          <w:rFonts w:hint="eastAsia" w:ascii="宋体" w:hAnsi="宋体" w:eastAsia="宋体" w:cs="宋体"/>
          <w:i w:val="0"/>
          <w:iCs w:val="0"/>
          <w:sz w:val="28"/>
          <w:szCs w:val="28"/>
          <w:u w:val="none"/>
          <w:lang w:val="en-US" w:eastAsia="zh-CN"/>
        </w:rPr>
        <w:t>202</w:t>
      </w:r>
      <w:r>
        <w:rPr>
          <w:rFonts w:hint="eastAsia" w:ascii="宋体" w:hAnsi="宋体" w:cs="宋体"/>
          <w:i w:val="0"/>
          <w:iCs w:val="0"/>
          <w:sz w:val="28"/>
          <w:szCs w:val="28"/>
          <w:u w:val="none"/>
          <w:lang w:val="en-US" w:eastAsia="zh-CN"/>
        </w:rPr>
        <w:t>5</w:t>
      </w:r>
      <w:r>
        <w:rPr>
          <w:rFonts w:hint="eastAsia" w:ascii="宋体" w:hAnsi="宋体" w:eastAsia="宋体" w:cs="宋体"/>
          <w:i w:val="0"/>
          <w:iCs w:val="0"/>
          <w:sz w:val="28"/>
          <w:szCs w:val="28"/>
          <w:u w:val="none"/>
        </w:rPr>
        <w:t>年</w:t>
      </w:r>
      <w:r>
        <w:rPr>
          <w:rFonts w:hint="eastAsia" w:ascii="宋体" w:hAnsi="宋体" w:cs="宋体"/>
          <w:i w:val="0"/>
          <w:iCs w:val="0"/>
          <w:color w:val="FF0000"/>
          <w:sz w:val="28"/>
          <w:szCs w:val="28"/>
          <w:u w:val="none"/>
          <w:lang w:val="en-US" w:eastAsia="zh-CN"/>
        </w:rPr>
        <w:t>3</w:t>
      </w:r>
      <w:r>
        <w:rPr>
          <w:rFonts w:hint="eastAsia" w:ascii="宋体" w:hAnsi="宋体" w:eastAsia="宋体" w:cs="宋体"/>
          <w:i w:val="0"/>
          <w:iCs w:val="0"/>
          <w:color w:val="FF0000"/>
          <w:sz w:val="28"/>
          <w:szCs w:val="28"/>
          <w:u w:val="none"/>
        </w:rPr>
        <w:t>月</w:t>
      </w:r>
      <w:r>
        <w:rPr>
          <w:rFonts w:hint="eastAsia" w:ascii="宋体" w:hAnsi="宋体" w:cs="宋体"/>
          <w:i w:val="0"/>
          <w:iCs w:val="0"/>
          <w:color w:val="FF0000"/>
          <w:sz w:val="28"/>
          <w:szCs w:val="28"/>
          <w:u w:val="none"/>
          <w:lang w:val="en-US" w:eastAsia="zh-CN"/>
        </w:rPr>
        <w:t>6</w:t>
      </w:r>
      <w:r>
        <w:rPr>
          <w:rFonts w:hint="eastAsia" w:ascii="宋体" w:hAnsi="宋体" w:eastAsia="宋体" w:cs="宋体"/>
          <w:i w:val="0"/>
          <w:iCs w:val="0"/>
          <w:color w:val="FF0000"/>
          <w:sz w:val="28"/>
          <w:szCs w:val="28"/>
          <w:u w:val="none"/>
        </w:rPr>
        <w:t>日</w:t>
      </w:r>
      <w:r>
        <w:rPr>
          <w:rFonts w:hint="eastAsia" w:ascii="宋体" w:hAnsi="宋体" w:eastAsia="宋体" w:cs="宋体"/>
          <w:i w:val="0"/>
          <w:iCs w:val="0"/>
          <w:sz w:val="28"/>
          <w:szCs w:val="28"/>
          <w:u w:val="none"/>
          <w:lang w:val="en-US" w:eastAsia="zh-CN"/>
        </w:rPr>
        <w:t>10</w:t>
      </w:r>
      <w:r>
        <w:rPr>
          <w:rFonts w:hint="eastAsia" w:ascii="宋体" w:hAnsi="宋体" w:eastAsia="宋体" w:cs="宋体"/>
          <w:i w:val="0"/>
          <w:iCs w:val="0"/>
          <w:sz w:val="28"/>
          <w:szCs w:val="28"/>
          <w:u w:val="none"/>
        </w:rPr>
        <w:t>点</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分（北京时间）</w:t>
      </w:r>
    </w:p>
    <w:p w14:paraId="42659B2C">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地点：周口市公共资源交易中心开标室</w:t>
      </w:r>
    </w:p>
    <w:p w14:paraId="51877BE3">
      <w:pPr>
        <w:ind w:firstLine="560" w:firstLineChars="200"/>
        <w:jc w:val="left"/>
        <w:rPr>
          <w:rFonts w:hint="eastAsia" w:ascii="宋体" w:hAnsi="宋体" w:eastAsia="宋体" w:cs="宋体"/>
          <w:i w:val="0"/>
          <w:iCs w:val="0"/>
          <w:sz w:val="28"/>
          <w:szCs w:val="28"/>
          <w:u w:val="none"/>
        </w:rPr>
      </w:pPr>
      <w:bookmarkStart w:id="18" w:name="_Toc35393802"/>
      <w:bookmarkStart w:id="19" w:name="_Toc28359093"/>
      <w:bookmarkStart w:id="20" w:name="_Toc35393633"/>
      <w:bookmarkStart w:id="21" w:name="_Toc28359016"/>
      <w:r>
        <w:rPr>
          <w:rFonts w:hint="eastAsia" w:ascii="宋体" w:hAnsi="宋体" w:eastAsia="宋体" w:cs="宋体"/>
          <w:i w:val="0"/>
          <w:iCs w:val="0"/>
          <w:sz w:val="28"/>
          <w:szCs w:val="28"/>
          <w:u w:val="none"/>
        </w:rPr>
        <w:t>五、开启</w:t>
      </w:r>
      <w:bookmarkEnd w:id="18"/>
      <w:bookmarkEnd w:id="19"/>
      <w:bookmarkEnd w:id="20"/>
      <w:bookmarkEnd w:id="21"/>
    </w:p>
    <w:p w14:paraId="71344DDD">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时间：</w:t>
      </w:r>
      <w:r>
        <w:rPr>
          <w:rFonts w:hint="eastAsia" w:ascii="宋体" w:hAnsi="宋体" w:eastAsia="宋体" w:cs="宋体"/>
          <w:i w:val="0"/>
          <w:iCs w:val="0"/>
          <w:sz w:val="28"/>
          <w:szCs w:val="28"/>
          <w:u w:val="none"/>
          <w:lang w:val="en-US" w:eastAsia="zh-CN"/>
        </w:rPr>
        <w:t>202</w:t>
      </w:r>
      <w:r>
        <w:rPr>
          <w:rFonts w:hint="eastAsia" w:ascii="宋体" w:hAnsi="宋体" w:cs="宋体"/>
          <w:i w:val="0"/>
          <w:iCs w:val="0"/>
          <w:sz w:val="28"/>
          <w:szCs w:val="28"/>
          <w:u w:val="none"/>
          <w:lang w:val="en-US" w:eastAsia="zh-CN"/>
        </w:rPr>
        <w:t>5</w:t>
      </w:r>
      <w:r>
        <w:rPr>
          <w:rFonts w:hint="eastAsia" w:ascii="宋体" w:hAnsi="宋体" w:eastAsia="宋体" w:cs="宋体"/>
          <w:i w:val="0"/>
          <w:iCs w:val="0"/>
          <w:sz w:val="28"/>
          <w:szCs w:val="28"/>
          <w:u w:val="none"/>
        </w:rPr>
        <w:t>年</w:t>
      </w:r>
      <w:r>
        <w:rPr>
          <w:rFonts w:hint="eastAsia" w:ascii="宋体" w:hAnsi="宋体" w:cs="宋体"/>
          <w:i w:val="0"/>
          <w:iCs w:val="0"/>
          <w:color w:val="FF0000"/>
          <w:sz w:val="28"/>
          <w:szCs w:val="28"/>
          <w:u w:val="none"/>
          <w:lang w:val="en-US" w:eastAsia="zh-CN"/>
        </w:rPr>
        <w:t>3</w:t>
      </w:r>
      <w:r>
        <w:rPr>
          <w:rFonts w:hint="eastAsia" w:ascii="宋体" w:hAnsi="宋体" w:eastAsia="宋体" w:cs="宋体"/>
          <w:i w:val="0"/>
          <w:iCs w:val="0"/>
          <w:color w:val="FF0000"/>
          <w:sz w:val="28"/>
          <w:szCs w:val="28"/>
          <w:u w:val="none"/>
        </w:rPr>
        <w:t>月</w:t>
      </w:r>
      <w:r>
        <w:rPr>
          <w:rFonts w:hint="eastAsia" w:ascii="宋体" w:hAnsi="宋体" w:cs="宋体"/>
          <w:i w:val="0"/>
          <w:iCs w:val="0"/>
          <w:color w:val="FF0000"/>
          <w:sz w:val="28"/>
          <w:szCs w:val="28"/>
          <w:u w:val="none"/>
          <w:lang w:val="en-US" w:eastAsia="zh-CN"/>
        </w:rPr>
        <w:t>6</w:t>
      </w:r>
      <w:r>
        <w:rPr>
          <w:rFonts w:hint="eastAsia" w:ascii="宋体" w:hAnsi="宋体" w:eastAsia="宋体" w:cs="宋体"/>
          <w:i w:val="0"/>
          <w:iCs w:val="0"/>
          <w:color w:val="FF0000"/>
          <w:sz w:val="28"/>
          <w:szCs w:val="28"/>
          <w:u w:val="none"/>
        </w:rPr>
        <w:t>日</w:t>
      </w:r>
      <w:r>
        <w:rPr>
          <w:rFonts w:hint="eastAsia" w:ascii="宋体" w:hAnsi="宋体" w:eastAsia="宋体" w:cs="宋体"/>
          <w:i w:val="0"/>
          <w:iCs w:val="0"/>
          <w:sz w:val="28"/>
          <w:szCs w:val="28"/>
          <w:u w:val="none"/>
          <w:lang w:val="en-US" w:eastAsia="zh-CN"/>
        </w:rPr>
        <w:t>10</w:t>
      </w:r>
      <w:r>
        <w:rPr>
          <w:rFonts w:hint="eastAsia" w:ascii="宋体" w:hAnsi="宋体" w:eastAsia="宋体" w:cs="宋体"/>
          <w:i w:val="0"/>
          <w:iCs w:val="0"/>
          <w:sz w:val="28"/>
          <w:szCs w:val="28"/>
          <w:u w:val="none"/>
        </w:rPr>
        <w:t>点</w:t>
      </w:r>
      <w:r>
        <w:rPr>
          <w:rFonts w:hint="eastAsia" w:ascii="宋体" w:hAnsi="宋体" w:eastAsia="宋体" w:cs="宋体"/>
          <w:i w:val="0"/>
          <w:iCs w:val="0"/>
          <w:sz w:val="28"/>
          <w:szCs w:val="28"/>
          <w:u w:val="none"/>
          <w:lang w:val="en-US" w:eastAsia="zh-CN"/>
        </w:rPr>
        <w:t>00</w:t>
      </w:r>
      <w:r>
        <w:rPr>
          <w:rFonts w:hint="eastAsia" w:ascii="宋体" w:hAnsi="宋体" w:eastAsia="宋体" w:cs="宋体"/>
          <w:i w:val="0"/>
          <w:iCs w:val="0"/>
          <w:sz w:val="28"/>
          <w:szCs w:val="28"/>
          <w:u w:val="none"/>
        </w:rPr>
        <w:t>分（北京时间）</w:t>
      </w:r>
    </w:p>
    <w:p w14:paraId="027AA612">
      <w:pPr>
        <w:ind w:firstLine="560" w:firstLineChars="200"/>
        <w:jc w:val="left"/>
        <w:rPr>
          <w:rFonts w:hint="eastAsia" w:ascii="宋体" w:hAnsi="宋体" w:eastAsia="宋体" w:cs="宋体"/>
          <w:i w:val="0"/>
          <w:iCs w:val="0"/>
          <w:sz w:val="28"/>
          <w:szCs w:val="28"/>
          <w:u w:val="none"/>
          <w:lang w:eastAsia="zh-CN"/>
        </w:rPr>
      </w:pPr>
      <w:r>
        <w:rPr>
          <w:rFonts w:hint="eastAsia" w:ascii="宋体" w:hAnsi="宋体" w:eastAsia="宋体" w:cs="宋体"/>
          <w:i w:val="0"/>
          <w:iCs w:val="0"/>
          <w:sz w:val="28"/>
          <w:szCs w:val="28"/>
          <w:u w:val="none"/>
        </w:rPr>
        <w:t>地点：周口市公共资源交易中心开标室</w:t>
      </w:r>
      <w:r>
        <w:rPr>
          <w:rFonts w:hint="eastAsia" w:ascii="宋体" w:hAnsi="宋体" w:cs="宋体"/>
          <w:i w:val="0"/>
          <w:iCs w:val="0"/>
          <w:sz w:val="28"/>
          <w:szCs w:val="28"/>
          <w:u w:val="none"/>
          <w:lang w:eastAsia="zh-CN"/>
        </w:rPr>
        <w:t>（</w:t>
      </w:r>
      <w:r>
        <w:rPr>
          <w:rFonts w:hint="eastAsia" w:ascii="宋体" w:hAnsi="宋体" w:cs="宋体"/>
          <w:i w:val="0"/>
          <w:iCs w:val="0"/>
          <w:sz w:val="28"/>
          <w:szCs w:val="28"/>
          <w:u w:val="none"/>
          <w:lang w:val="en-US" w:eastAsia="zh-CN"/>
        </w:rPr>
        <w:t>四楼408评标室</w:t>
      </w:r>
      <w:bookmarkStart w:id="116" w:name="_GoBack"/>
      <w:bookmarkEnd w:id="116"/>
      <w:r>
        <w:rPr>
          <w:rFonts w:hint="eastAsia" w:ascii="宋体" w:hAnsi="宋体" w:cs="宋体"/>
          <w:i w:val="0"/>
          <w:iCs w:val="0"/>
          <w:sz w:val="28"/>
          <w:szCs w:val="28"/>
          <w:u w:val="none"/>
          <w:lang w:eastAsia="zh-CN"/>
        </w:rPr>
        <w:t>）</w:t>
      </w:r>
    </w:p>
    <w:p w14:paraId="0C3FAA18">
      <w:pPr>
        <w:ind w:firstLine="560" w:firstLineChars="200"/>
        <w:jc w:val="left"/>
        <w:rPr>
          <w:rFonts w:hint="eastAsia" w:ascii="宋体" w:hAnsi="宋体" w:eastAsia="宋体" w:cs="宋体"/>
          <w:i w:val="0"/>
          <w:iCs w:val="0"/>
          <w:sz w:val="28"/>
          <w:szCs w:val="28"/>
          <w:u w:val="none"/>
        </w:rPr>
      </w:pPr>
      <w:bookmarkStart w:id="22" w:name="_Toc28359017"/>
      <w:bookmarkStart w:id="23" w:name="_Toc35393634"/>
      <w:bookmarkStart w:id="24" w:name="_Toc28359094"/>
      <w:bookmarkStart w:id="25" w:name="_Toc35393803"/>
      <w:r>
        <w:rPr>
          <w:rFonts w:hint="eastAsia" w:ascii="宋体" w:hAnsi="宋体" w:eastAsia="宋体" w:cs="宋体"/>
          <w:i w:val="0"/>
          <w:iCs w:val="0"/>
          <w:sz w:val="28"/>
          <w:szCs w:val="28"/>
          <w:u w:val="none"/>
        </w:rPr>
        <w:t>六、</w:t>
      </w:r>
      <w:bookmarkEnd w:id="22"/>
      <w:bookmarkEnd w:id="23"/>
      <w:bookmarkEnd w:id="24"/>
      <w:bookmarkEnd w:id="25"/>
      <w:bookmarkStart w:id="26" w:name="_Toc35393635"/>
      <w:bookmarkStart w:id="27" w:name="_Toc35393804"/>
      <w:r>
        <w:rPr>
          <w:rFonts w:hint="eastAsia" w:ascii="宋体" w:hAnsi="宋体" w:eastAsia="宋体" w:cs="宋体"/>
          <w:i w:val="0"/>
          <w:iCs w:val="0"/>
          <w:sz w:val="28"/>
          <w:szCs w:val="28"/>
          <w:u w:val="none"/>
        </w:rPr>
        <w:t>其他补充事宜</w:t>
      </w:r>
      <w:bookmarkEnd w:id="26"/>
      <w:bookmarkEnd w:id="27"/>
    </w:p>
    <w:p w14:paraId="1DD370EC">
      <w:pPr>
        <w:ind w:firstLine="560" w:firstLineChars="200"/>
        <w:jc w:val="left"/>
        <w:rPr>
          <w:rFonts w:hint="eastAsia" w:ascii="宋体" w:hAnsi="宋体" w:eastAsia="宋体" w:cs="宋体"/>
          <w:i w:val="0"/>
          <w:iCs w:val="0"/>
          <w:sz w:val="28"/>
          <w:szCs w:val="28"/>
          <w:u w:val="none"/>
        </w:rPr>
      </w:pPr>
      <w:bookmarkStart w:id="28" w:name="_Toc35393636"/>
      <w:bookmarkStart w:id="29" w:name="_Toc28359018"/>
      <w:bookmarkStart w:id="30" w:name="_Toc35393805"/>
      <w:bookmarkStart w:id="31" w:name="_Toc28359095"/>
      <w:r>
        <w:rPr>
          <w:rFonts w:hint="eastAsia" w:ascii="宋体" w:hAnsi="宋体" w:eastAsia="宋体" w:cs="宋体"/>
          <w:i w:val="0"/>
          <w:iCs w:val="0"/>
          <w:sz w:val="28"/>
          <w:szCs w:val="28"/>
          <w:u w:val="none"/>
          <w:lang w:val="en-US" w:eastAsia="zh-CN"/>
        </w:rPr>
        <w:t>七</w:t>
      </w:r>
      <w:r>
        <w:rPr>
          <w:rFonts w:hint="eastAsia" w:ascii="宋体" w:hAnsi="宋体" w:eastAsia="宋体" w:cs="宋体"/>
          <w:i w:val="0"/>
          <w:iCs w:val="0"/>
          <w:sz w:val="28"/>
          <w:szCs w:val="28"/>
          <w:u w:val="none"/>
        </w:rPr>
        <w:t>、凡对本次采购提出询问，请按以下方式联系</w:t>
      </w:r>
      <w:bookmarkEnd w:id="28"/>
      <w:bookmarkEnd w:id="29"/>
      <w:bookmarkEnd w:id="30"/>
      <w:bookmarkEnd w:id="31"/>
    </w:p>
    <w:p w14:paraId="43444B55">
      <w:pPr>
        <w:ind w:firstLine="560" w:firstLineChars="200"/>
        <w:jc w:val="left"/>
        <w:rPr>
          <w:rFonts w:hint="eastAsia" w:ascii="宋体" w:hAnsi="宋体" w:eastAsia="宋体" w:cs="宋体"/>
          <w:i w:val="0"/>
          <w:iCs w:val="0"/>
          <w:sz w:val="28"/>
          <w:szCs w:val="28"/>
          <w:u w:val="none"/>
        </w:rPr>
      </w:pPr>
      <w:bookmarkStart w:id="32" w:name="_Toc35393637"/>
      <w:bookmarkStart w:id="33" w:name="_Toc28359096"/>
      <w:bookmarkStart w:id="34" w:name="_Toc28359019"/>
      <w:bookmarkStart w:id="35" w:name="_Toc35393806"/>
      <w:r>
        <w:rPr>
          <w:rFonts w:hint="eastAsia" w:ascii="宋体" w:hAnsi="宋体" w:eastAsia="宋体" w:cs="宋体"/>
          <w:i w:val="0"/>
          <w:iCs w:val="0"/>
          <w:sz w:val="28"/>
          <w:szCs w:val="28"/>
          <w:u w:val="none"/>
        </w:rPr>
        <w:t>1.采购人信息</w:t>
      </w:r>
      <w:bookmarkEnd w:id="32"/>
      <w:bookmarkEnd w:id="33"/>
      <w:bookmarkEnd w:id="34"/>
      <w:bookmarkEnd w:id="35"/>
    </w:p>
    <w:p w14:paraId="7B9BF23D">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名    称：</w:t>
      </w:r>
      <w:r>
        <w:rPr>
          <w:rFonts w:hint="eastAsia" w:ascii="宋体" w:hAnsi="宋体" w:cs="宋体"/>
          <w:i w:val="0"/>
          <w:iCs w:val="0"/>
          <w:sz w:val="28"/>
          <w:szCs w:val="28"/>
          <w:u w:val="none"/>
          <w:lang w:eastAsia="zh-CN"/>
        </w:rPr>
        <w:t>项城市第二人民医院</w:t>
      </w:r>
      <w:r>
        <w:rPr>
          <w:rFonts w:hint="eastAsia" w:ascii="宋体" w:hAnsi="宋体" w:eastAsia="宋体" w:cs="宋体"/>
          <w:i w:val="0"/>
          <w:iCs w:val="0"/>
          <w:sz w:val="28"/>
          <w:szCs w:val="28"/>
          <w:u w:val="none"/>
        </w:rPr>
        <w:t>　　　　　　　　　　　</w:t>
      </w:r>
    </w:p>
    <w:p w14:paraId="71CC782C">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地    址：</w:t>
      </w:r>
      <w:r>
        <w:rPr>
          <w:rFonts w:hint="eastAsia" w:ascii="宋体" w:hAnsi="宋体" w:cs="宋体"/>
          <w:i w:val="0"/>
          <w:iCs w:val="0"/>
          <w:sz w:val="28"/>
          <w:szCs w:val="28"/>
          <w:u w:val="none"/>
          <w:lang w:eastAsia="zh-CN"/>
        </w:rPr>
        <w:t>项城市</w:t>
      </w:r>
      <w:r>
        <w:rPr>
          <w:rFonts w:hint="eastAsia" w:ascii="宋体" w:hAnsi="宋体" w:eastAsia="宋体" w:cs="宋体"/>
          <w:i w:val="0"/>
          <w:iCs w:val="0"/>
          <w:sz w:val="28"/>
          <w:szCs w:val="28"/>
          <w:u w:val="none"/>
        </w:rPr>
        <w:t>　　　　　　　　　　　　</w:t>
      </w:r>
    </w:p>
    <w:p w14:paraId="1B0B1660">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lang w:val="en-US" w:eastAsia="zh-CN"/>
        </w:rPr>
        <w:t>项目联系人：</w:t>
      </w:r>
      <w:r>
        <w:rPr>
          <w:rFonts w:hint="eastAsia" w:ascii="宋体" w:hAnsi="宋体" w:cs="宋体"/>
          <w:i w:val="0"/>
          <w:iCs w:val="0"/>
          <w:sz w:val="28"/>
          <w:szCs w:val="28"/>
          <w:u w:val="none"/>
          <w:lang w:val="en-US" w:eastAsia="zh-CN"/>
        </w:rPr>
        <w:t>刘旭</w:t>
      </w:r>
      <w:r>
        <w:rPr>
          <w:rFonts w:hint="eastAsia" w:ascii="宋体" w:hAnsi="宋体" w:eastAsia="宋体" w:cs="宋体"/>
          <w:i w:val="0"/>
          <w:iCs w:val="0"/>
          <w:sz w:val="28"/>
          <w:szCs w:val="28"/>
          <w:u w:val="none"/>
          <w:lang w:val="en-US" w:eastAsia="zh-CN"/>
        </w:rPr>
        <w:t xml:space="preserve">      </w:t>
      </w:r>
      <w:r>
        <w:rPr>
          <w:rFonts w:hint="eastAsia" w:ascii="宋体" w:hAnsi="宋体" w:eastAsia="宋体" w:cs="宋体"/>
          <w:i w:val="0"/>
          <w:iCs w:val="0"/>
          <w:sz w:val="28"/>
          <w:szCs w:val="28"/>
          <w:u w:val="none"/>
        </w:rPr>
        <w:t>联系方式：</w:t>
      </w:r>
      <w:r>
        <w:rPr>
          <w:rFonts w:hint="eastAsia" w:ascii="宋体" w:hAnsi="宋体" w:cs="宋体"/>
          <w:i w:val="0"/>
          <w:iCs w:val="0"/>
          <w:sz w:val="28"/>
          <w:szCs w:val="28"/>
          <w:u w:val="none"/>
          <w:lang w:eastAsia="zh-CN"/>
        </w:rPr>
        <w:t>15290681888</w:t>
      </w:r>
      <w:r>
        <w:rPr>
          <w:rFonts w:hint="eastAsia" w:ascii="宋体" w:hAnsi="宋体" w:eastAsia="宋体" w:cs="宋体"/>
          <w:i w:val="0"/>
          <w:iCs w:val="0"/>
          <w:sz w:val="28"/>
          <w:szCs w:val="28"/>
          <w:u w:val="none"/>
        </w:rPr>
        <w:t xml:space="preserve">　　　　　　　　 　　　 </w:t>
      </w:r>
    </w:p>
    <w:p w14:paraId="66F839C5">
      <w:pPr>
        <w:ind w:firstLine="560" w:firstLineChars="200"/>
        <w:jc w:val="left"/>
        <w:rPr>
          <w:rFonts w:hint="eastAsia" w:ascii="宋体" w:hAnsi="宋体" w:eastAsia="宋体" w:cs="宋体"/>
          <w:i w:val="0"/>
          <w:iCs w:val="0"/>
          <w:sz w:val="28"/>
          <w:szCs w:val="28"/>
          <w:u w:val="none"/>
        </w:rPr>
      </w:pPr>
      <w:bookmarkStart w:id="36" w:name="_Toc35393638"/>
      <w:bookmarkStart w:id="37" w:name="_Toc28359097"/>
      <w:bookmarkStart w:id="38" w:name="_Toc35393807"/>
      <w:bookmarkStart w:id="39" w:name="_Toc28359020"/>
      <w:r>
        <w:rPr>
          <w:rFonts w:hint="eastAsia" w:ascii="宋体" w:hAnsi="宋体" w:eastAsia="宋体" w:cs="宋体"/>
          <w:i w:val="0"/>
          <w:iCs w:val="0"/>
          <w:sz w:val="28"/>
          <w:szCs w:val="28"/>
          <w:u w:val="none"/>
        </w:rPr>
        <w:t>2.采购代理机构信息</w:t>
      </w:r>
      <w:bookmarkEnd w:id="36"/>
      <w:bookmarkEnd w:id="37"/>
      <w:bookmarkEnd w:id="38"/>
      <w:bookmarkEnd w:id="39"/>
    </w:p>
    <w:p w14:paraId="55A6ED2E">
      <w:pPr>
        <w:ind w:firstLine="560" w:firstLineChars="200"/>
        <w:jc w:val="left"/>
        <w:rPr>
          <w:rFonts w:hint="eastAsia" w:ascii="宋体" w:hAnsi="宋体" w:eastAsia="宋体" w:cs="宋体"/>
          <w:i w:val="0"/>
          <w:iCs w:val="0"/>
          <w:sz w:val="28"/>
          <w:szCs w:val="28"/>
          <w:u w:val="none"/>
          <w:lang w:val="en-US" w:eastAsia="zh-CN"/>
        </w:rPr>
      </w:pPr>
      <w:r>
        <w:rPr>
          <w:rFonts w:hint="eastAsia" w:ascii="宋体" w:hAnsi="宋体" w:eastAsia="宋体" w:cs="宋体"/>
          <w:i w:val="0"/>
          <w:iCs w:val="0"/>
          <w:sz w:val="28"/>
          <w:szCs w:val="28"/>
          <w:u w:val="none"/>
        </w:rPr>
        <w:t>名    称</w:t>
      </w:r>
      <w:r>
        <w:rPr>
          <w:rFonts w:hint="eastAsia" w:ascii="宋体" w:hAnsi="宋体" w:eastAsia="宋体" w:cs="宋体"/>
          <w:i w:val="0"/>
          <w:iCs w:val="0"/>
          <w:sz w:val="28"/>
          <w:szCs w:val="28"/>
          <w:u w:val="none"/>
          <w:lang w:val="en-US" w:eastAsia="zh-CN"/>
        </w:rPr>
        <w:t>：周口市公共资源交易中心政府采购中心 　　　　　　　　　</w:t>
      </w:r>
    </w:p>
    <w:p w14:paraId="189B8038">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lang w:val="en-US" w:eastAsia="zh-CN"/>
        </w:rPr>
        <w:t>地　　址：周口市东新区光明路和政通路交叉口北100米路东 　　　</w:t>
      </w:r>
      <w:r>
        <w:rPr>
          <w:rFonts w:hint="eastAsia" w:ascii="宋体" w:hAnsi="宋体" w:eastAsia="宋体" w:cs="宋体"/>
          <w:i w:val="0"/>
          <w:iCs w:val="0"/>
          <w:sz w:val="28"/>
          <w:szCs w:val="28"/>
          <w:u w:val="none"/>
        </w:rPr>
        <w:t>　　　　　　　　</w:t>
      </w:r>
    </w:p>
    <w:p w14:paraId="5B612DB9">
      <w:pPr>
        <w:ind w:firstLine="560" w:firstLineChars="200"/>
        <w:jc w:val="left"/>
        <w:rPr>
          <w:rFonts w:hint="default" w:ascii="宋体" w:hAnsi="宋体" w:eastAsia="宋体" w:cs="宋体"/>
          <w:i w:val="0"/>
          <w:iCs w:val="0"/>
          <w:color w:val="FF0000"/>
          <w:sz w:val="28"/>
          <w:szCs w:val="28"/>
          <w:u w:val="none"/>
          <w:lang w:val="en-US" w:eastAsia="zh-CN"/>
        </w:rPr>
      </w:pPr>
      <w:r>
        <w:rPr>
          <w:rFonts w:hint="eastAsia" w:ascii="宋体" w:hAnsi="宋体" w:eastAsia="宋体" w:cs="宋体"/>
          <w:i w:val="0"/>
          <w:iCs w:val="0"/>
          <w:color w:val="FF0000"/>
          <w:sz w:val="28"/>
          <w:szCs w:val="28"/>
          <w:u w:val="none"/>
          <w:lang w:val="en-US" w:eastAsia="zh-CN"/>
        </w:rPr>
        <w:t>项目联系人：</w:t>
      </w:r>
      <w:r>
        <w:rPr>
          <w:rFonts w:hint="eastAsia" w:ascii="宋体" w:hAnsi="宋体" w:cs="宋体"/>
          <w:i w:val="0"/>
          <w:iCs w:val="0"/>
          <w:color w:val="FF0000"/>
          <w:sz w:val="28"/>
          <w:szCs w:val="28"/>
          <w:u w:val="none"/>
          <w:lang w:val="en-US" w:eastAsia="zh-CN"/>
        </w:rPr>
        <w:t>郝冰</w:t>
      </w:r>
      <w:r>
        <w:rPr>
          <w:rFonts w:hint="eastAsia" w:ascii="宋体" w:hAnsi="宋体" w:eastAsia="宋体" w:cs="宋体"/>
          <w:i w:val="0"/>
          <w:iCs w:val="0"/>
          <w:color w:val="FF0000"/>
          <w:sz w:val="28"/>
          <w:szCs w:val="28"/>
          <w:u w:val="none"/>
          <w:lang w:val="en-US" w:eastAsia="zh-CN"/>
        </w:rPr>
        <w:t xml:space="preserve">      </w:t>
      </w:r>
      <w:r>
        <w:rPr>
          <w:rFonts w:hint="eastAsia" w:ascii="宋体" w:hAnsi="宋体" w:eastAsia="宋体" w:cs="宋体"/>
          <w:i w:val="0"/>
          <w:iCs w:val="0"/>
          <w:color w:val="FF0000"/>
          <w:sz w:val="28"/>
          <w:szCs w:val="28"/>
          <w:u w:val="none"/>
        </w:rPr>
        <w:t>联系方式：</w:t>
      </w:r>
      <w:r>
        <w:rPr>
          <w:rFonts w:hint="eastAsia" w:ascii="宋体" w:hAnsi="宋体" w:cs="宋体"/>
          <w:i w:val="0"/>
          <w:iCs w:val="0"/>
          <w:color w:val="FF0000"/>
          <w:sz w:val="28"/>
          <w:szCs w:val="28"/>
          <w:u w:val="none"/>
          <w:lang w:val="en-US" w:eastAsia="zh-CN"/>
        </w:rPr>
        <w:t>19913281817</w:t>
      </w:r>
    </w:p>
    <w:p w14:paraId="68DBDE0B">
      <w:pPr>
        <w:ind w:firstLine="560" w:firstLineChars="2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rPr>
        <w:t>　　　　　　　　　　　　</w:t>
      </w:r>
    </w:p>
    <w:p w14:paraId="021D05C3">
      <w:pPr>
        <w:ind w:firstLine="2520" w:firstLineChars="900"/>
        <w:jc w:val="left"/>
        <w:rPr>
          <w:rFonts w:hint="eastAsia" w:ascii="宋体" w:hAnsi="宋体" w:eastAsia="宋体" w:cs="宋体"/>
          <w:i w:val="0"/>
          <w:iCs w:val="0"/>
          <w:sz w:val="28"/>
          <w:szCs w:val="28"/>
          <w:u w:val="none"/>
        </w:rPr>
      </w:pPr>
      <w:r>
        <w:rPr>
          <w:rFonts w:hint="eastAsia" w:ascii="宋体" w:hAnsi="宋体" w:eastAsia="宋体" w:cs="宋体"/>
          <w:i w:val="0"/>
          <w:iCs w:val="0"/>
          <w:sz w:val="28"/>
          <w:szCs w:val="28"/>
          <w:u w:val="none"/>
          <w:lang w:val="en-US" w:eastAsia="zh-CN"/>
        </w:rPr>
        <w:t>周口市公共资源交易中心政府采购中心 　　</w:t>
      </w:r>
    </w:p>
    <w:p w14:paraId="4DC5E32F">
      <w:pPr>
        <w:pStyle w:val="40"/>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i w:val="0"/>
          <w:iCs w:val="0"/>
          <w:color w:val="auto"/>
          <w:kern w:val="2"/>
          <w:sz w:val="28"/>
          <w:szCs w:val="28"/>
          <w:u w:val="none"/>
          <w:lang w:val="en-US" w:eastAsia="zh-CN" w:bidi="ar-SA"/>
        </w:rPr>
        <w:t xml:space="preserve">    202</w:t>
      </w:r>
      <w:r>
        <w:rPr>
          <w:rFonts w:hint="eastAsia" w:ascii="宋体" w:hAnsi="宋体" w:cs="宋体"/>
          <w:i w:val="0"/>
          <w:iCs w:val="0"/>
          <w:color w:val="auto"/>
          <w:kern w:val="2"/>
          <w:sz w:val="28"/>
          <w:szCs w:val="28"/>
          <w:u w:val="none"/>
          <w:lang w:val="en-US" w:eastAsia="zh-CN" w:bidi="ar-SA"/>
        </w:rPr>
        <w:t>5</w:t>
      </w:r>
      <w:r>
        <w:rPr>
          <w:rFonts w:hint="eastAsia" w:ascii="宋体" w:hAnsi="宋体" w:eastAsia="宋体" w:cs="宋体"/>
          <w:i w:val="0"/>
          <w:iCs w:val="0"/>
          <w:color w:val="auto"/>
          <w:kern w:val="2"/>
          <w:sz w:val="28"/>
          <w:szCs w:val="28"/>
          <w:u w:val="none"/>
          <w:lang w:val="en-US" w:eastAsia="zh-CN" w:bidi="ar-SA"/>
        </w:rPr>
        <w:t>年</w:t>
      </w:r>
      <w:r>
        <w:rPr>
          <w:rFonts w:hint="eastAsia" w:ascii="宋体" w:hAnsi="宋体" w:cs="宋体"/>
          <w:i w:val="0"/>
          <w:iCs w:val="0"/>
          <w:color w:val="auto"/>
          <w:kern w:val="2"/>
          <w:sz w:val="28"/>
          <w:szCs w:val="28"/>
          <w:u w:val="none"/>
          <w:lang w:val="en-US" w:eastAsia="zh-CN" w:bidi="ar-SA"/>
        </w:rPr>
        <w:t>2</w:t>
      </w:r>
      <w:r>
        <w:rPr>
          <w:rFonts w:hint="eastAsia" w:ascii="宋体" w:hAnsi="宋体" w:eastAsia="宋体" w:cs="宋体"/>
          <w:i w:val="0"/>
          <w:iCs w:val="0"/>
          <w:color w:val="auto"/>
          <w:kern w:val="2"/>
          <w:sz w:val="28"/>
          <w:szCs w:val="28"/>
          <w:u w:val="none"/>
          <w:lang w:val="en-US" w:eastAsia="zh-CN" w:bidi="ar-SA"/>
        </w:rPr>
        <w:t>月</w:t>
      </w:r>
      <w:r>
        <w:rPr>
          <w:rFonts w:hint="eastAsia" w:ascii="宋体" w:hAnsi="宋体" w:cs="宋体"/>
          <w:i w:val="0"/>
          <w:iCs w:val="0"/>
          <w:color w:val="auto"/>
          <w:kern w:val="2"/>
          <w:sz w:val="28"/>
          <w:szCs w:val="28"/>
          <w:u w:val="none"/>
          <w:lang w:val="en-US" w:eastAsia="zh-CN" w:bidi="ar-SA"/>
        </w:rPr>
        <w:t>26</w:t>
      </w:r>
      <w:r>
        <w:rPr>
          <w:rFonts w:hint="eastAsia" w:ascii="宋体" w:hAnsi="宋体" w:eastAsia="宋体" w:cs="宋体"/>
          <w:i w:val="0"/>
          <w:iCs w:val="0"/>
          <w:color w:val="auto"/>
          <w:kern w:val="2"/>
          <w:sz w:val="28"/>
          <w:szCs w:val="28"/>
          <w:u w:val="none"/>
          <w:lang w:val="en-US" w:eastAsia="zh-CN" w:bidi="ar-SA"/>
        </w:rPr>
        <w:t>日</w:t>
      </w:r>
    </w:p>
    <w:p w14:paraId="46C04E60">
      <w:pPr>
        <w:pStyle w:val="40"/>
      </w:pPr>
    </w:p>
    <w:p w14:paraId="5F891501">
      <w:pPr>
        <w:pStyle w:val="40"/>
      </w:pPr>
    </w:p>
    <w:p w14:paraId="57C9D07D">
      <w:pPr>
        <w:pStyle w:val="40"/>
      </w:pPr>
    </w:p>
    <w:p w14:paraId="71C3778B">
      <w:pPr>
        <w:pStyle w:val="40"/>
      </w:pPr>
    </w:p>
    <w:p w14:paraId="7034F177">
      <w:pPr>
        <w:pStyle w:val="40"/>
      </w:pPr>
    </w:p>
    <w:p w14:paraId="0141A2FF">
      <w:pPr>
        <w:rPr>
          <w:rFonts w:hint="eastAsia" w:ascii="宋体" w:eastAsia="宋体"/>
          <w:b/>
        </w:rPr>
      </w:pPr>
      <w:bookmarkStart w:id="40" w:name="_Toc343"/>
      <w:bookmarkStart w:id="41" w:name="_Toc293740134"/>
      <w:bookmarkStart w:id="42" w:name="_Toc293740090"/>
      <w:bookmarkStart w:id="43" w:name="_Toc293740299"/>
      <w:bookmarkStart w:id="44" w:name="_Toc26415"/>
      <w:r>
        <w:rPr>
          <w:rFonts w:hint="eastAsia" w:ascii="宋体" w:eastAsia="宋体"/>
          <w:b/>
        </w:rPr>
        <w:br w:type="page"/>
      </w:r>
    </w:p>
    <w:p w14:paraId="1225EC84">
      <w:pPr>
        <w:pStyle w:val="2"/>
        <w:jc w:val="center"/>
        <w:rPr>
          <w:rFonts w:ascii="宋体" w:eastAsia="宋体"/>
          <w:b/>
        </w:rPr>
      </w:pPr>
      <w:r>
        <w:rPr>
          <w:rFonts w:hint="eastAsia" w:ascii="宋体" w:eastAsia="宋体"/>
          <w:b/>
        </w:rPr>
        <w:t>第二章  供应商须知</w:t>
      </w:r>
      <w:bookmarkEnd w:id="40"/>
      <w:bookmarkEnd w:id="41"/>
      <w:bookmarkEnd w:id="42"/>
      <w:bookmarkEnd w:id="43"/>
      <w:bookmarkEnd w:id="44"/>
    </w:p>
    <w:p w14:paraId="0A54C522">
      <w:pPr>
        <w:pStyle w:val="3"/>
        <w:jc w:val="both"/>
        <w:rPr>
          <w:rFonts w:ascii="宋体" w:eastAsia="宋体"/>
          <w:b/>
        </w:rPr>
      </w:pPr>
      <w:bookmarkStart w:id="45" w:name="_Toc14917"/>
      <w:bookmarkStart w:id="46" w:name="_Toc293740135"/>
      <w:bookmarkStart w:id="47" w:name="_Toc293740091"/>
      <w:bookmarkStart w:id="48" w:name="_Toc293740300"/>
      <w:r>
        <w:rPr>
          <w:rFonts w:hint="eastAsia" w:ascii="宋体" w:eastAsia="宋体"/>
          <w:b/>
        </w:rPr>
        <w:t>一、总　则</w:t>
      </w:r>
      <w:bookmarkEnd w:id="45"/>
      <w:bookmarkEnd w:id="46"/>
      <w:bookmarkEnd w:id="47"/>
      <w:bookmarkEnd w:id="48"/>
    </w:p>
    <w:p w14:paraId="30994538">
      <w:pPr>
        <w:spacing w:line="500" w:lineRule="exact"/>
        <w:rPr>
          <w:rFonts w:ascii="宋体" w:hAnsi="宋体"/>
          <w:sz w:val="28"/>
          <w:szCs w:val="28"/>
        </w:rPr>
      </w:pPr>
      <w:r>
        <w:rPr>
          <w:rFonts w:hint="eastAsia" w:ascii="宋体" w:hAnsi="宋体"/>
          <w:sz w:val="28"/>
          <w:szCs w:val="28"/>
        </w:rPr>
        <w:t>1. 适用范围</w:t>
      </w:r>
    </w:p>
    <w:p w14:paraId="12915CA7">
      <w:pPr>
        <w:autoSpaceDE w:val="0"/>
        <w:autoSpaceDN w:val="0"/>
        <w:spacing w:line="500" w:lineRule="exact"/>
        <w:ind w:firstLine="570"/>
        <w:rPr>
          <w:rFonts w:hint="eastAsia" w:ascii="宋体" w:hAnsi="宋体" w:eastAsia="宋体"/>
          <w:sz w:val="28"/>
          <w:szCs w:val="28"/>
          <w:lang w:eastAsia="zh-CN"/>
        </w:rPr>
      </w:pPr>
      <w:r>
        <w:rPr>
          <w:rFonts w:hint="eastAsia" w:ascii="宋体" w:hAnsi="宋体"/>
          <w:sz w:val="28"/>
          <w:szCs w:val="28"/>
        </w:rPr>
        <w:t>1.1 本单一来源通知书仅适用于本次</w:t>
      </w:r>
      <w:r>
        <w:rPr>
          <w:rFonts w:hint="eastAsia" w:ascii="宋体" w:hAnsi="宋体"/>
          <w:sz w:val="28"/>
          <w:szCs w:val="28"/>
          <w:lang w:val="en-US" w:eastAsia="zh-CN"/>
        </w:rPr>
        <w:t>项城市第二人民医院西门子CT更换球管采购项目</w:t>
      </w:r>
      <w:r>
        <w:rPr>
          <w:rFonts w:hint="eastAsia" w:ascii="宋体" w:hAnsi="宋体"/>
          <w:sz w:val="28"/>
          <w:szCs w:val="28"/>
          <w:lang w:eastAsia="zh-CN"/>
        </w:rPr>
        <w:t>。</w:t>
      </w:r>
    </w:p>
    <w:p w14:paraId="6098E9BB">
      <w:pPr>
        <w:spacing w:line="500" w:lineRule="exact"/>
        <w:rPr>
          <w:rFonts w:ascii="宋体" w:hAnsi="宋体"/>
          <w:sz w:val="28"/>
          <w:szCs w:val="28"/>
        </w:rPr>
      </w:pPr>
      <w:r>
        <w:rPr>
          <w:rFonts w:hint="eastAsia" w:ascii="宋体" w:hAnsi="宋体"/>
          <w:sz w:val="28"/>
          <w:szCs w:val="28"/>
        </w:rPr>
        <w:t>2. 定义</w:t>
      </w:r>
    </w:p>
    <w:p w14:paraId="5B1F6F49">
      <w:pPr>
        <w:spacing w:line="500" w:lineRule="exact"/>
        <w:rPr>
          <w:rFonts w:ascii="宋体" w:hAnsi="宋体"/>
          <w:sz w:val="28"/>
          <w:szCs w:val="28"/>
          <w:u w:val="single"/>
        </w:rPr>
      </w:pPr>
      <w:r>
        <w:rPr>
          <w:rFonts w:hint="eastAsia" w:ascii="宋体" w:hAnsi="宋体"/>
          <w:sz w:val="28"/>
          <w:szCs w:val="28"/>
        </w:rPr>
        <w:t>2.1“采购人”是指：</w:t>
      </w:r>
      <w:r>
        <w:rPr>
          <w:rFonts w:hint="eastAsia" w:ascii="宋体" w:hAnsi="宋体"/>
          <w:sz w:val="28"/>
          <w:szCs w:val="28"/>
          <w:lang w:val="en-US" w:eastAsia="zh-CN"/>
        </w:rPr>
        <w:t>项城市第二人民医院</w:t>
      </w:r>
      <w:r>
        <w:rPr>
          <w:rFonts w:hint="eastAsia" w:ascii="宋体" w:hAnsi="宋体"/>
          <w:sz w:val="28"/>
          <w:szCs w:val="28"/>
        </w:rPr>
        <w:t>。</w:t>
      </w:r>
    </w:p>
    <w:p w14:paraId="73DE47E3">
      <w:pPr>
        <w:spacing w:line="500" w:lineRule="exact"/>
        <w:ind w:left="538" w:hanging="537" w:hangingChars="192"/>
        <w:rPr>
          <w:rFonts w:ascii="宋体" w:hAnsi="宋体"/>
          <w:sz w:val="28"/>
          <w:szCs w:val="28"/>
        </w:rPr>
      </w:pPr>
      <w:r>
        <w:rPr>
          <w:rFonts w:hint="eastAsia" w:ascii="宋体" w:hAnsi="宋体"/>
          <w:sz w:val="28"/>
          <w:szCs w:val="28"/>
        </w:rPr>
        <w:t>2.2“报价供应商”是指：</w:t>
      </w:r>
      <w:r>
        <w:rPr>
          <w:rFonts w:hint="eastAsia" w:ascii="宋体" w:hAnsi="宋体" w:cs="宋体"/>
          <w:spacing w:val="10"/>
          <w:kern w:val="0"/>
          <w:sz w:val="28"/>
          <w:szCs w:val="28"/>
        </w:rPr>
        <w:t>符合本</w:t>
      </w:r>
      <w:r>
        <w:rPr>
          <w:rFonts w:hint="eastAsia" w:ascii="宋体" w:hAnsi="宋体"/>
          <w:sz w:val="28"/>
          <w:szCs w:val="28"/>
        </w:rPr>
        <w:t>单一来源通知书</w:t>
      </w:r>
      <w:r>
        <w:rPr>
          <w:rFonts w:hint="eastAsia" w:ascii="宋体" w:hAnsi="宋体" w:cs="宋体"/>
          <w:spacing w:val="10"/>
          <w:kern w:val="0"/>
          <w:sz w:val="28"/>
          <w:szCs w:val="28"/>
        </w:rPr>
        <w:t>规定并</w:t>
      </w:r>
      <w:r>
        <w:rPr>
          <w:rFonts w:hint="eastAsia" w:ascii="宋体" w:hAnsi="宋体"/>
          <w:sz w:val="28"/>
          <w:szCs w:val="28"/>
        </w:rPr>
        <w:t>参加本项目单一来源的供应商。</w:t>
      </w:r>
    </w:p>
    <w:p w14:paraId="7F436562">
      <w:pPr>
        <w:spacing w:line="500" w:lineRule="exact"/>
        <w:ind w:left="538" w:hanging="537" w:hangingChars="192"/>
        <w:rPr>
          <w:rFonts w:ascii="宋体" w:hAnsi="宋体"/>
          <w:sz w:val="28"/>
          <w:szCs w:val="28"/>
          <w:u w:val="single"/>
        </w:rPr>
      </w:pPr>
      <w:r>
        <w:rPr>
          <w:rFonts w:hint="eastAsia" w:ascii="宋体" w:hAnsi="宋体"/>
          <w:sz w:val="28"/>
          <w:szCs w:val="28"/>
        </w:rPr>
        <w:t>2.3 “监管部门”是指：</w:t>
      </w:r>
      <w:r>
        <w:rPr>
          <w:rFonts w:hint="eastAsia" w:ascii="宋体" w:hAnsi="宋体"/>
          <w:sz w:val="28"/>
          <w:szCs w:val="28"/>
          <w:lang w:val="en-US" w:eastAsia="zh-CN"/>
        </w:rPr>
        <w:t>项城市采购办</w:t>
      </w:r>
      <w:r>
        <w:rPr>
          <w:rFonts w:hint="eastAsia" w:ascii="宋体" w:hAnsi="宋体"/>
          <w:sz w:val="28"/>
          <w:szCs w:val="28"/>
        </w:rPr>
        <w:t>。</w:t>
      </w:r>
    </w:p>
    <w:p w14:paraId="3464E83B">
      <w:pPr>
        <w:pStyle w:val="13"/>
        <w:adjustRightInd w:val="0"/>
        <w:snapToGrid w:val="0"/>
        <w:spacing w:line="500" w:lineRule="exact"/>
        <w:rPr>
          <w:rFonts w:hAnsi="宋体"/>
          <w:sz w:val="28"/>
          <w:szCs w:val="28"/>
        </w:rPr>
      </w:pPr>
      <w:r>
        <w:rPr>
          <w:rFonts w:hint="eastAsia" w:hAnsi="宋体"/>
          <w:sz w:val="28"/>
          <w:szCs w:val="28"/>
        </w:rPr>
        <w:t>2.4 “代理机构”是指：周口市公共资源交易中心政府采购中心。</w:t>
      </w:r>
    </w:p>
    <w:p w14:paraId="1A5AB2F4">
      <w:pPr>
        <w:spacing w:line="500" w:lineRule="exact"/>
        <w:ind w:left="560" w:hanging="560" w:hangingChars="200"/>
        <w:rPr>
          <w:rFonts w:ascii="宋体" w:hAnsi="宋体"/>
          <w:sz w:val="28"/>
          <w:szCs w:val="28"/>
        </w:rPr>
      </w:pPr>
      <w:r>
        <w:rPr>
          <w:rFonts w:hint="eastAsia" w:ascii="宋体" w:hAnsi="宋体"/>
          <w:sz w:val="28"/>
          <w:szCs w:val="28"/>
        </w:rPr>
        <w:t>2.5 “成交供应商”是指：经单一来源小组评审、推荐，采购人依法确定并授予合同的报价供应商。</w:t>
      </w:r>
    </w:p>
    <w:p w14:paraId="16855930">
      <w:pPr>
        <w:spacing w:line="500" w:lineRule="exact"/>
        <w:ind w:left="560" w:hanging="560" w:hangingChars="200"/>
        <w:rPr>
          <w:rFonts w:ascii="宋体" w:hAnsi="宋体"/>
          <w:sz w:val="28"/>
          <w:szCs w:val="28"/>
        </w:rPr>
      </w:pPr>
      <w:r>
        <w:rPr>
          <w:rFonts w:hint="eastAsia" w:ascii="宋体" w:hAnsi="宋体"/>
          <w:sz w:val="28"/>
          <w:szCs w:val="28"/>
        </w:rPr>
        <w:t>2.6“货物”是</w:t>
      </w:r>
      <w:r>
        <w:rPr>
          <w:rFonts w:hint="eastAsia" w:ascii="宋体" w:hAnsi="宋体"/>
          <w:spacing w:val="-10"/>
          <w:sz w:val="28"/>
          <w:szCs w:val="28"/>
        </w:rPr>
        <w:t>指：各种形态和种类的物品，包括原材料、燃料、设备、产品等</w:t>
      </w:r>
      <w:r>
        <w:rPr>
          <w:rFonts w:hint="eastAsia" w:ascii="宋体" w:hAnsi="宋体"/>
          <w:sz w:val="28"/>
          <w:szCs w:val="28"/>
        </w:rPr>
        <w:t>。</w:t>
      </w:r>
    </w:p>
    <w:p w14:paraId="7EE3BA8A">
      <w:pPr>
        <w:spacing w:line="500" w:lineRule="exact"/>
        <w:ind w:left="420" w:hanging="420"/>
        <w:rPr>
          <w:rFonts w:ascii="宋体" w:hAnsi="宋体"/>
          <w:sz w:val="28"/>
          <w:szCs w:val="28"/>
        </w:rPr>
      </w:pPr>
      <w:r>
        <w:rPr>
          <w:rFonts w:hint="eastAsia" w:ascii="宋体" w:hAnsi="宋体"/>
          <w:sz w:val="28"/>
          <w:szCs w:val="28"/>
        </w:rPr>
        <w:t>2.7“服务”</w:t>
      </w:r>
      <w:r>
        <w:rPr>
          <w:rFonts w:hint="eastAsia" w:ascii="宋体" w:hAnsi="宋体"/>
          <w:spacing w:val="-10"/>
          <w:sz w:val="28"/>
          <w:szCs w:val="28"/>
        </w:rPr>
        <w:t>是指：除货物和工程以外的其他政府采购对象</w:t>
      </w:r>
      <w:r>
        <w:rPr>
          <w:rFonts w:hint="eastAsia" w:ascii="宋体" w:hAnsi="宋体"/>
          <w:sz w:val="28"/>
          <w:szCs w:val="28"/>
        </w:rPr>
        <w:t>。</w:t>
      </w:r>
    </w:p>
    <w:p w14:paraId="481D4240">
      <w:pPr>
        <w:spacing w:line="500" w:lineRule="exact"/>
        <w:ind w:left="560" w:hanging="560" w:hangingChars="200"/>
        <w:rPr>
          <w:rFonts w:ascii="宋体" w:hAnsi="宋体"/>
          <w:sz w:val="28"/>
          <w:szCs w:val="28"/>
        </w:rPr>
      </w:pPr>
      <w:r>
        <w:rPr>
          <w:rFonts w:hint="eastAsia" w:ascii="宋体" w:hAnsi="宋体"/>
          <w:sz w:val="28"/>
          <w:szCs w:val="28"/>
        </w:rPr>
        <w:t>2.8“响应文件”是指：报价供应商根据单一来源通知书要求，编制包含报价、技术和服务等所有内容的文件。</w:t>
      </w:r>
    </w:p>
    <w:p w14:paraId="477BB4BD">
      <w:pPr>
        <w:autoSpaceDE w:val="0"/>
        <w:autoSpaceDN w:val="0"/>
        <w:spacing w:line="500" w:lineRule="exact"/>
        <w:rPr>
          <w:rFonts w:ascii="宋体" w:hAnsi="宋体"/>
          <w:sz w:val="28"/>
          <w:szCs w:val="28"/>
          <w:lang w:val="zh-CN"/>
        </w:rPr>
      </w:pPr>
      <w:r>
        <w:rPr>
          <w:rFonts w:hint="eastAsia" w:ascii="宋体" w:hAnsi="宋体"/>
          <w:sz w:val="28"/>
          <w:szCs w:val="28"/>
        </w:rPr>
        <w:t>3. 供应商必须具备的基本条件</w:t>
      </w:r>
    </w:p>
    <w:p w14:paraId="21C2CC74">
      <w:pPr>
        <w:autoSpaceDE w:val="0"/>
        <w:autoSpaceDN w:val="0"/>
        <w:spacing w:line="500" w:lineRule="exact"/>
        <w:ind w:left="399" w:leftChars="190"/>
        <w:rPr>
          <w:rFonts w:ascii="宋体" w:hAnsi="宋体"/>
          <w:sz w:val="28"/>
          <w:szCs w:val="28"/>
        </w:rPr>
      </w:pPr>
      <w:r>
        <w:rPr>
          <w:rFonts w:hint="eastAsia" w:ascii="宋体" w:hAnsi="宋体"/>
          <w:sz w:val="28"/>
          <w:szCs w:val="28"/>
        </w:rPr>
        <w:t>符合单一来源通知书“第一章单一来源邀请函”第五条所规定的供应商资格要求，</w:t>
      </w:r>
      <w:r>
        <w:rPr>
          <w:rFonts w:hint="eastAsia" w:ascii="宋体" w:hAnsi="宋体"/>
          <w:kern w:val="0"/>
          <w:sz w:val="28"/>
          <w:szCs w:val="28"/>
        </w:rPr>
        <w:t>有</w:t>
      </w:r>
      <w:r>
        <w:rPr>
          <w:rFonts w:hint="eastAsia" w:ascii="宋体" w:hAnsi="宋体"/>
          <w:snapToGrid w:val="0"/>
          <w:kern w:val="0"/>
          <w:sz w:val="28"/>
          <w:szCs w:val="28"/>
        </w:rPr>
        <w:t>能力提供本项目货物及相关服务的</w:t>
      </w:r>
      <w:r>
        <w:rPr>
          <w:rFonts w:hint="eastAsia" w:ascii="宋体" w:hAnsi="宋体"/>
          <w:kern w:val="0"/>
          <w:sz w:val="28"/>
          <w:szCs w:val="28"/>
        </w:rPr>
        <w:t>供应商</w:t>
      </w:r>
      <w:r>
        <w:rPr>
          <w:rFonts w:hint="eastAsia" w:ascii="宋体" w:hAnsi="宋体"/>
          <w:sz w:val="28"/>
          <w:szCs w:val="28"/>
        </w:rPr>
        <w:t>。</w:t>
      </w:r>
    </w:p>
    <w:p w14:paraId="5458DB30">
      <w:pPr>
        <w:spacing w:line="500" w:lineRule="exact"/>
        <w:rPr>
          <w:rFonts w:ascii="宋体" w:hAnsi="宋体"/>
          <w:sz w:val="28"/>
          <w:szCs w:val="28"/>
        </w:rPr>
      </w:pPr>
      <w:r>
        <w:rPr>
          <w:rFonts w:hint="eastAsia" w:ascii="宋体" w:hAnsi="宋体"/>
          <w:sz w:val="28"/>
          <w:szCs w:val="28"/>
        </w:rPr>
        <w:t>4. 报价费用</w:t>
      </w:r>
    </w:p>
    <w:p w14:paraId="53B8A98D">
      <w:pPr>
        <w:spacing w:line="500" w:lineRule="exact"/>
        <w:ind w:left="560" w:hanging="560" w:hangingChars="200"/>
        <w:rPr>
          <w:rFonts w:hint="default" w:ascii="宋体" w:hAnsi="宋体" w:eastAsia="宋体"/>
          <w:sz w:val="28"/>
          <w:szCs w:val="28"/>
          <w:lang w:val="en-US" w:eastAsia="zh-CN"/>
        </w:rPr>
      </w:pPr>
      <w:r>
        <w:rPr>
          <w:rFonts w:hint="eastAsia" w:ascii="宋体" w:hAnsi="宋体"/>
          <w:sz w:val="28"/>
          <w:szCs w:val="28"/>
        </w:rPr>
        <w:t>4.1 报价供应商应自行承担所有与编写和提交响应文件有关的费用，不论结果如何，采购人和</w:t>
      </w:r>
      <w:r>
        <w:rPr>
          <w:rFonts w:hint="eastAsia" w:hAnsi="宋体"/>
          <w:sz w:val="28"/>
          <w:szCs w:val="28"/>
        </w:rPr>
        <w:t>周口市公共资源交易中心政府采购中心</w:t>
      </w:r>
      <w:r>
        <w:rPr>
          <w:rFonts w:hint="eastAsia" w:ascii="宋体" w:hAnsi="宋体"/>
          <w:sz w:val="28"/>
          <w:szCs w:val="28"/>
        </w:rPr>
        <w:t>在任何情况下无义务和责任承担此类费用。</w:t>
      </w:r>
      <w:r>
        <w:rPr>
          <w:rFonts w:hint="eastAsia" w:ascii="宋体" w:hAnsi="宋体"/>
          <w:sz w:val="28"/>
          <w:szCs w:val="28"/>
          <w:lang w:val="en-US" w:eastAsia="zh-CN"/>
        </w:rPr>
        <w:t>专家评标费用由采购人支付。</w:t>
      </w:r>
    </w:p>
    <w:p w14:paraId="2BEB2942">
      <w:pPr>
        <w:spacing w:line="500" w:lineRule="exact"/>
        <w:ind w:left="562" w:hanging="562" w:hangingChars="200"/>
        <w:rPr>
          <w:rFonts w:ascii="宋体" w:hAnsi="宋体"/>
          <w:b/>
          <w:sz w:val="28"/>
          <w:szCs w:val="28"/>
        </w:rPr>
      </w:pPr>
    </w:p>
    <w:p w14:paraId="5B293D3B">
      <w:pPr>
        <w:pStyle w:val="3"/>
        <w:rPr>
          <w:rFonts w:ascii="宋体" w:eastAsia="宋体"/>
          <w:b/>
        </w:rPr>
      </w:pPr>
      <w:bookmarkStart w:id="49" w:name="_Toc293740136"/>
      <w:bookmarkStart w:id="50" w:name="_Toc293740092"/>
      <w:bookmarkStart w:id="51" w:name="_Toc12017"/>
      <w:bookmarkStart w:id="52" w:name="_Toc293740301"/>
      <w:r>
        <w:rPr>
          <w:rFonts w:hint="eastAsia" w:ascii="宋体" w:eastAsia="宋体"/>
          <w:b/>
        </w:rPr>
        <w:t>二、响应文件的编制</w:t>
      </w:r>
      <w:bookmarkEnd w:id="49"/>
      <w:bookmarkEnd w:id="50"/>
      <w:bookmarkEnd w:id="51"/>
      <w:bookmarkEnd w:id="52"/>
    </w:p>
    <w:p w14:paraId="5771CAFF">
      <w:pPr>
        <w:spacing w:line="500" w:lineRule="exact"/>
        <w:rPr>
          <w:rFonts w:ascii="宋体" w:hAnsi="宋体"/>
          <w:sz w:val="28"/>
          <w:szCs w:val="28"/>
        </w:rPr>
      </w:pPr>
      <w:r>
        <w:rPr>
          <w:rFonts w:hint="eastAsia" w:ascii="宋体" w:hAnsi="宋体"/>
          <w:sz w:val="28"/>
          <w:szCs w:val="28"/>
        </w:rPr>
        <w:t>5.响应文件编制基本要求</w:t>
      </w:r>
    </w:p>
    <w:p w14:paraId="4471C030">
      <w:pPr>
        <w:spacing w:line="500" w:lineRule="exact"/>
        <w:ind w:left="560" w:hanging="560" w:hangingChars="200"/>
        <w:rPr>
          <w:rFonts w:ascii="宋体" w:hAnsi="宋体"/>
          <w:sz w:val="28"/>
          <w:szCs w:val="28"/>
        </w:rPr>
      </w:pPr>
      <w:r>
        <w:rPr>
          <w:rFonts w:hint="eastAsia" w:ascii="宋体" w:hAnsi="宋体"/>
          <w:sz w:val="28"/>
          <w:szCs w:val="28"/>
        </w:rPr>
        <w:t>5.1报价供应商提交的响应文件以及报价供应商与</w:t>
      </w:r>
      <w:r>
        <w:rPr>
          <w:rFonts w:hint="eastAsia" w:hAnsi="宋体"/>
          <w:sz w:val="28"/>
          <w:szCs w:val="28"/>
        </w:rPr>
        <w:t>周口市公共资源交易中心政府采购中心</w:t>
      </w:r>
      <w:r>
        <w:rPr>
          <w:rFonts w:hint="eastAsia" w:ascii="宋体" w:hAnsi="宋体"/>
          <w:sz w:val="28"/>
          <w:szCs w:val="28"/>
        </w:rPr>
        <w:t>和采购人就有关报价的所有来往函电均应使用中文。报价供应商提交的支持文件和印刷的文献可以使用别的语言，但其相应内容必须附有中文翻译文本，在解释报价文件时以翻译文本为主。</w:t>
      </w:r>
    </w:p>
    <w:p w14:paraId="535075DF">
      <w:pPr>
        <w:spacing w:line="500" w:lineRule="exact"/>
        <w:ind w:left="560" w:hanging="560" w:hangingChars="200"/>
        <w:rPr>
          <w:rFonts w:ascii="宋体" w:hAnsi="宋体"/>
          <w:sz w:val="28"/>
          <w:szCs w:val="28"/>
        </w:rPr>
      </w:pPr>
      <w:r>
        <w:rPr>
          <w:rFonts w:hint="eastAsia" w:ascii="宋体" w:hAnsi="宋体"/>
          <w:sz w:val="28"/>
          <w:szCs w:val="28"/>
        </w:rPr>
        <w:t>5.2报价供应商应认真阅读、并充分理解单一来源通知书的全部内容（包括所有的补充、修改内容），承诺并履行本文件中各项条款规定及要求。</w:t>
      </w:r>
    </w:p>
    <w:p w14:paraId="7C91B41A">
      <w:pPr>
        <w:spacing w:line="500" w:lineRule="exact"/>
        <w:ind w:left="560" w:hanging="560" w:hangingChars="200"/>
        <w:rPr>
          <w:rFonts w:ascii="宋体" w:hAnsi="宋体"/>
          <w:sz w:val="28"/>
          <w:szCs w:val="28"/>
        </w:rPr>
      </w:pPr>
      <w:r>
        <w:rPr>
          <w:rFonts w:hint="eastAsia" w:ascii="宋体" w:hAnsi="宋体"/>
          <w:sz w:val="28"/>
          <w:szCs w:val="28"/>
        </w:rPr>
        <w:t>5.3响应文件必须按单一来源通知书的全部内容，包括所有的补充通知及附件进行编制。</w:t>
      </w:r>
    </w:p>
    <w:p w14:paraId="1B1492BC">
      <w:pPr>
        <w:spacing w:line="500" w:lineRule="exact"/>
        <w:ind w:left="560" w:hanging="560" w:hangingChars="200"/>
        <w:rPr>
          <w:rFonts w:ascii="宋体" w:hAnsi="宋体"/>
          <w:sz w:val="28"/>
          <w:szCs w:val="28"/>
        </w:rPr>
      </w:pPr>
      <w:r>
        <w:rPr>
          <w:rFonts w:hint="eastAsia" w:ascii="宋体" w:hAnsi="宋体"/>
          <w:sz w:val="28"/>
          <w:szCs w:val="28"/>
        </w:rPr>
        <w:t>5.4如因报价供应商只填写和提供了本文件要求的部分内容和附件，而给评审造成困难，其可能导致的结果和责任由报价供应商自行承担。</w:t>
      </w:r>
    </w:p>
    <w:p w14:paraId="197A7C43">
      <w:pPr>
        <w:spacing w:line="500" w:lineRule="exact"/>
        <w:rPr>
          <w:rFonts w:ascii="宋体" w:hAnsi="宋体"/>
          <w:sz w:val="28"/>
          <w:szCs w:val="28"/>
        </w:rPr>
      </w:pPr>
      <w:r>
        <w:rPr>
          <w:rFonts w:hint="eastAsia" w:ascii="宋体" w:hAnsi="宋体"/>
          <w:sz w:val="28"/>
          <w:szCs w:val="28"/>
        </w:rPr>
        <w:t>6. 响应文件的组成</w:t>
      </w:r>
    </w:p>
    <w:p w14:paraId="56485D2B">
      <w:pPr>
        <w:spacing w:line="500" w:lineRule="exact"/>
        <w:rPr>
          <w:rFonts w:ascii="宋体" w:hAnsi="宋体"/>
          <w:bCs/>
          <w:sz w:val="28"/>
          <w:szCs w:val="28"/>
        </w:rPr>
      </w:pPr>
      <w:r>
        <w:rPr>
          <w:rFonts w:hint="eastAsia" w:ascii="宋体" w:hAnsi="宋体"/>
          <w:bCs/>
          <w:sz w:val="28"/>
          <w:szCs w:val="28"/>
        </w:rPr>
        <w:t>6.1</w:t>
      </w:r>
      <w:r>
        <w:rPr>
          <w:rFonts w:hint="eastAsia" w:ascii="宋体" w:hAnsi="宋体"/>
          <w:sz w:val="28"/>
          <w:szCs w:val="28"/>
        </w:rPr>
        <w:t>响应</w:t>
      </w:r>
      <w:r>
        <w:rPr>
          <w:rFonts w:hint="eastAsia" w:ascii="宋体" w:hAnsi="宋体"/>
          <w:bCs/>
          <w:sz w:val="28"/>
          <w:szCs w:val="28"/>
        </w:rPr>
        <w:t>文件由以下内容组成：</w:t>
      </w:r>
    </w:p>
    <w:p w14:paraId="6A69EFD0">
      <w:pPr>
        <w:spacing w:line="500" w:lineRule="exact"/>
        <w:ind w:firstLine="570"/>
        <w:rPr>
          <w:rFonts w:ascii="宋体" w:hAnsi="宋体"/>
          <w:bCs/>
          <w:sz w:val="28"/>
          <w:szCs w:val="28"/>
        </w:rPr>
      </w:pPr>
      <w:r>
        <w:rPr>
          <w:rFonts w:hint="eastAsia" w:ascii="宋体" w:hAnsi="宋体"/>
          <w:bCs/>
          <w:sz w:val="28"/>
          <w:szCs w:val="28"/>
        </w:rPr>
        <w:t>1）报价表；</w:t>
      </w:r>
    </w:p>
    <w:p w14:paraId="5CBB7C07">
      <w:pPr>
        <w:spacing w:line="500" w:lineRule="exact"/>
        <w:ind w:firstLine="570"/>
        <w:rPr>
          <w:rFonts w:ascii="宋体" w:hAnsi="宋体"/>
          <w:bCs/>
          <w:sz w:val="28"/>
          <w:szCs w:val="28"/>
        </w:rPr>
      </w:pPr>
      <w:r>
        <w:rPr>
          <w:rFonts w:hint="eastAsia" w:ascii="宋体" w:hAnsi="宋体"/>
          <w:bCs/>
          <w:sz w:val="28"/>
          <w:szCs w:val="28"/>
        </w:rPr>
        <w:t>2）法定代表人/负责人授权书；</w:t>
      </w:r>
    </w:p>
    <w:p w14:paraId="1BD35A21">
      <w:pPr>
        <w:spacing w:line="500" w:lineRule="exact"/>
        <w:ind w:firstLine="570"/>
        <w:rPr>
          <w:rFonts w:ascii="宋体" w:hAnsi="宋体"/>
          <w:bCs/>
          <w:sz w:val="28"/>
          <w:szCs w:val="28"/>
        </w:rPr>
      </w:pPr>
      <w:r>
        <w:rPr>
          <w:rFonts w:hint="eastAsia" w:ascii="宋体" w:hAnsi="宋体"/>
          <w:bCs/>
          <w:sz w:val="28"/>
          <w:szCs w:val="28"/>
        </w:rPr>
        <w:t>3）资格证明文件；</w:t>
      </w:r>
    </w:p>
    <w:p w14:paraId="6ED9D917">
      <w:pPr>
        <w:spacing w:line="500" w:lineRule="exact"/>
        <w:ind w:firstLine="570"/>
        <w:rPr>
          <w:rFonts w:hint="eastAsia" w:ascii="宋体" w:hAnsi="宋体"/>
          <w:bCs/>
          <w:sz w:val="28"/>
          <w:szCs w:val="28"/>
        </w:rPr>
      </w:pPr>
      <w:r>
        <w:rPr>
          <w:rFonts w:hint="eastAsia" w:ascii="宋体" w:hAnsi="宋体"/>
          <w:bCs/>
          <w:sz w:val="28"/>
          <w:szCs w:val="28"/>
        </w:rPr>
        <w:t>4）其它（投标人认为有必要提供的其他材料，如有自拟名称并自行添加）</w:t>
      </w:r>
    </w:p>
    <w:p w14:paraId="14A8CBB2">
      <w:pPr>
        <w:spacing w:line="500" w:lineRule="exact"/>
        <w:rPr>
          <w:rFonts w:ascii="宋体" w:hAnsi="宋体"/>
          <w:bCs/>
          <w:sz w:val="28"/>
          <w:szCs w:val="28"/>
        </w:rPr>
      </w:pPr>
      <w:r>
        <w:rPr>
          <w:rFonts w:hint="eastAsia" w:ascii="宋体" w:hAnsi="宋体"/>
          <w:bCs/>
          <w:sz w:val="28"/>
          <w:szCs w:val="28"/>
        </w:rPr>
        <w:t>7.</w:t>
      </w:r>
      <w:r>
        <w:rPr>
          <w:rFonts w:hint="eastAsia" w:ascii="宋体" w:hAnsi="宋体"/>
          <w:sz w:val="28"/>
          <w:szCs w:val="28"/>
        </w:rPr>
        <w:t xml:space="preserve"> 响应</w:t>
      </w:r>
      <w:r>
        <w:rPr>
          <w:rFonts w:hint="eastAsia" w:ascii="宋体" w:hAnsi="宋体"/>
          <w:bCs/>
          <w:sz w:val="28"/>
          <w:szCs w:val="28"/>
        </w:rPr>
        <w:t>文件的编制</w:t>
      </w:r>
    </w:p>
    <w:p w14:paraId="4A2C92EE">
      <w:pPr>
        <w:spacing w:line="500" w:lineRule="exact"/>
        <w:ind w:left="360" w:leftChars="-171" w:hanging="719" w:hangingChars="257"/>
        <w:rPr>
          <w:rFonts w:ascii="宋体" w:hAnsi="宋体"/>
          <w:sz w:val="28"/>
          <w:szCs w:val="28"/>
        </w:rPr>
      </w:pPr>
      <w:r>
        <w:rPr>
          <w:rFonts w:hint="eastAsia" w:ascii="宋体" w:hAnsi="宋体"/>
          <w:sz w:val="28"/>
          <w:szCs w:val="28"/>
        </w:rPr>
        <w:t xml:space="preserve">  </w:t>
      </w:r>
      <w:r>
        <w:rPr>
          <w:rFonts w:hint="eastAsia" w:ascii="宋体" w:hAnsi="宋体"/>
          <w:bCs/>
          <w:sz w:val="28"/>
          <w:szCs w:val="28"/>
        </w:rPr>
        <w:t>7.</w:t>
      </w:r>
      <w:r>
        <w:rPr>
          <w:rFonts w:hint="eastAsia" w:ascii="宋体" w:hAnsi="宋体"/>
          <w:sz w:val="28"/>
          <w:szCs w:val="28"/>
        </w:rPr>
        <w:t>1响应文件应用</w:t>
      </w:r>
      <w:r>
        <w:rPr>
          <w:rFonts w:ascii="宋体" w:hAnsi="宋体"/>
          <w:sz w:val="28"/>
          <w:szCs w:val="28"/>
        </w:rPr>
        <w:t>A4</w:t>
      </w:r>
      <w:r>
        <w:rPr>
          <w:rFonts w:hint="eastAsia" w:ascii="宋体" w:hAnsi="宋体"/>
          <w:sz w:val="28"/>
          <w:szCs w:val="28"/>
        </w:rPr>
        <w:t>纸打印，按单一来源通知书要求的顺序牢固装订成册，不可插页、抽页，编制目录并标明页码以便评审。由于编排混乱导致投标文件被误读或查不到，所引起的后果由报价供应商负责。各种活页夹、文件夹装订均不认为是牢固装订，没有牢固装订或编排页码的响应文件</w:t>
      </w:r>
      <w:r>
        <w:rPr>
          <w:rFonts w:hint="eastAsia" w:ascii="宋体" w:hAnsi="宋体"/>
          <w:sz w:val="28"/>
          <w:szCs w:val="28"/>
          <w:lang w:eastAsia="zh-CN"/>
        </w:rPr>
        <w:t>，影响评审的由供应商自行负责</w:t>
      </w:r>
      <w:r>
        <w:rPr>
          <w:rFonts w:hint="eastAsia" w:ascii="宋体" w:hAnsi="宋体"/>
          <w:sz w:val="28"/>
          <w:szCs w:val="28"/>
        </w:rPr>
        <w:t>。</w:t>
      </w:r>
    </w:p>
    <w:p w14:paraId="6558D92A">
      <w:pPr>
        <w:spacing w:line="500" w:lineRule="exact"/>
        <w:ind w:left="496" w:hanging="495" w:hangingChars="177"/>
        <w:rPr>
          <w:rFonts w:ascii="宋体" w:hAnsi="宋体"/>
          <w:sz w:val="28"/>
          <w:szCs w:val="28"/>
        </w:rPr>
      </w:pPr>
      <w:r>
        <w:rPr>
          <w:rFonts w:hint="eastAsia" w:ascii="宋体" w:hAnsi="宋体"/>
          <w:bCs/>
          <w:sz w:val="28"/>
          <w:szCs w:val="28"/>
        </w:rPr>
        <w:t>7.</w:t>
      </w:r>
      <w:r>
        <w:rPr>
          <w:rFonts w:hint="eastAsia" w:ascii="宋体" w:hAnsi="宋体"/>
          <w:sz w:val="28"/>
          <w:szCs w:val="28"/>
        </w:rPr>
        <w:t>2投标文件中不应有加行、涂抹或改写。如有修改错漏处，必须由法定代表人或其委托代理人签字并加盖公章。</w:t>
      </w:r>
    </w:p>
    <w:p w14:paraId="3C89161F">
      <w:pPr>
        <w:spacing w:line="500" w:lineRule="exact"/>
        <w:ind w:left="1120" w:hanging="1120" w:hangingChars="400"/>
        <w:rPr>
          <w:rFonts w:hint="eastAsia" w:ascii="宋体" w:hAnsi="宋体"/>
          <w:sz w:val="28"/>
          <w:szCs w:val="28"/>
        </w:rPr>
      </w:pPr>
      <w:r>
        <w:rPr>
          <w:rFonts w:hint="eastAsia" w:ascii="宋体" w:hAnsi="宋体"/>
          <w:bCs/>
          <w:sz w:val="28"/>
          <w:szCs w:val="28"/>
        </w:rPr>
        <w:t>7.</w:t>
      </w:r>
      <w:r>
        <w:rPr>
          <w:rFonts w:hint="eastAsia" w:ascii="宋体" w:hAnsi="宋体"/>
          <w:sz w:val="28"/>
          <w:szCs w:val="28"/>
        </w:rPr>
        <w:t>3电报、电话、传真、电子邮件形式的投标概不接受。</w:t>
      </w:r>
    </w:p>
    <w:p w14:paraId="5E3847A2">
      <w:pPr>
        <w:spacing w:line="500" w:lineRule="exact"/>
        <w:ind w:left="560" w:hanging="560" w:hangingChars="200"/>
        <w:rPr>
          <w:rFonts w:ascii="宋体" w:hAnsi="宋体"/>
          <w:sz w:val="28"/>
          <w:szCs w:val="28"/>
        </w:rPr>
      </w:pPr>
      <w:r>
        <w:rPr>
          <w:rFonts w:hint="eastAsia" w:ascii="宋体" w:hAnsi="宋体"/>
          <w:bCs/>
          <w:sz w:val="28"/>
          <w:szCs w:val="28"/>
        </w:rPr>
        <w:t>7.</w:t>
      </w:r>
      <w:r>
        <w:rPr>
          <w:rFonts w:hint="eastAsia" w:ascii="宋体" w:hAnsi="宋体"/>
          <w:sz w:val="28"/>
          <w:szCs w:val="28"/>
        </w:rPr>
        <w:t>4响应文件须在指定位置加盖报价供应商单位公章，并由法定代表人或经其正式授权的代表签字。如为授权代表签字，其《法定代表人授权书》应附在报价文件中。否则视为无效报价文件。</w:t>
      </w:r>
    </w:p>
    <w:p w14:paraId="4B14AA43">
      <w:pPr>
        <w:spacing w:line="500" w:lineRule="exact"/>
        <w:rPr>
          <w:rFonts w:ascii="宋体" w:hAnsi="宋体"/>
          <w:sz w:val="28"/>
          <w:szCs w:val="28"/>
        </w:rPr>
      </w:pPr>
      <w:r>
        <w:rPr>
          <w:rFonts w:hint="eastAsia" w:ascii="宋体" w:hAnsi="宋体"/>
          <w:sz w:val="28"/>
          <w:szCs w:val="28"/>
        </w:rPr>
        <w:t>8.计量单位</w:t>
      </w:r>
    </w:p>
    <w:p w14:paraId="02971F22">
      <w:pPr>
        <w:spacing w:line="500" w:lineRule="exact"/>
        <w:ind w:left="560" w:hanging="560" w:hangingChars="200"/>
        <w:rPr>
          <w:rFonts w:ascii="宋体" w:hAnsi="宋体"/>
          <w:sz w:val="28"/>
          <w:szCs w:val="28"/>
        </w:rPr>
      </w:pPr>
      <w:r>
        <w:rPr>
          <w:rFonts w:hint="eastAsia" w:ascii="宋体" w:hAnsi="宋体"/>
          <w:sz w:val="28"/>
          <w:szCs w:val="28"/>
        </w:rPr>
        <w:t>8.1除技术要求中另有规定外，本文件所要求使用的计量单位均应采用国家法定计量单位。</w:t>
      </w:r>
    </w:p>
    <w:p w14:paraId="43C5EC15">
      <w:pPr>
        <w:spacing w:line="500" w:lineRule="exact"/>
        <w:ind w:left="560" w:hanging="560" w:hangingChars="200"/>
        <w:rPr>
          <w:rFonts w:ascii="宋体" w:hAnsi="宋体"/>
          <w:sz w:val="28"/>
          <w:szCs w:val="28"/>
        </w:rPr>
      </w:pPr>
      <w:r>
        <w:rPr>
          <w:rFonts w:hint="eastAsia" w:ascii="宋体" w:hAnsi="宋体"/>
          <w:sz w:val="28"/>
          <w:szCs w:val="28"/>
        </w:rPr>
        <w:t>9.报价要求</w:t>
      </w:r>
    </w:p>
    <w:p w14:paraId="38683541">
      <w:pPr>
        <w:spacing w:line="500" w:lineRule="exact"/>
        <w:ind w:left="560" w:hanging="560" w:hangingChars="200"/>
        <w:rPr>
          <w:rFonts w:ascii="宋体" w:hAnsi="宋体"/>
          <w:sz w:val="28"/>
          <w:szCs w:val="28"/>
        </w:rPr>
      </w:pPr>
      <w:r>
        <w:rPr>
          <w:rFonts w:hint="eastAsia" w:ascii="宋体" w:hAnsi="宋体"/>
          <w:sz w:val="28"/>
          <w:szCs w:val="28"/>
        </w:rPr>
        <w:t>9.1报价供应商所提供的货物和服务均以人民币报价。</w:t>
      </w:r>
    </w:p>
    <w:p w14:paraId="38CBC685">
      <w:pPr>
        <w:spacing w:line="500" w:lineRule="exact"/>
        <w:ind w:left="560" w:hanging="560" w:hangingChars="200"/>
        <w:rPr>
          <w:rFonts w:ascii="宋体" w:hAnsi="宋体"/>
          <w:sz w:val="28"/>
          <w:szCs w:val="28"/>
        </w:rPr>
      </w:pPr>
      <w:r>
        <w:rPr>
          <w:rFonts w:hint="eastAsia" w:ascii="宋体" w:hAnsi="宋体"/>
          <w:sz w:val="28"/>
          <w:szCs w:val="28"/>
        </w:rPr>
        <w:t>9.2总报价应是本项目范围内全部内容的价格体现,包括货款、包装费、运杂费、安装测试费、技术培训费、售后服务、税金、利润等各种应有费用。</w:t>
      </w:r>
    </w:p>
    <w:p w14:paraId="2C5B85DA">
      <w:pPr>
        <w:spacing w:line="500" w:lineRule="exact"/>
        <w:ind w:left="560" w:hanging="560" w:hangingChars="200"/>
        <w:rPr>
          <w:rFonts w:ascii="宋体" w:hAnsi="宋体"/>
          <w:sz w:val="28"/>
          <w:szCs w:val="28"/>
        </w:rPr>
      </w:pPr>
      <w:r>
        <w:rPr>
          <w:rFonts w:hint="eastAsia" w:ascii="宋体" w:hAnsi="宋体"/>
          <w:sz w:val="28"/>
          <w:szCs w:val="28"/>
        </w:rPr>
        <w:t>9.3对于本文件中未列明，而报价供应商认为必需的费用也需列入总报价。在合同实施时，采购人将不予支付成交供应商没有列入的项目费用，并认为此项目的费用已包括在总报价中。</w:t>
      </w:r>
    </w:p>
    <w:p w14:paraId="5066D583">
      <w:pPr>
        <w:spacing w:line="500" w:lineRule="exact"/>
        <w:ind w:left="560" w:hanging="560" w:hangingChars="200"/>
        <w:rPr>
          <w:rFonts w:hint="eastAsia" w:ascii="宋体" w:hAnsi="宋体"/>
          <w:sz w:val="28"/>
          <w:szCs w:val="28"/>
        </w:rPr>
      </w:pPr>
      <w:r>
        <w:rPr>
          <w:rFonts w:hint="eastAsia" w:ascii="宋体" w:hAnsi="宋体"/>
          <w:sz w:val="28"/>
          <w:szCs w:val="28"/>
        </w:rPr>
        <w:t>9.4报价供应商要详细填写“报价表”中的内容，由法人代表或授权代表签字确认，并加盖单位公章。</w:t>
      </w:r>
    </w:p>
    <w:p w14:paraId="20C46E46">
      <w:pPr>
        <w:spacing w:line="500" w:lineRule="exact"/>
        <w:ind w:left="560" w:hanging="560" w:hangingChars="200"/>
        <w:rPr>
          <w:rFonts w:ascii="宋体" w:hAnsi="宋体"/>
          <w:sz w:val="28"/>
          <w:szCs w:val="28"/>
        </w:rPr>
      </w:pPr>
    </w:p>
    <w:p w14:paraId="3D9F0CA5">
      <w:pPr>
        <w:pStyle w:val="3"/>
        <w:rPr>
          <w:rFonts w:ascii="宋体" w:eastAsia="宋体"/>
          <w:b/>
        </w:rPr>
      </w:pPr>
      <w:bookmarkStart w:id="53" w:name="_Toc293740094"/>
      <w:bookmarkStart w:id="54" w:name="_Toc293740303"/>
      <w:bookmarkStart w:id="55" w:name="_Toc293740138"/>
      <w:bookmarkStart w:id="56" w:name="_Toc30869"/>
      <w:r>
        <w:rPr>
          <w:rFonts w:hint="eastAsia" w:ascii="宋体" w:eastAsia="宋体"/>
          <w:b/>
        </w:rPr>
        <w:t>三、响应文件的份数、封装和递交</w:t>
      </w:r>
      <w:bookmarkEnd w:id="53"/>
      <w:bookmarkEnd w:id="54"/>
      <w:bookmarkEnd w:id="55"/>
      <w:bookmarkEnd w:id="56"/>
    </w:p>
    <w:p w14:paraId="2F3A97D2">
      <w:pPr>
        <w:spacing w:line="500" w:lineRule="exact"/>
        <w:ind w:left="420" w:hanging="420"/>
        <w:rPr>
          <w:rFonts w:ascii="宋体" w:hAnsi="宋体"/>
          <w:sz w:val="28"/>
          <w:szCs w:val="28"/>
        </w:rPr>
      </w:pPr>
      <w:r>
        <w:rPr>
          <w:rFonts w:hint="eastAsia" w:ascii="宋体" w:hAnsi="宋体"/>
          <w:sz w:val="28"/>
          <w:szCs w:val="28"/>
        </w:rPr>
        <w:t>10.响应文件的份数</w:t>
      </w:r>
    </w:p>
    <w:p w14:paraId="23CEA5FA">
      <w:pPr>
        <w:spacing w:line="500" w:lineRule="exact"/>
        <w:ind w:left="418" w:leftChars="199"/>
        <w:rPr>
          <w:rFonts w:ascii="宋体" w:hAnsi="宋体"/>
          <w:sz w:val="28"/>
          <w:szCs w:val="28"/>
        </w:rPr>
      </w:pPr>
      <w:r>
        <w:rPr>
          <w:rFonts w:hint="eastAsia" w:ascii="宋体" w:hAnsi="宋体"/>
          <w:color w:val="FF0000"/>
          <w:sz w:val="28"/>
          <w:szCs w:val="28"/>
        </w:rPr>
        <w:t>报价供应商应提交一份正本</w:t>
      </w:r>
      <w:r>
        <w:rPr>
          <w:rFonts w:hint="eastAsia" w:ascii="宋体" w:hAnsi="宋体"/>
          <w:color w:val="FF0000"/>
          <w:sz w:val="28"/>
          <w:szCs w:val="28"/>
          <w:lang w:val="en-US" w:eastAsia="zh-CN"/>
        </w:rPr>
        <w:t>二</w:t>
      </w:r>
      <w:r>
        <w:rPr>
          <w:rFonts w:hint="eastAsia" w:ascii="宋体" w:hAnsi="宋体"/>
          <w:color w:val="FF0000"/>
          <w:sz w:val="28"/>
          <w:szCs w:val="28"/>
        </w:rPr>
        <w:t>份副本。</w:t>
      </w:r>
      <w:r>
        <w:rPr>
          <w:rFonts w:ascii="宋体" w:hAnsi="宋体"/>
          <w:sz w:val="28"/>
          <w:szCs w:val="28"/>
        </w:rPr>
        <w:t xml:space="preserve"> </w:t>
      </w:r>
    </w:p>
    <w:p w14:paraId="173B3BD2">
      <w:pPr>
        <w:spacing w:line="500" w:lineRule="exact"/>
        <w:ind w:left="420" w:hanging="420"/>
        <w:rPr>
          <w:rFonts w:ascii="宋体" w:hAnsi="宋体"/>
          <w:sz w:val="28"/>
          <w:szCs w:val="28"/>
        </w:rPr>
      </w:pPr>
      <w:r>
        <w:rPr>
          <w:rFonts w:hint="eastAsia" w:ascii="宋体" w:hAnsi="宋体"/>
          <w:sz w:val="28"/>
          <w:szCs w:val="28"/>
        </w:rPr>
        <w:t>11.报价文件的密封和标记</w:t>
      </w:r>
    </w:p>
    <w:p w14:paraId="2D34759C">
      <w:pPr>
        <w:spacing w:line="500" w:lineRule="exact"/>
        <w:ind w:left="359" w:leftChars="171" w:firstLine="58" w:firstLineChars="21"/>
        <w:rPr>
          <w:rFonts w:ascii="宋体" w:hAnsi="宋体"/>
          <w:sz w:val="28"/>
          <w:szCs w:val="28"/>
        </w:rPr>
      </w:pPr>
      <w:r>
        <w:rPr>
          <w:rFonts w:hint="eastAsia" w:ascii="宋体" w:hAnsi="宋体"/>
          <w:sz w:val="28"/>
          <w:szCs w:val="28"/>
        </w:rPr>
        <w:t>密封的响应文件上注明采购项目名称、项目编号、报价供应商名称和有“在（单一来源通知书中规定的报价日期和时间）之前不得启封”的字样。如果未按要求密封和标记，周口市公共资源交易中心政府采购中心对误投或提前启封概不负责。</w:t>
      </w:r>
    </w:p>
    <w:p w14:paraId="78B97FB3">
      <w:pPr>
        <w:spacing w:line="500" w:lineRule="exact"/>
        <w:ind w:left="420" w:hanging="420"/>
        <w:rPr>
          <w:rFonts w:ascii="宋体" w:hAnsi="宋体"/>
          <w:sz w:val="28"/>
          <w:szCs w:val="28"/>
        </w:rPr>
      </w:pPr>
      <w:r>
        <w:rPr>
          <w:rFonts w:hint="eastAsia" w:ascii="宋体" w:hAnsi="宋体"/>
          <w:sz w:val="28"/>
          <w:szCs w:val="28"/>
        </w:rPr>
        <w:t>12.响应文件的递交</w:t>
      </w:r>
    </w:p>
    <w:p w14:paraId="1C20DADF">
      <w:pPr>
        <w:spacing w:line="500" w:lineRule="exact"/>
        <w:ind w:left="538" w:leftChars="256"/>
        <w:rPr>
          <w:rFonts w:ascii="宋体" w:hAnsi="宋体"/>
          <w:sz w:val="28"/>
          <w:szCs w:val="28"/>
        </w:rPr>
      </w:pPr>
      <w:r>
        <w:rPr>
          <w:rFonts w:hint="eastAsia" w:ascii="宋体" w:hAnsi="宋体"/>
          <w:sz w:val="28"/>
          <w:szCs w:val="28"/>
        </w:rPr>
        <w:t>报价供应商应在规定的单一来源时间前递交响应文件。逾期送达的，或者未送达指定地点，以及未按指定方式送达的报价文件，后果自行承担。</w:t>
      </w:r>
    </w:p>
    <w:p w14:paraId="692B8466">
      <w:pPr>
        <w:spacing w:line="500" w:lineRule="exact"/>
        <w:rPr>
          <w:rFonts w:ascii="宋体" w:hAnsi="宋体"/>
          <w:sz w:val="28"/>
          <w:szCs w:val="28"/>
        </w:rPr>
      </w:pPr>
      <w:r>
        <w:rPr>
          <w:rFonts w:hint="eastAsia" w:ascii="宋体" w:hAnsi="宋体"/>
          <w:sz w:val="28"/>
          <w:szCs w:val="28"/>
        </w:rPr>
        <w:t>13. 迟交的报价文件</w:t>
      </w:r>
    </w:p>
    <w:p w14:paraId="3FDD3D07">
      <w:pPr>
        <w:spacing w:line="500" w:lineRule="exact"/>
        <w:ind w:left="679" w:leftChars="1" w:hanging="677" w:hangingChars="242"/>
        <w:rPr>
          <w:rFonts w:hint="eastAsia" w:ascii="宋体" w:hAnsi="宋体"/>
          <w:sz w:val="28"/>
          <w:szCs w:val="28"/>
        </w:rPr>
      </w:pPr>
      <w:r>
        <w:rPr>
          <w:rFonts w:hint="eastAsia" w:ascii="宋体" w:hAnsi="宋体"/>
          <w:sz w:val="28"/>
          <w:szCs w:val="28"/>
        </w:rPr>
        <w:t>13.1周口市公共资源交易中心政府采购中心将拒绝并原封退回在其规定的递交报价文件截止时间之后收到的任何报价文件。</w:t>
      </w:r>
    </w:p>
    <w:p w14:paraId="24799240">
      <w:pPr>
        <w:spacing w:line="500" w:lineRule="exact"/>
        <w:ind w:left="679" w:leftChars="1" w:hanging="677" w:hangingChars="242"/>
        <w:rPr>
          <w:rFonts w:ascii="宋体" w:hAnsi="宋体"/>
          <w:sz w:val="28"/>
          <w:szCs w:val="28"/>
        </w:rPr>
      </w:pPr>
    </w:p>
    <w:p w14:paraId="6F28251E">
      <w:pPr>
        <w:pStyle w:val="3"/>
        <w:rPr>
          <w:rFonts w:ascii="宋体" w:eastAsia="宋体"/>
          <w:b/>
        </w:rPr>
      </w:pPr>
      <w:bookmarkStart w:id="57" w:name="_Toc4194"/>
      <w:bookmarkStart w:id="58" w:name="_Toc293740305"/>
      <w:bookmarkStart w:id="59" w:name="_Toc293740096"/>
      <w:bookmarkStart w:id="60" w:name="_Toc293740140"/>
      <w:r>
        <w:rPr>
          <w:rFonts w:hint="eastAsia" w:ascii="宋体" w:eastAsia="宋体"/>
          <w:b/>
        </w:rPr>
        <w:t>四、确定成交供应商办法</w:t>
      </w:r>
      <w:bookmarkEnd w:id="57"/>
      <w:bookmarkEnd w:id="58"/>
      <w:bookmarkEnd w:id="59"/>
      <w:bookmarkEnd w:id="60"/>
    </w:p>
    <w:p w14:paraId="0562A028">
      <w:pPr>
        <w:spacing w:line="480" w:lineRule="exact"/>
        <w:ind w:left="700" w:hanging="700" w:hangingChars="250"/>
        <w:rPr>
          <w:rFonts w:ascii="宋体" w:hAnsi="宋体"/>
          <w:sz w:val="28"/>
          <w:szCs w:val="28"/>
        </w:rPr>
      </w:pPr>
      <w:r>
        <w:rPr>
          <w:rFonts w:hint="eastAsia" w:ascii="宋体" w:hAnsi="宋体"/>
          <w:sz w:val="28"/>
          <w:szCs w:val="28"/>
        </w:rPr>
        <w:t>14.</w:t>
      </w:r>
      <w:r>
        <w:rPr>
          <w:rFonts w:hint="eastAsia" w:ascii="宋体" w:hAnsi="宋体"/>
          <w:sz w:val="28"/>
        </w:rPr>
        <w:t>1单一来源小组根据符合采购需求、质量和服务相等且报价最低的原则确定成交供应商。</w:t>
      </w:r>
    </w:p>
    <w:p w14:paraId="6B0FCF32">
      <w:pPr>
        <w:spacing w:line="500" w:lineRule="exact"/>
        <w:ind w:left="678" w:hanging="677" w:hangingChars="242"/>
        <w:rPr>
          <w:rFonts w:ascii="宋体" w:hAnsi="宋体"/>
          <w:sz w:val="28"/>
          <w:szCs w:val="28"/>
        </w:rPr>
      </w:pPr>
      <w:r>
        <w:rPr>
          <w:rFonts w:hint="eastAsia" w:ascii="宋体" w:hAnsi="宋体"/>
          <w:sz w:val="28"/>
          <w:szCs w:val="28"/>
        </w:rPr>
        <w:t>14.2</w:t>
      </w:r>
      <w:r>
        <w:rPr>
          <w:rFonts w:hint="eastAsia" w:ascii="宋体" w:hAnsi="宋体"/>
          <w:sz w:val="28"/>
        </w:rPr>
        <w:t>最低报价不是成交的唯一标准。但是，在符合采购需求、质量和服务相等的情况下，报价是确定成交的关键因素。</w:t>
      </w:r>
    </w:p>
    <w:p w14:paraId="04E16A39">
      <w:pPr>
        <w:spacing w:line="500" w:lineRule="exact"/>
        <w:ind w:left="678" w:hanging="677" w:hangingChars="242"/>
        <w:rPr>
          <w:rFonts w:ascii="宋体" w:hAnsi="宋体"/>
          <w:kern w:val="0"/>
          <w:sz w:val="28"/>
          <w:szCs w:val="28"/>
        </w:rPr>
      </w:pPr>
      <w:r>
        <w:rPr>
          <w:rFonts w:hint="eastAsia" w:ascii="宋体" w:hAnsi="宋体"/>
          <w:sz w:val="28"/>
          <w:szCs w:val="28"/>
        </w:rPr>
        <w:t>14.3成交供应商确定后，周口市公共资源交易中心政府采购中心将在政府采购监管部门指定的媒体上发布成交公告，同时</w:t>
      </w:r>
      <w:r>
        <w:rPr>
          <w:rFonts w:hint="eastAsia" w:ascii="宋体" w:hAnsi="宋体"/>
          <w:kern w:val="0"/>
          <w:sz w:val="28"/>
          <w:szCs w:val="28"/>
        </w:rPr>
        <w:t>向成交供应商发出《成交通知书》。《成交通知书》是合同的组成部分</w:t>
      </w:r>
      <w:r>
        <w:rPr>
          <w:rFonts w:hint="eastAsia" w:ascii="宋体" w:hAnsi="宋体"/>
          <w:sz w:val="28"/>
          <w:szCs w:val="28"/>
        </w:rPr>
        <w:t>,对成交供应商和采购人具有同等法律效力</w:t>
      </w:r>
      <w:r>
        <w:rPr>
          <w:rFonts w:hint="eastAsia" w:ascii="宋体" w:hAnsi="宋体"/>
          <w:kern w:val="0"/>
          <w:sz w:val="28"/>
          <w:szCs w:val="28"/>
        </w:rPr>
        <w:t>。</w:t>
      </w:r>
    </w:p>
    <w:p w14:paraId="02838839">
      <w:pPr>
        <w:spacing w:line="500" w:lineRule="exact"/>
        <w:ind w:left="678" w:hanging="677" w:hangingChars="242"/>
        <w:rPr>
          <w:rFonts w:hint="eastAsia" w:ascii="宋体" w:hAnsi="宋体"/>
          <w:sz w:val="28"/>
          <w:szCs w:val="28"/>
        </w:rPr>
      </w:pPr>
    </w:p>
    <w:p w14:paraId="19123103">
      <w:pPr>
        <w:pStyle w:val="3"/>
        <w:rPr>
          <w:rFonts w:ascii="宋体" w:eastAsia="宋体"/>
          <w:b/>
        </w:rPr>
      </w:pPr>
      <w:bookmarkStart w:id="61" w:name="_Toc293740141"/>
      <w:bookmarkStart w:id="62" w:name="_Toc293740097"/>
      <w:bookmarkStart w:id="63" w:name="_Toc26556"/>
      <w:bookmarkStart w:id="64" w:name="_Toc293740306"/>
      <w:r>
        <w:rPr>
          <w:rFonts w:hint="eastAsia" w:ascii="宋体" w:eastAsia="宋体"/>
          <w:b/>
        </w:rPr>
        <w:t>五、签订合同</w:t>
      </w:r>
      <w:bookmarkEnd w:id="61"/>
      <w:bookmarkEnd w:id="62"/>
      <w:bookmarkEnd w:id="63"/>
      <w:bookmarkEnd w:id="64"/>
    </w:p>
    <w:p w14:paraId="411A2C46">
      <w:pPr>
        <w:adjustRightInd w:val="0"/>
        <w:snapToGrid w:val="0"/>
        <w:spacing w:line="500" w:lineRule="exact"/>
        <w:ind w:left="700" w:hanging="700" w:hangingChars="250"/>
        <w:rPr>
          <w:rFonts w:hint="eastAsia" w:ascii="宋体" w:hAnsi="宋体"/>
          <w:kern w:val="0"/>
          <w:sz w:val="28"/>
          <w:szCs w:val="28"/>
        </w:rPr>
      </w:pPr>
      <w:r>
        <w:rPr>
          <w:rFonts w:hint="eastAsia" w:ascii="宋体" w:hAnsi="宋体"/>
          <w:kern w:val="0"/>
          <w:sz w:val="28"/>
          <w:szCs w:val="28"/>
        </w:rPr>
        <w:t>15.1采购单位与成交供应商应当在成交通知书发出之日起</w:t>
      </w:r>
      <w:r>
        <w:rPr>
          <w:rFonts w:hint="eastAsia" w:ascii="宋体" w:hAnsi="宋体"/>
          <w:kern w:val="0"/>
          <w:sz w:val="28"/>
          <w:szCs w:val="28"/>
          <w:lang w:val="en-US" w:eastAsia="zh-CN"/>
        </w:rPr>
        <w:t>2</w:t>
      </w:r>
      <w:r>
        <w:rPr>
          <w:rFonts w:hint="eastAsia" w:ascii="宋体" w:hAnsi="宋体"/>
          <w:kern w:val="0"/>
          <w:sz w:val="28"/>
          <w:szCs w:val="28"/>
        </w:rPr>
        <w:t>日内签订合同，并与合同签订之日起</w:t>
      </w:r>
      <w:r>
        <w:rPr>
          <w:rFonts w:hint="eastAsia" w:ascii="宋体" w:hAnsi="宋体"/>
          <w:kern w:val="0"/>
          <w:sz w:val="28"/>
          <w:szCs w:val="28"/>
          <w:lang w:val="en-US" w:eastAsia="zh-CN"/>
        </w:rPr>
        <w:t>2</w:t>
      </w:r>
      <w:r>
        <w:rPr>
          <w:rFonts w:hint="eastAsia" w:ascii="宋体" w:hAnsi="宋体"/>
          <w:kern w:val="0"/>
          <w:sz w:val="28"/>
          <w:szCs w:val="28"/>
        </w:rPr>
        <w:t>日内，将合同</w:t>
      </w:r>
      <w:r>
        <w:rPr>
          <w:rFonts w:hint="eastAsia" w:ascii="宋体" w:hAnsi="宋体"/>
          <w:kern w:val="0"/>
          <w:sz w:val="28"/>
          <w:szCs w:val="28"/>
          <w:lang w:val="en-US" w:eastAsia="zh-CN"/>
        </w:rPr>
        <w:t>在周口市政府采购网公告</w:t>
      </w:r>
      <w:r>
        <w:rPr>
          <w:rFonts w:hint="eastAsia" w:ascii="宋体" w:hAnsi="宋体"/>
          <w:kern w:val="0"/>
          <w:sz w:val="28"/>
          <w:szCs w:val="28"/>
        </w:rPr>
        <w:t>。</w:t>
      </w:r>
    </w:p>
    <w:p w14:paraId="2650A677">
      <w:pPr>
        <w:adjustRightInd w:val="0"/>
        <w:snapToGrid w:val="0"/>
        <w:spacing w:line="500" w:lineRule="exact"/>
        <w:ind w:left="700" w:hanging="700" w:hangingChars="250"/>
        <w:rPr>
          <w:rFonts w:hint="eastAsia" w:ascii="宋体" w:hAnsi="宋体"/>
          <w:sz w:val="28"/>
          <w:szCs w:val="28"/>
        </w:rPr>
      </w:pPr>
      <w:r>
        <w:rPr>
          <w:rFonts w:hint="eastAsia" w:ascii="宋体" w:hAnsi="宋体"/>
          <w:kern w:val="0"/>
          <w:sz w:val="28"/>
          <w:szCs w:val="28"/>
        </w:rPr>
        <w:t>15.2成交供应商不得向他人转让成交项目，如果成交供应商向他人转让成交项目或在履行合同时发生违约行为，将</w:t>
      </w:r>
      <w:r>
        <w:rPr>
          <w:rFonts w:hint="eastAsia" w:ascii="宋体" w:hAnsi="宋体"/>
          <w:sz w:val="28"/>
          <w:szCs w:val="28"/>
        </w:rPr>
        <w:t>按《政府采购非招标方式管理办法》的有关规定给予处罚。</w:t>
      </w:r>
    </w:p>
    <w:p w14:paraId="2BF85966">
      <w:pPr>
        <w:adjustRightInd w:val="0"/>
        <w:snapToGrid w:val="0"/>
        <w:spacing w:line="500" w:lineRule="exact"/>
        <w:ind w:left="700" w:hanging="700" w:hangingChars="250"/>
        <w:rPr>
          <w:rFonts w:ascii="宋体" w:hAnsi="宋体"/>
          <w:sz w:val="28"/>
          <w:szCs w:val="28"/>
        </w:rPr>
      </w:pPr>
    </w:p>
    <w:p w14:paraId="49B394AD">
      <w:pPr>
        <w:pStyle w:val="3"/>
        <w:rPr>
          <w:rFonts w:ascii="宋体" w:eastAsia="宋体"/>
          <w:b/>
        </w:rPr>
      </w:pPr>
      <w:bookmarkStart w:id="65" w:name="_Toc293740307"/>
      <w:bookmarkStart w:id="66" w:name="_Toc293740098"/>
      <w:bookmarkStart w:id="67" w:name="_Toc20124"/>
      <w:bookmarkStart w:id="68" w:name="_Toc293740142"/>
      <w:r>
        <w:rPr>
          <w:rFonts w:hint="eastAsia" w:ascii="宋体" w:eastAsia="宋体"/>
          <w:b/>
        </w:rPr>
        <w:t>六、公告、质疑</w:t>
      </w:r>
      <w:bookmarkEnd w:id="65"/>
      <w:bookmarkEnd w:id="66"/>
      <w:bookmarkEnd w:id="67"/>
      <w:bookmarkEnd w:id="68"/>
    </w:p>
    <w:p w14:paraId="620DFE57">
      <w:pPr>
        <w:adjustRightInd w:val="0"/>
        <w:snapToGrid w:val="0"/>
        <w:spacing w:line="500" w:lineRule="exact"/>
        <w:ind w:left="700" w:hanging="700" w:hangingChars="250"/>
        <w:rPr>
          <w:rFonts w:ascii="宋体" w:hAnsi="宋体"/>
          <w:kern w:val="0"/>
          <w:sz w:val="28"/>
          <w:szCs w:val="28"/>
        </w:rPr>
      </w:pPr>
      <w:r>
        <w:rPr>
          <w:rFonts w:hint="eastAsia" w:ascii="宋体" w:hAnsi="宋体"/>
          <w:kern w:val="0"/>
          <w:sz w:val="28"/>
          <w:szCs w:val="28"/>
        </w:rPr>
        <w:t>16.1 周口市公共资源交易中心政府采购中心将在政府采购监管部门指定媒体上发布采购、评审结果公告等单一来源程序中所有信息。</w:t>
      </w:r>
    </w:p>
    <w:p w14:paraId="69DEAF27">
      <w:pPr>
        <w:autoSpaceDE w:val="0"/>
        <w:autoSpaceDN w:val="0"/>
        <w:adjustRightInd w:val="0"/>
        <w:snapToGrid w:val="0"/>
        <w:spacing w:line="500" w:lineRule="exact"/>
        <w:ind w:left="700" w:right="32" w:hanging="700" w:hangingChars="250"/>
        <w:rPr>
          <w:rFonts w:ascii="宋体" w:hAnsi="宋体"/>
          <w:kern w:val="0"/>
          <w:sz w:val="28"/>
          <w:szCs w:val="28"/>
        </w:rPr>
      </w:pPr>
      <w:r>
        <w:rPr>
          <w:rFonts w:hint="eastAsia" w:ascii="宋体" w:hAnsi="宋体"/>
          <w:kern w:val="0"/>
          <w:sz w:val="28"/>
          <w:szCs w:val="28"/>
        </w:rPr>
        <w:t xml:space="preserve">16.2 </w:t>
      </w:r>
      <w:r>
        <w:rPr>
          <w:rFonts w:hint="eastAsia" w:ascii="宋体" w:hAnsi="宋体"/>
          <w:sz w:val="28"/>
          <w:szCs w:val="28"/>
        </w:rPr>
        <w:t>如果报价供应商对此次采购活动有疑问可依据相关规定，以书面形式向采购人</w:t>
      </w:r>
      <w:r>
        <w:rPr>
          <w:rFonts w:hint="eastAsia" w:ascii="宋体" w:hAnsi="宋体"/>
          <w:kern w:val="0"/>
          <w:sz w:val="28"/>
          <w:szCs w:val="28"/>
        </w:rPr>
        <w:t>提出质疑。质疑文件必须是报价供应商</w:t>
      </w:r>
      <w:r>
        <w:rPr>
          <w:rFonts w:hint="eastAsia" w:ascii="宋体" w:hAnsi="宋体"/>
          <w:sz w:val="28"/>
          <w:szCs w:val="28"/>
        </w:rPr>
        <w:t>法定代表人或授权代表签字并加盖单位公章的原件。</w:t>
      </w:r>
    </w:p>
    <w:p w14:paraId="0647E9ED">
      <w:pPr>
        <w:spacing w:line="500" w:lineRule="exact"/>
        <w:ind w:left="700" w:hanging="700" w:hangingChars="250"/>
        <w:rPr>
          <w:rFonts w:ascii="宋体" w:hAnsi="宋体"/>
          <w:sz w:val="28"/>
          <w:szCs w:val="28"/>
        </w:rPr>
      </w:pPr>
      <w:r>
        <w:rPr>
          <w:rFonts w:hint="eastAsia" w:ascii="宋体" w:hAnsi="宋体"/>
          <w:sz w:val="28"/>
          <w:szCs w:val="28"/>
        </w:rPr>
        <w:t>16.3 公告期内如有质疑，采购人将依法给与答复，并将结果告知所有当事人。</w:t>
      </w:r>
    </w:p>
    <w:p w14:paraId="7E803AD5">
      <w:pPr>
        <w:spacing w:line="500" w:lineRule="exact"/>
        <w:ind w:left="700" w:hanging="700" w:hangingChars="250"/>
        <w:rPr>
          <w:rFonts w:ascii="宋体" w:hAnsi="宋体"/>
          <w:sz w:val="28"/>
          <w:szCs w:val="28"/>
        </w:rPr>
      </w:pPr>
      <w:r>
        <w:rPr>
          <w:rFonts w:hint="eastAsia" w:ascii="宋体" w:hAnsi="宋体"/>
          <w:sz w:val="28"/>
          <w:szCs w:val="28"/>
        </w:rPr>
        <w:t>16.4质疑供应商对采购人答复不满意，可向政府采购监管部门投诉。</w:t>
      </w:r>
    </w:p>
    <w:p w14:paraId="146D1AB0">
      <w:pPr>
        <w:spacing w:line="500" w:lineRule="exact"/>
        <w:ind w:left="700" w:hanging="700" w:hangingChars="250"/>
        <w:rPr>
          <w:rFonts w:ascii="宋体" w:hAnsi="宋体"/>
          <w:sz w:val="28"/>
          <w:szCs w:val="28"/>
        </w:rPr>
      </w:pPr>
      <w:r>
        <w:rPr>
          <w:rFonts w:hint="eastAsia" w:ascii="宋体" w:hAnsi="宋体"/>
          <w:sz w:val="28"/>
          <w:szCs w:val="28"/>
        </w:rPr>
        <w:t>16.5报价供应商的质疑和投诉应有事实依据，若为无效投诉，政府采购监管部门将按有关规定给予处罚。</w:t>
      </w:r>
    </w:p>
    <w:p w14:paraId="69ED04C5">
      <w:pPr>
        <w:spacing w:line="500" w:lineRule="exact"/>
        <w:ind w:left="700" w:hanging="700" w:hangingChars="250"/>
        <w:rPr>
          <w:rFonts w:ascii="宋体" w:hAnsi="宋体"/>
          <w:sz w:val="28"/>
          <w:szCs w:val="28"/>
        </w:rPr>
      </w:pPr>
    </w:p>
    <w:p w14:paraId="6E3428C4">
      <w:pPr>
        <w:spacing w:line="500" w:lineRule="exact"/>
        <w:ind w:left="700" w:hanging="700" w:hangingChars="250"/>
        <w:rPr>
          <w:rFonts w:ascii="宋体" w:hAnsi="宋体"/>
          <w:sz w:val="28"/>
          <w:szCs w:val="28"/>
        </w:rPr>
      </w:pPr>
    </w:p>
    <w:p w14:paraId="27EFB8FA">
      <w:pPr>
        <w:pStyle w:val="3"/>
        <w:rPr>
          <w:rFonts w:ascii="宋体" w:eastAsia="宋体"/>
          <w:b/>
        </w:rPr>
      </w:pPr>
      <w:bookmarkStart w:id="69" w:name="_Toc293740143"/>
      <w:bookmarkStart w:id="70" w:name="_Toc293740099"/>
      <w:bookmarkStart w:id="71" w:name="_Toc293740308"/>
      <w:bookmarkStart w:id="72" w:name="_Toc14242"/>
      <w:r>
        <w:rPr>
          <w:rFonts w:hint="eastAsia" w:ascii="宋体" w:eastAsia="宋体"/>
          <w:b/>
        </w:rPr>
        <w:t>七、项目验收</w:t>
      </w:r>
      <w:bookmarkEnd w:id="69"/>
      <w:bookmarkEnd w:id="70"/>
      <w:bookmarkEnd w:id="71"/>
      <w:bookmarkEnd w:id="72"/>
    </w:p>
    <w:p w14:paraId="49C2B200">
      <w:pPr>
        <w:spacing w:line="500" w:lineRule="exact"/>
        <w:ind w:left="678" w:hanging="677" w:hangingChars="242"/>
        <w:rPr>
          <w:rFonts w:ascii="宋体" w:hAnsi="宋体"/>
          <w:sz w:val="28"/>
          <w:szCs w:val="28"/>
        </w:rPr>
      </w:pPr>
      <w:r>
        <w:rPr>
          <w:rFonts w:hint="eastAsia" w:ascii="宋体" w:hAnsi="宋体"/>
          <w:sz w:val="28"/>
          <w:szCs w:val="28"/>
        </w:rPr>
        <w:t>17.1 项目实施完毕，由采购人组织对供应商履约的验收，共同在项目验收单上签字确认。</w:t>
      </w:r>
    </w:p>
    <w:p w14:paraId="23296C63">
      <w:pPr>
        <w:spacing w:line="500" w:lineRule="exact"/>
        <w:ind w:left="538" w:hanging="537" w:hangingChars="192"/>
        <w:rPr>
          <w:rFonts w:ascii="宋体" w:hAnsi="宋体"/>
          <w:sz w:val="28"/>
          <w:szCs w:val="28"/>
        </w:rPr>
      </w:pPr>
      <w:r>
        <w:rPr>
          <w:rFonts w:hint="eastAsia" w:ascii="宋体" w:hAnsi="宋体"/>
          <w:sz w:val="28"/>
          <w:szCs w:val="28"/>
        </w:rPr>
        <w:t>17.2 验收标准:单一来源通知书、响应文件、政府采购合同规定的标准。</w:t>
      </w:r>
    </w:p>
    <w:p w14:paraId="561EB31F">
      <w:pPr>
        <w:spacing w:line="500" w:lineRule="exact"/>
        <w:rPr>
          <w:rFonts w:hint="eastAsia" w:ascii="宋体" w:hAnsi="宋体"/>
          <w:sz w:val="28"/>
          <w:szCs w:val="28"/>
        </w:rPr>
      </w:pPr>
    </w:p>
    <w:p w14:paraId="24768155">
      <w:pPr>
        <w:pStyle w:val="3"/>
        <w:rPr>
          <w:rFonts w:ascii="宋体" w:eastAsia="宋体"/>
          <w:b/>
        </w:rPr>
      </w:pPr>
      <w:bookmarkStart w:id="73" w:name="_Toc13904"/>
      <w:bookmarkStart w:id="74" w:name="_Toc293740309"/>
      <w:bookmarkStart w:id="75" w:name="_Toc293740144"/>
      <w:bookmarkStart w:id="76" w:name="_Toc293740100"/>
      <w:r>
        <w:rPr>
          <w:rFonts w:hint="eastAsia" w:ascii="宋体" w:eastAsia="宋体"/>
          <w:b/>
        </w:rPr>
        <w:t>八、适用法律</w:t>
      </w:r>
      <w:bookmarkEnd w:id="73"/>
      <w:bookmarkEnd w:id="74"/>
      <w:bookmarkEnd w:id="75"/>
      <w:bookmarkEnd w:id="76"/>
    </w:p>
    <w:p w14:paraId="477BE5DF">
      <w:pPr>
        <w:tabs>
          <w:tab w:val="left" w:pos="0"/>
        </w:tabs>
        <w:spacing w:line="440" w:lineRule="exact"/>
        <w:ind w:left="420" w:hanging="420" w:hangingChars="150"/>
        <w:jc w:val="left"/>
        <w:rPr>
          <w:rFonts w:hint="eastAsia" w:ascii="宋体" w:hAnsi="宋体"/>
          <w:sz w:val="28"/>
          <w:szCs w:val="28"/>
        </w:rPr>
      </w:pPr>
      <w:r>
        <w:rPr>
          <w:rFonts w:hint="eastAsia" w:ascii="宋体" w:hAnsi="宋体"/>
          <w:sz w:val="28"/>
          <w:szCs w:val="28"/>
        </w:rPr>
        <w:t>18. 采购当事人的一切活动均适用于《中华人民共和国政府采购法》、《政府采购非招标采购方式管理办法》及其相关规定。</w:t>
      </w:r>
    </w:p>
    <w:p w14:paraId="397D85A7">
      <w:pPr>
        <w:pStyle w:val="2"/>
        <w:jc w:val="center"/>
        <w:rPr>
          <w:rFonts w:hint="eastAsia" w:ascii="宋体" w:eastAsia="宋体"/>
          <w:b/>
        </w:rPr>
      </w:pPr>
      <w:r>
        <w:rPr>
          <w:sz w:val="28"/>
          <w:szCs w:val="28"/>
        </w:rPr>
        <w:br w:type="page"/>
      </w:r>
      <w:bookmarkStart w:id="77" w:name="_Toc4707"/>
      <w:bookmarkStart w:id="78" w:name="_Toc5364"/>
      <w:r>
        <w:rPr>
          <w:rFonts w:hint="eastAsia" w:ascii="宋体" w:eastAsia="宋体"/>
          <w:b/>
        </w:rPr>
        <w:t>第三章 采购内容</w:t>
      </w:r>
      <w:bookmarkEnd w:id="77"/>
      <w:bookmarkEnd w:id="78"/>
    </w:p>
    <w:p w14:paraId="6A7C913C">
      <w:pPr>
        <w:widowControl/>
        <w:jc w:val="left"/>
        <w:rPr>
          <w:rFonts w:hint="eastAsia"/>
        </w:rPr>
      </w:pPr>
    </w:p>
    <w:p w14:paraId="57DCE998">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val="zh-CN"/>
        </w:rPr>
        <w:t>本项目采购内容：</w:t>
      </w:r>
    </w:p>
    <w:p w14:paraId="7D4C20FC">
      <w:pPr>
        <w:pStyle w:val="57"/>
        <w:keepNext w:val="0"/>
        <w:keepLines w:val="0"/>
        <w:pageBreakBefore w:val="0"/>
        <w:numPr>
          <w:ilvl w:val="0"/>
          <w:numId w:val="0"/>
        </w:numPr>
        <w:kinsoku/>
        <w:wordWrap/>
        <w:overflowPunct/>
        <w:topLinePunct w:val="0"/>
        <w:bidi w:val="0"/>
        <w:spacing w:line="360" w:lineRule="auto"/>
        <w:ind w:left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技术要求</w:t>
      </w:r>
      <w:r>
        <w:rPr>
          <w:rFonts w:hint="eastAsia" w:ascii="宋体" w:hAnsi="宋体" w:eastAsia="宋体" w:cs="宋体"/>
          <w:b/>
          <w:bCs/>
          <w:color w:val="auto"/>
          <w:sz w:val="28"/>
          <w:szCs w:val="28"/>
          <w:highlight w:val="none"/>
          <w:lang w:val="en-US" w:eastAsia="zh-CN"/>
        </w:rPr>
        <w:t xml:space="preserve"> </w:t>
      </w:r>
    </w:p>
    <w:p w14:paraId="17CB21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球管适配性</w:t>
      </w:r>
    </w:p>
    <w:p w14:paraId="71AB97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球管需与项城市第二人民医院的西门子CT机（SoMATOM spirit）完全匹配，确保能正常安装、运行，与主机的接口、参数等完全兼容。</w:t>
      </w:r>
    </w:p>
    <w:p w14:paraId="583230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主要技术参数</w:t>
      </w:r>
    </w:p>
    <w:p w14:paraId="5852EB6A">
      <w:pPr>
        <w:spacing w:after="121"/>
        <w:ind w:left="360"/>
        <w:rPr>
          <w:color w:val="auto"/>
          <w:sz w:val="28"/>
          <w:szCs w:val="28"/>
          <w:highlight w:val="none"/>
        </w:rPr>
      </w:pPr>
      <w:r>
        <w:rPr>
          <w:rFonts w:ascii="Arial" w:hAnsi="Arial" w:eastAsia="Arial" w:cs="Arial"/>
          <w:color w:val="auto"/>
          <w:sz w:val="28"/>
          <w:szCs w:val="28"/>
          <w:highlight w:val="none"/>
        </w:rPr>
        <w:t xml:space="preserve">CT </w:t>
      </w:r>
      <w:r>
        <w:rPr>
          <w:rFonts w:ascii="宋体" w:hAnsi="宋体" w:eastAsia="宋体" w:cs="宋体"/>
          <w:color w:val="auto"/>
          <w:sz w:val="28"/>
          <w:szCs w:val="28"/>
          <w:highlight w:val="none"/>
        </w:rPr>
        <w:t>球管技术参数（型号：</w:t>
      </w:r>
      <w:r>
        <w:rPr>
          <w:rFonts w:ascii="Arial" w:hAnsi="Arial" w:eastAsia="Arial" w:cs="Arial"/>
          <w:color w:val="auto"/>
          <w:sz w:val="28"/>
          <w:szCs w:val="28"/>
          <w:highlight w:val="none"/>
        </w:rPr>
        <w:t>DURA 202-MV</w:t>
      </w:r>
      <w:r>
        <w:rPr>
          <w:rFonts w:ascii="宋体" w:hAnsi="宋体" w:eastAsia="宋体" w:cs="宋体"/>
          <w:color w:val="auto"/>
          <w:sz w:val="28"/>
          <w:szCs w:val="28"/>
          <w:highlight w:val="none"/>
        </w:rPr>
        <w:t>）</w:t>
      </w:r>
      <w:r>
        <w:rPr>
          <w:rFonts w:ascii="Arial" w:hAnsi="Arial" w:eastAsia="Arial" w:cs="Arial"/>
          <w:color w:val="auto"/>
          <w:sz w:val="28"/>
          <w:szCs w:val="28"/>
          <w:highlight w:val="none"/>
        </w:rPr>
        <w:t xml:space="preserve"> </w:t>
      </w:r>
    </w:p>
    <w:tbl>
      <w:tblPr>
        <w:tblStyle w:val="58"/>
        <w:tblW w:w="8568" w:type="dxa"/>
        <w:tblInd w:w="252" w:type="dxa"/>
        <w:tblLayout w:type="autofit"/>
        <w:tblCellMar>
          <w:top w:w="40" w:type="dxa"/>
          <w:left w:w="108" w:type="dxa"/>
          <w:bottom w:w="0" w:type="dxa"/>
          <w:right w:w="0" w:type="dxa"/>
        </w:tblCellMar>
      </w:tblPr>
      <w:tblGrid>
        <w:gridCol w:w="4538"/>
        <w:gridCol w:w="1980"/>
        <w:gridCol w:w="2050"/>
      </w:tblGrid>
      <w:tr w14:paraId="66308DCD">
        <w:tblPrEx>
          <w:tblCellMar>
            <w:top w:w="40" w:type="dxa"/>
            <w:left w:w="108" w:type="dxa"/>
            <w:bottom w:w="0" w:type="dxa"/>
            <w:right w:w="0" w:type="dxa"/>
          </w:tblCellMar>
        </w:tblPrEx>
        <w:trPr>
          <w:trHeight w:val="658"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56B23715">
            <w:pPr>
              <w:bidi w:val="0"/>
              <w:spacing w:after="0" w:line="240" w:lineRule="auto"/>
              <w:jc w:val="both"/>
              <w:rPr>
                <w:color w:val="auto"/>
                <w:sz w:val="28"/>
                <w:szCs w:val="28"/>
                <w:highlight w:val="none"/>
              </w:rPr>
            </w:pPr>
            <w:r>
              <w:rPr>
                <w:color w:val="auto"/>
                <w:sz w:val="28"/>
                <w:szCs w:val="28"/>
                <w:highlight w:val="none"/>
              </w:rPr>
              <w:t xml:space="preserve">对应于 250 W 的阳极等效输入功率时的阳极标称输入功率  </w:t>
            </w:r>
          </w:p>
        </w:tc>
        <w:tc>
          <w:tcPr>
            <w:tcW w:w="1980" w:type="dxa"/>
            <w:tcBorders>
              <w:top w:val="single" w:color="000000" w:sz="4" w:space="0"/>
              <w:left w:val="single" w:color="000000" w:sz="6" w:space="0"/>
              <w:bottom w:val="single" w:color="000000" w:sz="4" w:space="0"/>
              <w:right w:val="single" w:color="000000" w:sz="4" w:space="0"/>
            </w:tcBorders>
            <w:noWrap w:val="0"/>
            <w:vAlign w:val="top"/>
          </w:tcPr>
          <w:p w14:paraId="22601422">
            <w:pPr>
              <w:bidi w:val="0"/>
              <w:spacing w:after="0" w:line="240" w:lineRule="auto"/>
              <w:jc w:val="both"/>
              <w:rPr>
                <w:color w:val="auto"/>
                <w:sz w:val="28"/>
                <w:szCs w:val="28"/>
                <w:highlight w:val="none"/>
              </w:rPr>
            </w:pPr>
            <w:r>
              <w:rPr>
                <w:color w:val="auto"/>
                <w:sz w:val="28"/>
                <w:szCs w:val="28"/>
                <w:highlight w:val="none"/>
              </w:rPr>
              <w:t xml:space="preserve">F1  </w:t>
            </w:r>
          </w:p>
          <w:p w14:paraId="3AD94A75">
            <w:pPr>
              <w:bidi w:val="0"/>
              <w:spacing w:after="0" w:line="240" w:lineRule="auto"/>
              <w:jc w:val="both"/>
              <w:rPr>
                <w:color w:val="auto"/>
                <w:sz w:val="28"/>
                <w:szCs w:val="28"/>
                <w:highlight w:val="none"/>
              </w:rPr>
            </w:pPr>
            <w:r>
              <w:rPr>
                <w:color w:val="auto"/>
                <w:sz w:val="28"/>
                <w:szCs w:val="28"/>
                <w:highlight w:val="none"/>
              </w:rPr>
              <w:t xml:space="preserve">28 千瓦  </w:t>
            </w:r>
          </w:p>
        </w:tc>
        <w:tc>
          <w:tcPr>
            <w:tcW w:w="2050" w:type="dxa"/>
            <w:tcBorders>
              <w:top w:val="single" w:color="000000" w:sz="4" w:space="0"/>
              <w:left w:val="single" w:color="000000" w:sz="4" w:space="0"/>
              <w:bottom w:val="single" w:color="000000" w:sz="4" w:space="0"/>
              <w:right w:val="single" w:color="000000" w:sz="4" w:space="0"/>
            </w:tcBorders>
            <w:noWrap w:val="0"/>
            <w:vAlign w:val="top"/>
          </w:tcPr>
          <w:p w14:paraId="41F7BF09">
            <w:pPr>
              <w:bidi w:val="0"/>
              <w:spacing w:after="0" w:line="240" w:lineRule="auto"/>
              <w:jc w:val="both"/>
              <w:rPr>
                <w:color w:val="auto"/>
                <w:sz w:val="28"/>
                <w:szCs w:val="28"/>
                <w:highlight w:val="none"/>
              </w:rPr>
            </w:pPr>
            <w:r>
              <w:rPr>
                <w:color w:val="auto"/>
                <w:sz w:val="28"/>
                <w:szCs w:val="28"/>
                <w:highlight w:val="none"/>
              </w:rPr>
              <w:t xml:space="preserve">F2  </w:t>
            </w:r>
          </w:p>
          <w:p w14:paraId="1ECF9F9D">
            <w:pPr>
              <w:bidi w:val="0"/>
              <w:spacing w:after="0" w:line="240" w:lineRule="auto"/>
              <w:jc w:val="both"/>
              <w:rPr>
                <w:color w:val="auto"/>
                <w:sz w:val="28"/>
                <w:szCs w:val="28"/>
                <w:highlight w:val="none"/>
              </w:rPr>
            </w:pPr>
            <w:r>
              <w:rPr>
                <w:color w:val="auto"/>
                <w:sz w:val="28"/>
                <w:szCs w:val="28"/>
                <w:highlight w:val="none"/>
              </w:rPr>
              <w:t xml:space="preserve">34 千瓦  </w:t>
            </w:r>
          </w:p>
        </w:tc>
      </w:tr>
      <w:tr w14:paraId="507CF88F">
        <w:tblPrEx>
          <w:tblCellMar>
            <w:top w:w="40" w:type="dxa"/>
            <w:left w:w="108" w:type="dxa"/>
            <w:bottom w:w="0" w:type="dxa"/>
            <w:right w:w="0" w:type="dxa"/>
          </w:tblCellMar>
        </w:tblPrEx>
        <w:trPr>
          <w:trHeight w:val="480"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01761C20">
            <w:pPr>
              <w:bidi w:val="0"/>
              <w:spacing w:after="0" w:line="240" w:lineRule="auto"/>
              <w:jc w:val="both"/>
              <w:rPr>
                <w:color w:val="auto"/>
                <w:sz w:val="28"/>
                <w:szCs w:val="28"/>
                <w:highlight w:val="none"/>
              </w:rPr>
            </w:pPr>
            <w:r>
              <w:rPr>
                <w:color w:val="auto"/>
                <w:sz w:val="28"/>
                <w:szCs w:val="28"/>
                <w:highlight w:val="none"/>
              </w:rPr>
              <w:t xml:space="preserve">阳极最大热容量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0B80EF5E">
            <w:pPr>
              <w:bidi w:val="0"/>
              <w:spacing w:after="0" w:line="240" w:lineRule="auto"/>
              <w:jc w:val="both"/>
              <w:rPr>
                <w:color w:val="auto"/>
                <w:sz w:val="28"/>
                <w:szCs w:val="28"/>
                <w:highlight w:val="none"/>
              </w:rPr>
            </w:pPr>
            <w:r>
              <w:rPr>
                <w:color w:val="auto"/>
                <w:sz w:val="28"/>
                <w:szCs w:val="28"/>
                <w:highlight w:val="none"/>
              </w:rPr>
              <w:t xml:space="preserve">1,500,000 焦耳 ＝ 2,000,000 HU </w:t>
            </w:r>
          </w:p>
        </w:tc>
      </w:tr>
      <w:tr w14:paraId="6A5FB6E2">
        <w:tblPrEx>
          <w:tblCellMar>
            <w:top w:w="40" w:type="dxa"/>
            <w:left w:w="108" w:type="dxa"/>
            <w:bottom w:w="0" w:type="dxa"/>
            <w:right w:w="0" w:type="dxa"/>
          </w:tblCellMar>
        </w:tblPrEx>
        <w:trPr>
          <w:trHeight w:val="348"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7AFBB638">
            <w:pPr>
              <w:bidi w:val="0"/>
              <w:spacing w:after="0" w:line="240" w:lineRule="auto"/>
              <w:jc w:val="both"/>
              <w:rPr>
                <w:color w:val="auto"/>
                <w:sz w:val="28"/>
                <w:szCs w:val="28"/>
                <w:highlight w:val="none"/>
              </w:rPr>
            </w:pPr>
            <w:r>
              <w:rPr>
                <w:color w:val="auto"/>
                <w:sz w:val="28"/>
                <w:szCs w:val="28"/>
                <w:highlight w:val="none"/>
              </w:rPr>
              <w:t xml:space="preserve">阳极表面覆层材料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6FAE99F3">
            <w:pPr>
              <w:bidi w:val="0"/>
              <w:spacing w:after="0" w:line="240" w:lineRule="auto"/>
              <w:jc w:val="both"/>
              <w:rPr>
                <w:color w:val="auto"/>
                <w:sz w:val="28"/>
                <w:szCs w:val="28"/>
                <w:highlight w:val="none"/>
              </w:rPr>
            </w:pPr>
            <w:r>
              <w:rPr>
                <w:color w:val="auto"/>
                <w:sz w:val="28"/>
                <w:szCs w:val="28"/>
                <w:highlight w:val="none"/>
              </w:rPr>
              <w:t xml:space="preserve">铼－钨  </w:t>
            </w:r>
          </w:p>
        </w:tc>
      </w:tr>
      <w:tr w14:paraId="1338F9EA">
        <w:tblPrEx>
          <w:tblCellMar>
            <w:top w:w="40" w:type="dxa"/>
            <w:left w:w="108" w:type="dxa"/>
            <w:bottom w:w="0" w:type="dxa"/>
            <w:right w:w="0" w:type="dxa"/>
          </w:tblCellMar>
        </w:tblPrEx>
        <w:trPr>
          <w:trHeight w:val="372"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1B0F5E63">
            <w:pPr>
              <w:bidi w:val="0"/>
              <w:spacing w:after="0" w:line="240" w:lineRule="auto"/>
              <w:jc w:val="both"/>
              <w:rPr>
                <w:color w:val="auto"/>
                <w:sz w:val="28"/>
                <w:szCs w:val="28"/>
                <w:highlight w:val="none"/>
              </w:rPr>
            </w:pPr>
            <w:r>
              <w:rPr>
                <w:color w:val="auto"/>
                <w:sz w:val="28"/>
                <w:szCs w:val="28"/>
                <w:highlight w:val="none"/>
              </w:rPr>
              <w:t xml:space="preserve">靶材料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0CCCC709">
            <w:pPr>
              <w:bidi w:val="0"/>
              <w:spacing w:after="0" w:line="240" w:lineRule="auto"/>
              <w:jc w:val="both"/>
              <w:rPr>
                <w:color w:val="auto"/>
                <w:sz w:val="28"/>
                <w:szCs w:val="28"/>
                <w:highlight w:val="none"/>
              </w:rPr>
            </w:pPr>
            <w:r>
              <w:rPr>
                <w:color w:val="auto"/>
                <w:sz w:val="28"/>
                <w:szCs w:val="28"/>
                <w:highlight w:val="none"/>
              </w:rPr>
              <w:t xml:space="preserve">铼、钨、钼合金、石墨  </w:t>
            </w:r>
          </w:p>
        </w:tc>
      </w:tr>
      <w:tr w14:paraId="7E04CBB7">
        <w:tblPrEx>
          <w:tblCellMar>
            <w:top w:w="40" w:type="dxa"/>
            <w:left w:w="108" w:type="dxa"/>
            <w:bottom w:w="0" w:type="dxa"/>
            <w:right w:w="0" w:type="dxa"/>
          </w:tblCellMar>
        </w:tblPrEx>
        <w:trPr>
          <w:trHeight w:val="355"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202C4334">
            <w:pPr>
              <w:bidi w:val="0"/>
              <w:spacing w:after="0" w:line="240" w:lineRule="auto"/>
              <w:jc w:val="both"/>
              <w:rPr>
                <w:color w:val="auto"/>
                <w:sz w:val="28"/>
                <w:szCs w:val="28"/>
                <w:highlight w:val="none"/>
              </w:rPr>
            </w:pPr>
            <w:r>
              <w:rPr>
                <w:color w:val="auto"/>
                <w:sz w:val="28"/>
                <w:szCs w:val="28"/>
                <w:highlight w:val="none"/>
              </w:rPr>
              <w:t xml:space="preserve">标称 X 射线管电压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627E244D">
            <w:pPr>
              <w:bidi w:val="0"/>
              <w:spacing w:after="0" w:line="240" w:lineRule="auto"/>
              <w:jc w:val="both"/>
              <w:rPr>
                <w:color w:val="auto"/>
                <w:sz w:val="28"/>
                <w:szCs w:val="28"/>
                <w:highlight w:val="none"/>
              </w:rPr>
            </w:pPr>
            <w:r>
              <w:rPr>
                <w:color w:val="auto"/>
                <w:sz w:val="28"/>
                <w:szCs w:val="28"/>
                <w:highlight w:val="none"/>
              </w:rPr>
              <w:t xml:space="preserve">140 千伏  </w:t>
            </w:r>
          </w:p>
        </w:tc>
      </w:tr>
      <w:tr w14:paraId="6D74B049">
        <w:tblPrEx>
          <w:tblCellMar>
            <w:top w:w="40" w:type="dxa"/>
            <w:left w:w="108" w:type="dxa"/>
            <w:bottom w:w="0" w:type="dxa"/>
            <w:right w:w="0" w:type="dxa"/>
          </w:tblCellMar>
        </w:tblPrEx>
        <w:trPr>
          <w:trHeight w:val="353"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4F946E31">
            <w:pPr>
              <w:bidi w:val="0"/>
              <w:spacing w:after="0" w:line="240" w:lineRule="auto"/>
              <w:jc w:val="both"/>
              <w:rPr>
                <w:color w:val="auto"/>
                <w:sz w:val="28"/>
                <w:szCs w:val="28"/>
                <w:highlight w:val="none"/>
              </w:rPr>
            </w:pPr>
            <w:r>
              <w:rPr>
                <w:color w:val="auto"/>
                <w:sz w:val="28"/>
                <w:szCs w:val="28"/>
                <w:highlight w:val="none"/>
              </w:rPr>
              <w:t xml:space="preserve">阳极的最大散热功率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72E99233">
            <w:pPr>
              <w:bidi w:val="0"/>
              <w:spacing w:after="0" w:line="240" w:lineRule="auto"/>
              <w:jc w:val="both"/>
              <w:rPr>
                <w:color w:val="auto"/>
                <w:sz w:val="28"/>
                <w:szCs w:val="28"/>
                <w:highlight w:val="none"/>
              </w:rPr>
            </w:pPr>
            <w:r>
              <w:rPr>
                <w:color w:val="auto"/>
                <w:sz w:val="28"/>
                <w:szCs w:val="28"/>
                <w:highlight w:val="none"/>
              </w:rPr>
              <w:t xml:space="preserve">10,000 瓦  </w:t>
            </w:r>
          </w:p>
        </w:tc>
      </w:tr>
      <w:tr w14:paraId="5F154CFB">
        <w:tblPrEx>
          <w:tblCellMar>
            <w:top w:w="40" w:type="dxa"/>
            <w:left w:w="108" w:type="dxa"/>
            <w:bottom w:w="0" w:type="dxa"/>
            <w:right w:w="0" w:type="dxa"/>
          </w:tblCellMar>
        </w:tblPrEx>
        <w:trPr>
          <w:trHeight w:val="504"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78B21918">
            <w:pPr>
              <w:bidi w:val="0"/>
              <w:spacing w:after="0" w:line="240" w:lineRule="auto"/>
              <w:jc w:val="both"/>
              <w:rPr>
                <w:color w:val="auto"/>
                <w:sz w:val="28"/>
                <w:szCs w:val="28"/>
                <w:highlight w:val="none"/>
              </w:rPr>
            </w:pPr>
            <w:r>
              <w:rPr>
                <w:color w:val="auto"/>
                <w:sz w:val="28"/>
                <w:szCs w:val="28"/>
                <w:highlight w:val="none"/>
              </w:rPr>
              <w:t xml:space="preserve">最大阳极频率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5951E09B">
            <w:pPr>
              <w:bidi w:val="0"/>
              <w:spacing w:after="0" w:line="240" w:lineRule="auto"/>
              <w:jc w:val="both"/>
              <w:rPr>
                <w:color w:val="auto"/>
                <w:sz w:val="28"/>
                <w:szCs w:val="28"/>
                <w:highlight w:val="none"/>
              </w:rPr>
            </w:pPr>
            <w:r>
              <w:rPr>
                <w:color w:val="auto"/>
                <w:sz w:val="28"/>
                <w:szCs w:val="28"/>
                <w:highlight w:val="none"/>
              </w:rPr>
              <w:t xml:space="preserve">150 赫兹  </w:t>
            </w:r>
          </w:p>
        </w:tc>
      </w:tr>
      <w:tr w14:paraId="4A823C40">
        <w:tblPrEx>
          <w:tblCellMar>
            <w:top w:w="40" w:type="dxa"/>
            <w:left w:w="108" w:type="dxa"/>
            <w:bottom w:w="0" w:type="dxa"/>
            <w:right w:w="0" w:type="dxa"/>
          </w:tblCellMar>
        </w:tblPrEx>
        <w:trPr>
          <w:trHeight w:val="396"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7630D061">
            <w:pPr>
              <w:bidi w:val="0"/>
              <w:spacing w:after="0" w:line="240" w:lineRule="auto"/>
              <w:jc w:val="both"/>
              <w:rPr>
                <w:color w:val="auto"/>
                <w:sz w:val="28"/>
                <w:szCs w:val="28"/>
                <w:highlight w:val="none"/>
              </w:rPr>
            </w:pPr>
            <w:r>
              <w:rPr>
                <w:color w:val="auto"/>
                <w:sz w:val="28"/>
                <w:szCs w:val="28"/>
                <w:highlight w:val="none"/>
              </w:rPr>
              <w:t xml:space="preserve">最大阴极灯丝加热电流   </w:t>
            </w:r>
          </w:p>
        </w:tc>
        <w:tc>
          <w:tcPr>
            <w:tcW w:w="1980" w:type="dxa"/>
            <w:tcBorders>
              <w:top w:val="single" w:color="000000" w:sz="4" w:space="0"/>
              <w:left w:val="single" w:color="000000" w:sz="6" w:space="0"/>
              <w:bottom w:val="single" w:color="000000" w:sz="4" w:space="0"/>
              <w:right w:val="single" w:color="000000" w:sz="4" w:space="0"/>
            </w:tcBorders>
            <w:noWrap w:val="0"/>
            <w:vAlign w:val="top"/>
          </w:tcPr>
          <w:p w14:paraId="48256F57">
            <w:pPr>
              <w:bidi w:val="0"/>
              <w:spacing w:after="0" w:line="240" w:lineRule="auto"/>
              <w:jc w:val="both"/>
              <w:rPr>
                <w:color w:val="auto"/>
                <w:sz w:val="28"/>
                <w:szCs w:val="28"/>
                <w:highlight w:val="none"/>
              </w:rPr>
            </w:pPr>
            <w:r>
              <w:rPr>
                <w:color w:val="auto"/>
                <w:sz w:val="28"/>
                <w:szCs w:val="28"/>
                <w:highlight w:val="none"/>
              </w:rPr>
              <w:t xml:space="preserve">≈ 7.5 A  </w:t>
            </w:r>
          </w:p>
        </w:tc>
        <w:tc>
          <w:tcPr>
            <w:tcW w:w="2050" w:type="dxa"/>
            <w:tcBorders>
              <w:top w:val="single" w:color="000000" w:sz="4" w:space="0"/>
              <w:left w:val="single" w:color="000000" w:sz="4" w:space="0"/>
              <w:bottom w:val="single" w:color="000000" w:sz="4" w:space="0"/>
              <w:right w:val="single" w:color="000000" w:sz="4" w:space="0"/>
            </w:tcBorders>
            <w:noWrap w:val="0"/>
            <w:vAlign w:val="top"/>
          </w:tcPr>
          <w:p w14:paraId="1084F8B3">
            <w:pPr>
              <w:bidi w:val="0"/>
              <w:spacing w:after="0" w:line="240" w:lineRule="auto"/>
              <w:jc w:val="both"/>
              <w:rPr>
                <w:color w:val="auto"/>
                <w:sz w:val="28"/>
                <w:szCs w:val="28"/>
                <w:highlight w:val="none"/>
              </w:rPr>
            </w:pPr>
            <w:r>
              <w:rPr>
                <w:color w:val="auto"/>
                <w:sz w:val="28"/>
                <w:szCs w:val="28"/>
                <w:highlight w:val="none"/>
              </w:rPr>
              <w:t xml:space="preserve">≈ 7.5 A  </w:t>
            </w:r>
          </w:p>
        </w:tc>
      </w:tr>
      <w:tr w14:paraId="676B6C2F">
        <w:tblPrEx>
          <w:tblCellMar>
            <w:top w:w="40" w:type="dxa"/>
            <w:left w:w="108" w:type="dxa"/>
            <w:bottom w:w="0" w:type="dxa"/>
            <w:right w:w="0" w:type="dxa"/>
          </w:tblCellMar>
        </w:tblPrEx>
        <w:trPr>
          <w:trHeight w:val="506" w:hRule="atLeast"/>
        </w:trPr>
        <w:tc>
          <w:tcPr>
            <w:tcW w:w="4538" w:type="dxa"/>
            <w:tcBorders>
              <w:top w:val="single" w:color="000000" w:sz="4" w:space="0"/>
              <w:left w:val="single" w:color="000000" w:sz="4" w:space="0"/>
              <w:bottom w:val="single" w:color="000000" w:sz="4" w:space="0"/>
              <w:right w:val="single" w:color="000000" w:sz="6" w:space="0"/>
            </w:tcBorders>
            <w:noWrap w:val="0"/>
            <w:vAlign w:val="top"/>
          </w:tcPr>
          <w:p w14:paraId="08FA3DE9">
            <w:pPr>
              <w:bidi w:val="0"/>
              <w:spacing w:after="0" w:line="240" w:lineRule="auto"/>
              <w:jc w:val="both"/>
              <w:rPr>
                <w:color w:val="auto"/>
                <w:sz w:val="28"/>
                <w:szCs w:val="28"/>
                <w:highlight w:val="none"/>
              </w:rPr>
            </w:pPr>
            <w:r>
              <w:rPr>
                <w:color w:val="auto"/>
                <w:sz w:val="28"/>
                <w:szCs w:val="28"/>
                <w:highlight w:val="none"/>
              </w:rPr>
              <w:t xml:space="preserve">最大连续热耗散  </w:t>
            </w:r>
          </w:p>
        </w:tc>
        <w:tc>
          <w:tcPr>
            <w:tcW w:w="4030" w:type="dxa"/>
            <w:gridSpan w:val="2"/>
            <w:tcBorders>
              <w:top w:val="single" w:color="000000" w:sz="4" w:space="0"/>
              <w:left w:val="single" w:color="000000" w:sz="6" w:space="0"/>
              <w:bottom w:val="single" w:color="000000" w:sz="4" w:space="0"/>
              <w:right w:val="single" w:color="000000" w:sz="4" w:space="0"/>
            </w:tcBorders>
            <w:noWrap w:val="0"/>
            <w:vAlign w:val="top"/>
          </w:tcPr>
          <w:p w14:paraId="3CAB9900">
            <w:pPr>
              <w:bidi w:val="0"/>
              <w:spacing w:after="0" w:line="240" w:lineRule="auto"/>
              <w:jc w:val="both"/>
              <w:rPr>
                <w:color w:val="auto"/>
                <w:sz w:val="28"/>
                <w:szCs w:val="28"/>
                <w:highlight w:val="none"/>
              </w:rPr>
            </w:pPr>
            <w:r>
              <w:rPr>
                <w:color w:val="auto"/>
                <w:sz w:val="28"/>
                <w:szCs w:val="28"/>
                <w:highlight w:val="none"/>
              </w:rPr>
              <w:t xml:space="preserve">2.5 千瓦  </w:t>
            </w:r>
          </w:p>
        </w:tc>
      </w:tr>
      <w:tr w14:paraId="2C691281">
        <w:tblPrEx>
          <w:tblCellMar>
            <w:top w:w="40" w:type="dxa"/>
            <w:left w:w="108" w:type="dxa"/>
            <w:bottom w:w="0" w:type="dxa"/>
            <w:right w:w="0" w:type="dxa"/>
          </w:tblCellMar>
        </w:tblPrEx>
        <w:trPr>
          <w:trHeight w:val="506" w:hRule="atLeast"/>
        </w:trPr>
        <w:tc>
          <w:tcPr>
            <w:tcW w:w="4538" w:type="dxa"/>
            <w:tcBorders>
              <w:top w:val="single" w:color="000000" w:sz="4" w:space="0"/>
              <w:left w:val="single" w:color="000000" w:sz="6" w:space="0"/>
              <w:bottom w:val="single" w:color="000000" w:sz="6" w:space="0"/>
              <w:right w:val="single" w:color="000000" w:sz="6" w:space="0"/>
            </w:tcBorders>
            <w:noWrap w:val="0"/>
            <w:vAlign w:val="top"/>
          </w:tcPr>
          <w:p w14:paraId="29EF7D41">
            <w:pPr>
              <w:bidi w:val="0"/>
              <w:spacing w:after="0" w:line="240" w:lineRule="auto"/>
              <w:jc w:val="both"/>
              <w:rPr>
                <w:color w:val="auto"/>
                <w:sz w:val="28"/>
                <w:szCs w:val="28"/>
                <w:highlight w:val="none"/>
              </w:rPr>
            </w:pPr>
            <w:r>
              <w:rPr>
                <w:color w:val="auto"/>
                <w:sz w:val="28"/>
                <w:szCs w:val="28"/>
                <w:highlight w:val="none"/>
              </w:rPr>
              <w:t xml:space="preserve">靶角（与参考轴有关）  </w:t>
            </w:r>
          </w:p>
        </w:tc>
        <w:tc>
          <w:tcPr>
            <w:tcW w:w="4030" w:type="dxa"/>
            <w:gridSpan w:val="2"/>
            <w:tcBorders>
              <w:top w:val="single" w:color="000000" w:sz="4" w:space="0"/>
              <w:left w:val="single" w:color="000000" w:sz="6" w:space="0"/>
              <w:bottom w:val="single" w:color="000000" w:sz="4" w:space="0"/>
              <w:right w:val="single" w:color="000000" w:sz="6" w:space="0"/>
            </w:tcBorders>
            <w:noWrap w:val="0"/>
            <w:vAlign w:val="top"/>
          </w:tcPr>
          <w:p w14:paraId="539F5BD5">
            <w:pPr>
              <w:bidi w:val="0"/>
              <w:spacing w:after="0" w:line="240" w:lineRule="auto"/>
              <w:jc w:val="both"/>
              <w:rPr>
                <w:color w:val="auto"/>
                <w:sz w:val="28"/>
                <w:szCs w:val="28"/>
                <w:highlight w:val="none"/>
              </w:rPr>
            </w:pPr>
            <w:r>
              <w:rPr>
                <w:color w:val="auto"/>
                <w:sz w:val="28"/>
                <w:szCs w:val="28"/>
                <w:highlight w:val="none"/>
              </w:rPr>
              <w:t xml:space="preserve">8°  </w:t>
            </w:r>
          </w:p>
        </w:tc>
      </w:tr>
      <w:tr w14:paraId="42363763">
        <w:tblPrEx>
          <w:tblCellMar>
            <w:top w:w="40" w:type="dxa"/>
            <w:left w:w="108" w:type="dxa"/>
            <w:bottom w:w="0" w:type="dxa"/>
            <w:right w:w="0" w:type="dxa"/>
          </w:tblCellMar>
        </w:tblPrEx>
        <w:trPr>
          <w:trHeight w:val="361"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4432E9EF">
            <w:pPr>
              <w:bidi w:val="0"/>
              <w:spacing w:after="0" w:line="240" w:lineRule="auto"/>
              <w:jc w:val="both"/>
              <w:rPr>
                <w:color w:val="auto"/>
                <w:sz w:val="28"/>
                <w:szCs w:val="28"/>
                <w:highlight w:val="none"/>
              </w:rPr>
            </w:pPr>
            <w:r>
              <w:rPr>
                <w:color w:val="auto"/>
                <w:sz w:val="28"/>
                <w:szCs w:val="28"/>
                <w:highlight w:val="none"/>
              </w:rPr>
              <w:t xml:space="preserve">焦点  </w:t>
            </w:r>
          </w:p>
        </w:tc>
        <w:tc>
          <w:tcPr>
            <w:tcW w:w="1980" w:type="dxa"/>
            <w:tcBorders>
              <w:top w:val="single" w:color="000000" w:sz="4" w:space="0"/>
              <w:left w:val="single" w:color="000000" w:sz="6" w:space="0"/>
              <w:bottom w:val="single" w:color="000000" w:sz="6" w:space="0"/>
              <w:right w:val="single" w:color="000000" w:sz="6" w:space="0"/>
            </w:tcBorders>
            <w:noWrap w:val="0"/>
            <w:vAlign w:val="top"/>
          </w:tcPr>
          <w:p w14:paraId="55C87E49">
            <w:pPr>
              <w:bidi w:val="0"/>
              <w:spacing w:after="0" w:line="240" w:lineRule="auto"/>
              <w:jc w:val="both"/>
              <w:rPr>
                <w:color w:val="auto"/>
                <w:sz w:val="28"/>
                <w:szCs w:val="28"/>
                <w:highlight w:val="none"/>
              </w:rPr>
            </w:pPr>
            <w:r>
              <w:rPr>
                <w:color w:val="auto"/>
                <w:sz w:val="28"/>
                <w:szCs w:val="28"/>
                <w:highlight w:val="none"/>
              </w:rPr>
              <w:t xml:space="preserve">F 1  </w:t>
            </w:r>
          </w:p>
        </w:tc>
        <w:tc>
          <w:tcPr>
            <w:tcW w:w="2050" w:type="dxa"/>
            <w:tcBorders>
              <w:top w:val="single" w:color="000000" w:sz="4" w:space="0"/>
              <w:left w:val="single" w:color="000000" w:sz="6" w:space="0"/>
              <w:bottom w:val="single" w:color="000000" w:sz="6" w:space="0"/>
              <w:right w:val="single" w:color="000000" w:sz="6" w:space="0"/>
            </w:tcBorders>
            <w:noWrap w:val="0"/>
            <w:vAlign w:val="top"/>
          </w:tcPr>
          <w:p w14:paraId="767CD51A">
            <w:pPr>
              <w:bidi w:val="0"/>
              <w:spacing w:after="0" w:line="240" w:lineRule="auto"/>
              <w:jc w:val="both"/>
              <w:rPr>
                <w:color w:val="auto"/>
                <w:sz w:val="28"/>
                <w:szCs w:val="28"/>
                <w:highlight w:val="none"/>
              </w:rPr>
            </w:pPr>
            <w:r>
              <w:rPr>
                <w:color w:val="auto"/>
                <w:sz w:val="28"/>
                <w:szCs w:val="28"/>
                <w:highlight w:val="none"/>
              </w:rPr>
              <w:t xml:space="preserve">F 2  </w:t>
            </w:r>
          </w:p>
        </w:tc>
      </w:tr>
      <w:tr w14:paraId="5133762D">
        <w:tblPrEx>
          <w:tblCellMar>
            <w:top w:w="40" w:type="dxa"/>
            <w:left w:w="108" w:type="dxa"/>
            <w:bottom w:w="0" w:type="dxa"/>
            <w:right w:w="0" w:type="dxa"/>
          </w:tblCellMar>
        </w:tblPrEx>
        <w:trPr>
          <w:trHeight w:val="420"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53DA6D4A">
            <w:pPr>
              <w:bidi w:val="0"/>
              <w:spacing w:after="0" w:line="240" w:lineRule="auto"/>
              <w:jc w:val="both"/>
              <w:rPr>
                <w:color w:val="auto"/>
                <w:sz w:val="28"/>
                <w:szCs w:val="28"/>
                <w:highlight w:val="none"/>
              </w:rPr>
            </w:pPr>
            <w:r>
              <w:rPr>
                <w:color w:val="auto"/>
                <w:sz w:val="28"/>
                <w:szCs w:val="28"/>
                <w:highlight w:val="none"/>
              </w:rPr>
              <w:t xml:space="preserve">焦点标称值（与参考轴有关）  </w:t>
            </w:r>
          </w:p>
        </w:tc>
        <w:tc>
          <w:tcPr>
            <w:tcW w:w="1980" w:type="dxa"/>
            <w:tcBorders>
              <w:top w:val="single" w:color="000000" w:sz="6" w:space="0"/>
              <w:left w:val="single" w:color="000000" w:sz="6" w:space="0"/>
              <w:bottom w:val="single" w:color="000000" w:sz="6" w:space="0"/>
              <w:right w:val="single" w:color="000000" w:sz="6" w:space="0"/>
            </w:tcBorders>
            <w:noWrap w:val="0"/>
            <w:vAlign w:val="top"/>
          </w:tcPr>
          <w:p w14:paraId="0E440F96">
            <w:pPr>
              <w:bidi w:val="0"/>
              <w:spacing w:after="0" w:line="240" w:lineRule="auto"/>
              <w:jc w:val="both"/>
              <w:rPr>
                <w:color w:val="auto"/>
                <w:sz w:val="28"/>
                <w:szCs w:val="28"/>
                <w:highlight w:val="none"/>
              </w:rPr>
            </w:pPr>
            <w:r>
              <w:rPr>
                <w:color w:val="auto"/>
                <w:sz w:val="28"/>
                <w:szCs w:val="28"/>
                <w:highlight w:val="none"/>
              </w:rPr>
              <w:t xml:space="preserve">0.8×0.4 </w:t>
            </w:r>
          </w:p>
        </w:tc>
        <w:tc>
          <w:tcPr>
            <w:tcW w:w="2050" w:type="dxa"/>
            <w:tcBorders>
              <w:top w:val="single" w:color="000000" w:sz="6" w:space="0"/>
              <w:left w:val="single" w:color="000000" w:sz="6" w:space="0"/>
              <w:bottom w:val="single" w:color="000000" w:sz="6" w:space="0"/>
              <w:right w:val="single" w:color="000000" w:sz="6" w:space="0"/>
            </w:tcBorders>
            <w:noWrap w:val="0"/>
            <w:vAlign w:val="top"/>
          </w:tcPr>
          <w:p w14:paraId="0E694831">
            <w:pPr>
              <w:bidi w:val="0"/>
              <w:spacing w:after="0" w:line="240" w:lineRule="auto"/>
              <w:jc w:val="both"/>
              <w:rPr>
                <w:color w:val="auto"/>
                <w:sz w:val="28"/>
                <w:szCs w:val="28"/>
                <w:highlight w:val="none"/>
              </w:rPr>
            </w:pPr>
            <w:r>
              <w:rPr>
                <w:color w:val="auto"/>
                <w:sz w:val="28"/>
                <w:szCs w:val="28"/>
                <w:highlight w:val="none"/>
              </w:rPr>
              <w:t xml:space="preserve">0.8×0.7 </w:t>
            </w:r>
          </w:p>
        </w:tc>
      </w:tr>
      <w:tr w14:paraId="48B90707">
        <w:tblPrEx>
          <w:tblCellMar>
            <w:top w:w="40" w:type="dxa"/>
            <w:left w:w="108" w:type="dxa"/>
            <w:bottom w:w="0" w:type="dxa"/>
            <w:right w:w="0" w:type="dxa"/>
          </w:tblCellMar>
        </w:tblPrEx>
        <w:trPr>
          <w:trHeight w:val="387"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4E38090D">
            <w:pPr>
              <w:bidi w:val="0"/>
              <w:spacing w:after="0" w:line="240" w:lineRule="auto"/>
              <w:jc w:val="both"/>
              <w:rPr>
                <w:color w:val="auto"/>
                <w:sz w:val="28"/>
                <w:szCs w:val="28"/>
                <w:highlight w:val="none"/>
              </w:rPr>
            </w:pPr>
            <w:r>
              <w:rPr>
                <w:color w:val="auto"/>
                <w:sz w:val="28"/>
                <w:szCs w:val="28"/>
                <w:highlight w:val="none"/>
              </w:rPr>
              <w:t xml:space="preserve">X 射线管组件的固有过滤量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7266B5FA">
            <w:pPr>
              <w:bidi w:val="0"/>
              <w:spacing w:after="0" w:line="240" w:lineRule="auto"/>
              <w:jc w:val="both"/>
              <w:rPr>
                <w:color w:val="auto"/>
                <w:sz w:val="28"/>
                <w:szCs w:val="28"/>
                <w:highlight w:val="none"/>
              </w:rPr>
            </w:pPr>
            <w:r>
              <w:rPr>
                <w:color w:val="auto"/>
                <w:sz w:val="28"/>
                <w:szCs w:val="28"/>
                <w:highlight w:val="none"/>
              </w:rPr>
              <w:t xml:space="preserve">5.5 毫米铝/140 千伏  </w:t>
            </w:r>
          </w:p>
        </w:tc>
      </w:tr>
      <w:tr w14:paraId="42C826A1">
        <w:tblPrEx>
          <w:tblCellMar>
            <w:top w:w="40" w:type="dxa"/>
            <w:left w:w="108" w:type="dxa"/>
            <w:bottom w:w="0" w:type="dxa"/>
            <w:right w:w="0" w:type="dxa"/>
          </w:tblCellMar>
        </w:tblPrEx>
        <w:trPr>
          <w:trHeight w:val="417"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679F896A">
            <w:pPr>
              <w:bidi w:val="0"/>
              <w:spacing w:after="0" w:line="240" w:lineRule="auto"/>
              <w:jc w:val="both"/>
              <w:rPr>
                <w:color w:val="auto"/>
                <w:sz w:val="28"/>
                <w:szCs w:val="28"/>
                <w:highlight w:val="none"/>
              </w:rPr>
            </w:pPr>
            <w:r>
              <w:rPr>
                <w:color w:val="auto"/>
                <w:sz w:val="28"/>
                <w:szCs w:val="28"/>
                <w:highlight w:val="none"/>
              </w:rPr>
              <w:t xml:space="preserve">辐射泄漏在 1 米距离时为 140 千伏 / 2.5 千瓦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3F4EE823">
            <w:pPr>
              <w:bidi w:val="0"/>
              <w:spacing w:after="0" w:line="240" w:lineRule="auto"/>
              <w:jc w:val="both"/>
              <w:rPr>
                <w:color w:val="auto"/>
                <w:sz w:val="28"/>
                <w:szCs w:val="28"/>
                <w:highlight w:val="none"/>
              </w:rPr>
            </w:pPr>
            <w:r>
              <w:rPr>
                <w:color w:val="auto"/>
                <w:sz w:val="28"/>
                <w:szCs w:val="28"/>
                <w:highlight w:val="none"/>
              </w:rPr>
              <w:t xml:space="preserve"> 0.8 毫戈瑞/小时  </w:t>
            </w:r>
          </w:p>
        </w:tc>
      </w:tr>
      <w:tr w14:paraId="50C3E8FC">
        <w:tblPrEx>
          <w:tblCellMar>
            <w:top w:w="40" w:type="dxa"/>
            <w:left w:w="108" w:type="dxa"/>
            <w:bottom w:w="0" w:type="dxa"/>
            <w:right w:w="0" w:type="dxa"/>
          </w:tblCellMar>
        </w:tblPrEx>
        <w:trPr>
          <w:trHeight w:val="374"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7986DEC9">
            <w:pPr>
              <w:bidi w:val="0"/>
              <w:spacing w:after="0" w:line="240" w:lineRule="auto"/>
              <w:jc w:val="both"/>
              <w:rPr>
                <w:color w:val="auto"/>
                <w:sz w:val="28"/>
                <w:szCs w:val="28"/>
                <w:highlight w:val="none"/>
              </w:rPr>
            </w:pPr>
            <w:r>
              <w:rPr>
                <w:color w:val="auto"/>
                <w:sz w:val="28"/>
                <w:szCs w:val="28"/>
                <w:highlight w:val="none"/>
              </w:rPr>
              <w:t xml:space="preserve">保护等级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79F9C8B5">
            <w:pPr>
              <w:bidi w:val="0"/>
              <w:spacing w:after="0" w:line="240" w:lineRule="auto"/>
              <w:jc w:val="both"/>
              <w:rPr>
                <w:color w:val="auto"/>
                <w:sz w:val="28"/>
                <w:szCs w:val="28"/>
                <w:highlight w:val="none"/>
              </w:rPr>
            </w:pPr>
            <w:r>
              <w:rPr>
                <w:color w:val="auto"/>
                <w:sz w:val="28"/>
                <w:szCs w:val="28"/>
                <w:highlight w:val="none"/>
              </w:rPr>
              <w:t xml:space="preserve"> I 类 B 型  </w:t>
            </w:r>
          </w:p>
        </w:tc>
      </w:tr>
      <w:tr w14:paraId="08804386">
        <w:tblPrEx>
          <w:tblCellMar>
            <w:top w:w="40" w:type="dxa"/>
            <w:left w:w="108" w:type="dxa"/>
            <w:bottom w:w="0" w:type="dxa"/>
            <w:right w:w="0" w:type="dxa"/>
          </w:tblCellMar>
        </w:tblPrEx>
        <w:trPr>
          <w:trHeight w:val="396"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663936F7">
            <w:pPr>
              <w:bidi w:val="0"/>
              <w:spacing w:after="0" w:line="240" w:lineRule="auto"/>
              <w:jc w:val="both"/>
              <w:rPr>
                <w:color w:val="auto"/>
                <w:sz w:val="28"/>
                <w:szCs w:val="28"/>
                <w:highlight w:val="none"/>
              </w:rPr>
            </w:pPr>
            <w:r>
              <w:rPr>
                <w:color w:val="auto"/>
                <w:sz w:val="28"/>
                <w:szCs w:val="28"/>
                <w:highlight w:val="none"/>
              </w:rPr>
              <w:t xml:space="preserve">重量（不包括附件）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1990B07F">
            <w:pPr>
              <w:bidi w:val="0"/>
              <w:spacing w:after="0" w:line="240" w:lineRule="auto"/>
              <w:jc w:val="both"/>
              <w:rPr>
                <w:color w:val="auto"/>
                <w:sz w:val="28"/>
                <w:szCs w:val="28"/>
                <w:highlight w:val="none"/>
              </w:rPr>
            </w:pPr>
            <w:r>
              <w:rPr>
                <w:color w:val="auto"/>
                <w:sz w:val="28"/>
                <w:szCs w:val="28"/>
                <w:highlight w:val="none"/>
              </w:rPr>
              <w:t xml:space="preserve">48.2 公斤± 0.1 公斤  </w:t>
            </w:r>
          </w:p>
        </w:tc>
      </w:tr>
      <w:tr w14:paraId="0B8DA1D0">
        <w:tblPrEx>
          <w:tblCellMar>
            <w:top w:w="40" w:type="dxa"/>
            <w:left w:w="108" w:type="dxa"/>
            <w:bottom w:w="0" w:type="dxa"/>
            <w:right w:w="0" w:type="dxa"/>
          </w:tblCellMar>
        </w:tblPrEx>
        <w:trPr>
          <w:trHeight w:val="449"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205F6A7E">
            <w:pPr>
              <w:bidi w:val="0"/>
              <w:spacing w:after="0" w:line="240" w:lineRule="auto"/>
              <w:jc w:val="both"/>
              <w:rPr>
                <w:color w:val="auto"/>
                <w:sz w:val="28"/>
                <w:szCs w:val="28"/>
                <w:highlight w:val="none"/>
              </w:rPr>
            </w:pPr>
            <w:r>
              <w:rPr>
                <w:color w:val="auto"/>
                <w:sz w:val="28"/>
                <w:szCs w:val="28"/>
                <w:highlight w:val="none"/>
              </w:rPr>
              <w:t xml:space="preserve">高压连接       + /-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2322D5D5">
            <w:pPr>
              <w:bidi w:val="0"/>
              <w:spacing w:after="0" w:line="240" w:lineRule="auto"/>
              <w:jc w:val="both"/>
              <w:rPr>
                <w:color w:val="auto"/>
                <w:sz w:val="28"/>
                <w:szCs w:val="28"/>
                <w:highlight w:val="none"/>
              </w:rPr>
            </w:pPr>
            <w:r>
              <w:rPr>
                <w:color w:val="auto"/>
                <w:sz w:val="28"/>
                <w:szCs w:val="28"/>
                <w:highlight w:val="none"/>
              </w:rPr>
              <w:t xml:space="preserve">三芯电缆连接 /三芯电缆连接 </w:t>
            </w:r>
          </w:p>
        </w:tc>
      </w:tr>
      <w:tr w14:paraId="47BDBBD2">
        <w:tblPrEx>
          <w:tblCellMar>
            <w:top w:w="40" w:type="dxa"/>
            <w:left w:w="108" w:type="dxa"/>
            <w:bottom w:w="0" w:type="dxa"/>
            <w:right w:w="0" w:type="dxa"/>
          </w:tblCellMar>
        </w:tblPrEx>
        <w:trPr>
          <w:trHeight w:val="638"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12677A89">
            <w:pPr>
              <w:bidi w:val="0"/>
              <w:spacing w:after="0" w:line="240" w:lineRule="auto"/>
              <w:jc w:val="both"/>
              <w:rPr>
                <w:color w:val="auto"/>
                <w:sz w:val="28"/>
                <w:szCs w:val="28"/>
                <w:highlight w:val="none"/>
              </w:rPr>
            </w:pPr>
            <w:r>
              <w:rPr>
                <w:color w:val="auto"/>
                <w:sz w:val="28"/>
                <w:szCs w:val="28"/>
                <w:highlight w:val="none"/>
              </w:rPr>
              <w:t xml:space="preserve">旋转阳极发动机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138EE138">
            <w:pPr>
              <w:bidi w:val="0"/>
              <w:spacing w:after="0" w:line="240" w:lineRule="auto"/>
              <w:jc w:val="both"/>
              <w:rPr>
                <w:color w:val="auto"/>
                <w:sz w:val="28"/>
                <w:szCs w:val="28"/>
                <w:highlight w:val="none"/>
              </w:rPr>
            </w:pPr>
            <w:r>
              <w:rPr>
                <w:color w:val="auto"/>
                <w:sz w:val="28"/>
                <w:szCs w:val="28"/>
                <w:highlight w:val="none"/>
              </w:rPr>
              <w:t xml:space="preserve">3 相定子，相位电压 400 Vss ±10%      相位电流 ≤ 27 Aeff </w:t>
            </w:r>
          </w:p>
        </w:tc>
      </w:tr>
      <w:tr w14:paraId="3D21698F">
        <w:tblPrEx>
          <w:tblCellMar>
            <w:top w:w="40" w:type="dxa"/>
            <w:left w:w="108" w:type="dxa"/>
            <w:bottom w:w="0" w:type="dxa"/>
            <w:right w:w="0" w:type="dxa"/>
          </w:tblCellMar>
        </w:tblPrEx>
        <w:trPr>
          <w:trHeight w:val="420"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75F16385">
            <w:pPr>
              <w:bidi w:val="0"/>
              <w:spacing w:after="0" w:line="240" w:lineRule="auto"/>
              <w:jc w:val="both"/>
              <w:rPr>
                <w:color w:val="auto"/>
                <w:sz w:val="28"/>
                <w:szCs w:val="28"/>
                <w:highlight w:val="none"/>
              </w:rPr>
            </w:pPr>
            <w:r>
              <w:rPr>
                <w:color w:val="auto"/>
                <w:sz w:val="28"/>
                <w:szCs w:val="28"/>
                <w:highlight w:val="none"/>
              </w:rPr>
              <w:t xml:space="preserve">操作过程中所允许的环境温度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561235C7">
            <w:pPr>
              <w:bidi w:val="0"/>
              <w:spacing w:after="0" w:line="240" w:lineRule="auto"/>
              <w:jc w:val="both"/>
              <w:rPr>
                <w:color w:val="auto"/>
                <w:sz w:val="28"/>
                <w:szCs w:val="28"/>
                <w:highlight w:val="none"/>
              </w:rPr>
            </w:pPr>
            <w:r>
              <w:rPr>
                <w:color w:val="auto"/>
                <w:sz w:val="28"/>
                <w:szCs w:val="28"/>
                <w:highlight w:val="none"/>
              </w:rPr>
              <w:t xml:space="preserve">+10℃ ....+40℃  </w:t>
            </w:r>
          </w:p>
        </w:tc>
      </w:tr>
      <w:tr w14:paraId="5E2BE0F4">
        <w:tblPrEx>
          <w:tblCellMar>
            <w:top w:w="40" w:type="dxa"/>
            <w:left w:w="108" w:type="dxa"/>
            <w:bottom w:w="0" w:type="dxa"/>
            <w:right w:w="0" w:type="dxa"/>
          </w:tblCellMar>
        </w:tblPrEx>
        <w:trPr>
          <w:trHeight w:val="420"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0FF7A99F">
            <w:pPr>
              <w:bidi w:val="0"/>
              <w:spacing w:after="0" w:line="240" w:lineRule="auto"/>
              <w:jc w:val="both"/>
              <w:rPr>
                <w:color w:val="auto"/>
                <w:sz w:val="28"/>
                <w:szCs w:val="28"/>
                <w:highlight w:val="none"/>
              </w:rPr>
            </w:pPr>
            <w:r>
              <w:rPr>
                <w:color w:val="auto"/>
                <w:sz w:val="28"/>
                <w:szCs w:val="28"/>
                <w:highlight w:val="none"/>
              </w:rPr>
              <w:t xml:space="preserve">操作过程中所允许的空气的相对湿度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6381CBC2">
            <w:pPr>
              <w:bidi w:val="0"/>
              <w:spacing w:after="0" w:line="240" w:lineRule="auto"/>
              <w:jc w:val="both"/>
              <w:rPr>
                <w:color w:val="auto"/>
                <w:sz w:val="28"/>
                <w:szCs w:val="28"/>
                <w:highlight w:val="none"/>
              </w:rPr>
            </w:pPr>
            <w:r>
              <w:rPr>
                <w:color w:val="auto"/>
                <w:sz w:val="28"/>
                <w:szCs w:val="28"/>
                <w:highlight w:val="none"/>
              </w:rPr>
              <w:t xml:space="preserve">20% .... 85%  </w:t>
            </w:r>
          </w:p>
        </w:tc>
      </w:tr>
      <w:tr w14:paraId="5ABEF2A8">
        <w:tblPrEx>
          <w:tblCellMar>
            <w:top w:w="40" w:type="dxa"/>
            <w:left w:w="108" w:type="dxa"/>
            <w:bottom w:w="0" w:type="dxa"/>
            <w:right w:w="0" w:type="dxa"/>
          </w:tblCellMar>
        </w:tblPrEx>
        <w:trPr>
          <w:trHeight w:val="420"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0CE06C2D">
            <w:pPr>
              <w:bidi w:val="0"/>
              <w:spacing w:after="0" w:line="240" w:lineRule="auto"/>
              <w:jc w:val="both"/>
              <w:rPr>
                <w:color w:val="auto"/>
                <w:sz w:val="28"/>
                <w:szCs w:val="28"/>
                <w:highlight w:val="none"/>
              </w:rPr>
            </w:pPr>
            <w:r>
              <w:rPr>
                <w:color w:val="auto"/>
                <w:sz w:val="28"/>
                <w:szCs w:val="28"/>
                <w:highlight w:val="none"/>
              </w:rPr>
              <w:t xml:space="preserve">操作过程中所允许的大气压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668BD4A2">
            <w:pPr>
              <w:bidi w:val="0"/>
              <w:spacing w:after="0" w:line="240" w:lineRule="auto"/>
              <w:jc w:val="both"/>
              <w:rPr>
                <w:color w:val="auto"/>
                <w:sz w:val="28"/>
                <w:szCs w:val="28"/>
                <w:highlight w:val="none"/>
              </w:rPr>
            </w:pPr>
            <w:r>
              <w:rPr>
                <w:color w:val="auto"/>
                <w:sz w:val="28"/>
                <w:szCs w:val="28"/>
                <w:highlight w:val="none"/>
              </w:rPr>
              <w:t xml:space="preserve">700 百帕 ....1060 百帕  </w:t>
            </w:r>
          </w:p>
        </w:tc>
      </w:tr>
      <w:tr w14:paraId="705C0A1D">
        <w:tblPrEx>
          <w:tblCellMar>
            <w:top w:w="40" w:type="dxa"/>
            <w:left w:w="108" w:type="dxa"/>
            <w:bottom w:w="0" w:type="dxa"/>
            <w:right w:w="0" w:type="dxa"/>
          </w:tblCellMar>
        </w:tblPrEx>
        <w:trPr>
          <w:trHeight w:val="420"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566EDF9A">
            <w:pPr>
              <w:bidi w:val="0"/>
              <w:spacing w:after="0" w:line="240" w:lineRule="auto"/>
              <w:jc w:val="both"/>
              <w:rPr>
                <w:color w:val="auto"/>
                <w:sz w:val="28"/>
                <w:szCs w:val="28"/>
                <w:highlight w:val="none"/>
              </w:rPr>
            </w:pPr>
            <w:r>
              <w:rPr>
                <w:color w:val="auto"/>
                <w:sz w:val="28"/>
                <w:szCs w:val="28"/>
                <w:highlight w:val="none"/>
              </w:rPr>
              <w:t xml:space="preserve">冷却流量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6FDC149F">
            <w:pPr>
              <w:bidi w:val="0"/>
              <w:spacing w:after="0" w:line="240" w:lineRule="auto"/>
              <w:jc w:val="both"/>
              <w:rPr>
                <w:color w:val="auto"/>
                <w:sz w:val="28"/>
                <w:szCs w:val="28"/>
                <w:highlight w:val="none"/>
              </w:rPr>
            </w:pPr>
            <w:r>
              <w:rPr>
                <w:color w:val="auto"/>
                <w:sz w:val="28"/>
                <w:szCs w:val="28"/>
                <w:highlight w:val="none"/>
              </w:rPr>
              <w:t xml:space="preserve">&gt;  5 升/分钟  </w:t>
            </w:r>
          </w:p>
        </w:tc>
      </w:tr>
      <w:tr w14:paraId="5744CADF">
        <w:tblPrEx>
          <w:tblCellMar>
            <w:top w:w="40" w:type="dxa"/>
            <w:left w:w="108" w:type="dxa"/>
            <w:bottom w:w="0" w:type="dxa"/>
            <w:right w:w="0" w:type="dxa"/>
          </w:tblCellMar>
        </w:tblPrEx>
        <w:trPr>
          <w:trHeight w:val="420" w:hRule="atLeast"/>
        </w:trPr>
        <w:tc>
          <w:tcPr>
            <w:tcW w:w="4538" w:type="dxa"/>
            <w:tcBorders>
              <w:top w:val="single" w:color="000000" w:sz="6" w:space="0"/>
              <w:left w:val="single" w:color="000000" w:sz="6" w:space="0"/>
              <w:bottom w:val="single" w:color="000000" w:sz="6" w:space="0"/>
              <w:right w:val="single" w:color="000000" w:sz="6" w:space="0"/>
            </w:tcBorders>
            <w:noWrap w:val="0"/>
            <w:vAlign w:val="top"/>
          </w:tcPr>
          <w:p w14:paraId="0F6C9CE3">
            <w:pPr>
              <w:bidi w:val="0"/>
              <w:spacing w:after="0" w:line="240" w:lineRule="auto"/>
              <w:jc w:val="both"/>
              <w:rPr>
                <w:color w:val="auto"/>
                <w:sz w:val="28"/>
                <w:szCs w:val="28"/>
                <w:highlight w:val="none"/>
              </w:rPr>
            </w:pPr>
            <w:r>
              <w:rPr>
                <w:color w:val="auto"/>
                <w:sz w:val="28"/>
                <w:szCs w:val="28"/>
                <w:highlight w:val="none"/>
              </w:rPr>
              <w:t xml:space="preserve">冷却绝缘油的体积（包括冷却系统内）  </w:t>
            </w:r>
          </w:p>
        </w:tc>
        <w:tc>
          <w:tcPr>
            <w:tcW w:w="4030" w:type="dxa"/>
            <w:gridSpan w:val="2"/>
            <w:tcBorders>
              <w:top w:val="single" w:color="000000" w:sz="6" w:space="0"/>
              <w:left w:val="single" w:color="000000" w:sz="6" w:space="0"/>
              <w:bottom w:val="single" w:color="000000" w:sz="6" w:space="0"/>
              <w:right w:val="single" w:color="000000" w:sz="6" w:space="0"/>
            </w:tcBorders>
            <w:noWrap w:val="0"/>
            <w:vAlign w:val="top"/>
          </w:tcPr>
          <w:p w14:paraId="33BAD7D6">
            <w:pPr>
              <w:bidi w:val="0"/>
              <w:spacing w:after="0" w:line="240" w:lineRule="auto"/>
              <w:jc w:val="both"/>
              <w:rPr>
                <w:color w:val="auto"/>
                <w:sz w:val="28"/>
                <w:szCs w:val="28"/>
                <w:highlight w:val="none"/>
              </w:rPr>
            </w:pPr>
            <w:r>
              <w:rPr>
                <w:color w:val="auto"/>
                <w:sz w:val="28"/>
                <w:szCs w:val="28"/>
                <w:highlight w:val="none"/>
              </w:rPr>
              <w:t xml:space="preserve">约 12.5 升  </w:t>
            </w:r>
          </w:p>
        </w:tc>
      </w:tr>
    </w:tbl>
    <w:p w14:paraId="711116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质量与性能要求</w:t>
      </w:r>
    </w:p>
    <w:p w14:paraId="43BC16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 球管应是全新的、原装产品，具有良好的稳定性和可靠性，能在规定的工作条件下长期稳定运行。</w:t>
      </w:r>
    </w:p>
    <w:p w14:paraId="3A4B0C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 提供的球管应符合国家相关质量标准和行业标准，具备合格证明材料及相关资料。</w:t>
      </w:r>
    </w:p>
    <w:p w14:paraId="4D20CD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售后服务要求</w:t>
      </w:r>
    </w:p>
    <w:p w14:paraId="2DA731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 供应商应提供[1]年的质保期，质保期内需由设备原厂或授权服务商负责免费维修，更换的有质量问题的球管及相关零部件。</w:t>
      </w:r>
    </w:p>
    <w:p w14:paraId="338528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 在接到甲方维修通知后[1]小时内响应，[2]个工作日内到达现场进行维修。</w:t>
      </w:r>
    </w:p>
    <w:p w14:paraId="33D846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-供应商必须为设备原厂或原厂授权经销商。</w:t>
      </w:r>
    </w:p>
    <w:p w14:paraId="1BABA0C4">
      <w:pPr>
        <w:pStyle w:val="57"/>
        <w:keepNext w:val="0"/>
        <w:keepLines w:val="0"/>
        <w:pageBreakBefore w:val="0"/>
        <w:kinsoku/>
        <w:wordWrap/>
        <w:overflowPunct/>
        <w:topLinePunct w:val="0"/>
        <w:bidi w:val="0"/>
        <w:spacing w:line="360" w:lineRule="auto"/>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工作周期</w:t>
      </w:r>
    </w:p>
    <w:p w14:paraId="67CB69A4">
      <w:pPr>
        <w:pStyle w:val="57"/>
        <w:keepNext w:val="0"/>
        <w:keepLines w:val="0"/>
        <w:pageBreakBefore w:val="0"/>
        <w:kinsoku/>
        <w:wordWrap/>
        <w:overflowPunct/>
        <w:topLinePunct w:val="0"/>
        <w:bidi w:val="0"/>
        <w:spacing w:line="360" w:lineRule="auto"/>
        <w:ind w:left="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三个工作日</w:t>
      </w:r>
    </w:p>
    <w:p w14:paraId="6A83DA53">
      <w:pPr>
        <w:pStyle w:val="57"/>
        <w:keepNext w:val="0"/>
        <w:keepLines w:val="0"/>
        <w:pageBreakBefore w:val="0"/>
        <w:kinsoku/>
        <w:wordWrap/>
        <w:overflowPunct/>
        <w:topLinePunct w:val="0"/>
        <w:bidi w:val="0"/>
        <w:spacing w:line="360" w:lineRule="auto"/>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预期成果</w:t>
      </w:r>
    </w:p>
    <w:p w14:paraId="14B4FA93">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一、设备性能恢复与提升</w:t>
      </w:r>
    </w:p>
    <w:p w14:paraId="716F3C6F">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像质量显著改善：全新球管能精准发射X射线，探测器接收信号更稳定，图像伪影、噪声大幅减少。以腹部扫描为例，肝脏、肾脏等器官边缘更清晰，内部细微结构如肝内胆管、肾实质纹理等呈现更精确，为医生诊断微小病变，如早期肝癌结节、肾小囊肿提供有力支持。</w:t>
      </w:r>
    </w:p>
    <w:p w14:paraId="7AA6C2AA">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扫描速度提升：新球管热容量、散热性能优化，能承受更高的管电流、电压，单次扫描时间缩短。原本胸部常规扫描需10秒，更换后缩短至6 - 8秒，减少患者等待时间，降低因呼吸、心跳造成的运动伪影，提高检查效率与成功率。</w:t>
      </w:r>
    </w:p>
    <w:p w14:paraId="6DE09E8E">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二、临床诊断效益增强</w:t>
      </w:r>
    </w:p>
    <w:p w14:paraId="057D1920">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疾病诊断准确性提高：清晰的图像让医生更精准识别病变特征，减少误诊、漏诊。在神经系统疾病诊断中，对脑梗塞早期缺血灶、脑肿瘤边界及浸润范围判断更准确，为制定个性化治疗方案提供可靠依据。</w:t>
      </w:r>
    </w:p>
    <w:p w14:paraId="48F617C3">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拓宽临床应用范围：凭借高质量成像，可开展更多复杂、精细的检查项目，如冠状动脉CT血管造影（CTA），为心血管疾病患者提供更全面诊断服务，提升医院在心血管领域诊疗水平。</w:t>
      </w:r>
    </w:p>
    <w:p w14:paraId="0A0FAC01">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三、医疗服务质量优化</w:t>
      </w:r>
    </w:p>
    <w:p w14:paraId="11068EF5">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患者就医体验改善：缩短检查时间，降低患者不适，减少等待过程焦虑。同时，准确诊断避免不必要重复检查，减轻患者经济与身体负担，提升患者对医院满意度。</w:t>
      </w:r>
    </w:p>
    <w:p w14:paraId="06B92157">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医疗服务效率提升：设备高效运行，检查流程加快，每天可接待更多患者，缓解就医排队压力，优化医院整体医疗资源配置，提高医院运营效率。</w:t>
      </w:r>
    </w:p>
    <w:p w14:paraId="56403D1C">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四、设备使用寿命延长与成本效益</w:t>
      </w:r>
    </w:p>
    <w:p w14:paraId="0FD6FB7F">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延长CT设备整体寿命：新球管与CT其他部件匹配良好，能稳定运行，避免因球管老化影响整机性能，延长CT设备使用寿命，减少短期内设备更新成本。</w:t>
      </w:r>
    </w:p>
    <w:p w14:paraId="7A89D56C">
      <w:pPr>
        <w:keepNext w:val="0"/>
        <w:keepLines w:val="0"/>
        <w:pageBreakBefore w:val="0"/>
        <w:kinsoku/>
        <w:wordWrap/>
        <w:overflowPunct/>
        <w:topLinePunct w:val="0"/>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降低长期运营成本：稳定的球管性能减少设备故障维修次数，降低维修成本。高效检查流程提高设备利用率，增加医院收益，从长期看，实现良好成本效益平衡。</w:t>
      </w:r>
    </w:p>
    <w:p w14:paraId="5F5BEF83">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2</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服务内容及要求：</w:t>
      </w:r>
    </w:p>
    <w:p w14:paraId="1903CE90">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2.1服务要求：供应商应提供[1]年的质保期，质保期内需由设备原厂或授权服务商负责免费维修，更换的有质量问题的球管及相关零部件。</w:t>
      </w:r>
    </w:p>
    <w:p w14:paraId="0164CFA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 在接到甲方维修通知后[1]小时内响应，[2]个工作日内到达现场进行维修。</w:t>
      </w:r>
    </w:p>
    <w:p w14:paraId="015D53BC">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-供应商必须为设备原厂或原厂授权经销商。</w:t>
      </w:r>
    </w:p>
    <w:p w14:paraId="263CFF4E">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2.2</w:t>
      </w:r>
      <w:r>
        <w:rPr>
          <w:rFonts w:hint="eastAsia" w:ascii="宋体" w:hAnsi="宋体" w:eastAsia="宋体" w:cs="Times New Roman"/>
          <w:sz w:val="28"/>
          <w:szCs w:val="28"/>
          <w:lang w:val="en-US" w:eastAsia="zh-CN"/>
        </w:rPr>
        <w:t>服务</w:t>
      </w:r>
      <w:r>
        <w:rPr>
          <w:rFonts w:hint="eastAsia" w:ascii="宋体" w:hAnsi="宋体" w:eastAsia="宋体" w:cs="Times New Roman"/>
          <w:sz w:val="28"/>
          <w:szCs w:val="28"/>
          <w:lang w:val="zh-CN"/>
        </w:rPr>
        <w:t>地点：采购人指定地点。</w:t>
      </w:r>
    </w:p>
    <w:p w14:paraId="1E33FC7F">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2.3</w:t>
      </w:r>
      <w:r>
        <w:rPr>
          <w:rFonts w:hint="eastAsia" w:ascii="宋体" w:hAnsi="宋体" w:eastAsia="宋体" w:cs="Times New Roman"/>
          <w:sz w:val="28"/>
          <w:szCs w:val="28"/>
          <w:lang w:val="en-US" w:eastAsia="zh-CN"/>
        </w:rPr>
        <w:t>服务</w:t>
      </w:r>
      <w:r>
        <w:rPr>
          <w:rFonts w:hint="eastAsia" w:ascii="宋体" w:hAnsi="宋体" w:eastAsia="宋体" w:cs="Times New Roman"/>
          <w:sz w:val="28"/>
          <w:szCs w:val="28"/>
          <w:lang w:val="zh-CN"/>
        </w:rPr>
        <w:t>日期：</w:t>
      </w:r>
      <w:r>
        <w:rPr>
          <w:rFonts w:hint="eastAsia" w:ascii="宋体" w:hAnsi="宋体" w:eastAsia="宋体" w:cs="Times New Roman"/>
          <w:sz w:val="28"/>
          <w:szCs w:val="28"/>
          <w:lang w:val="en-US" w:eastAsia="zh-CN"/>
        </w:rPr>
        <w:t>合同签订后3</w:t>
      </w:r>
      <w:r>
        <w:rPr>
          <w:rFonts w:hint="eastAsia" w:ascii="宋体" w:hAnsi="宋体" w:cs="Times New Roman"/>
          <w:sz w:val="28"/>
          <w:szCs w:val="28"/>
          <w:lang w:val="en-US" w:eastAsia="zh-CN"/>
        </w:rPr>
        <w:t>个工作日</w:t>
      </w:r>
      <w:r>
        <w:rPr>
          <w:rFonts w:hint="eastAsia" w:ascii="宋体" w:hAnsi="宋体" w:eastAsia="宋体" w:cs="Times New Roman"/>
          <w:sz w:val="28"/>
          <w:szCs w:val="28"/>
          <w:lang w:val="zh-CN"/>
        </w:rPr>
        <w:t>。</w:t>
      </w:r>
    </w:p>
    <w:p w14:paraId="2F2330FA">
      <w:pPr>
        <w:tabs>
          <w:tab w:val="left" w:pos="0"/>
        </w:tabs>
        <w:spacing w:line="440" w:lineRule="exact"/>
        <w:ind w:left="420" w:hanging="420" w:hangingChars="150"/>
        <w:jc w:val="left"/>
        <w:rPr>
          <w:rFonts w:hint="eastAsia" w:ascii="宋体" w:hAnsi="宋体" w:eastAsia="宋体" w:cs="Times New Roman"/>
          <w:sz w:val="28"/>
          <w:szCs w:val="28"/>
          <w:lang w:val="zh-CN"/>
        </w:rPr>
      </w:pPr>
      <w:r>
        <w:rPr>
          <w:rFonts w:hint="eastAsia" w:ascii="宋体" w:hAnsi="宋体" w:eastAsia="宋体" w:cs="Times New Roman"/>
          <w:sz w:val="28"/>
          <w:szCs w:val="28"/>
          <w:lang w:val="zh-CN"/>
        </w:rPr>
        <w:t>2.4验收：由最终用户组织验收。</w:t>
      </w:r>
    </w:p>
    <w:p w14:paraId="52D5CD0D">
      <w:pPr>
        <w:rPr>
          <w:rFonts w:hint="eastAsia" w:ascii="宋体" w:hAnsi="宋体"/>
          <w:sz w:val="24"/>
          <w:szCs w:val="24"/>
        </w:rPr>
      </w:pPr>
      <w:r>
        <w:rPr>
          <w:rFonts w:ascii="宋体" w:hAnsi="宋体"/>
          <w:sz w:val="24"/>
          <w:szCs w:val="24"/>
        </w:rPr>
        <w:br w:type="page"/>
      </w:r>
    </w:p>
    <w:p w14:paraId="174C9789">
      <w:pPr>
        <w:pStyle w:val="2"/>
        <w:jc w:val="center"/>
        <w:rPr>
          <w:rFonts w:ascii="宋体"/>
          <w:sz w:val="36"/>
          <w:szCs w:val="36"/>
        </w:rPr>
      </w:pPr>
      <w:bookmarkStart w:id="79" w:name="_Toc29538"/>
      <w:bookmarkStart w:id="80" w:name="_Toc7015"/>
      <w:r>
        <w:rPr>
          <w:rFonts w:hint="eastAsia" w:ascii="宋体" w:eastAsia="宋体"/>
          <w:b/>
        </w:rPr>
        <w:t>第四章  响应文件格式</w:t>
      </w:r>
      <w:bookmarkEnd w:id="79"/>
      <w:bookmarkEnd w:id="80"/>
    </w:p>
    <w:p w14:paraId="78D9ABA6">
      <w:pPr>
        <w:spacing w:line="500" w:lineRule="exact"/>
        <w:ind w:firstLine="720" w:firstLineChars="200"/>
        <w:jc w:val="right"/>
        <w:rPr>
          <w:rFonts w:ascii="宋体" w:hAnsi="宋体"/>
          <w:sz w:val="36"/>
          <w:szCs w:val="36"/>
        </w:rPr>
      </w:pPr>
    </w:p>
    <w:p w14:paraId="3B8CD7FE">
      <w:pPr>
        <w:jc w:val="center"/>
        <w:outlineLvl w:val="0"/>
        <w:rPr>
          <w:rFonts w:hint="eastAsia" w:ascii="宋体" w:hAnsi="宋体"/>
          <w:b/>
          <w:bCs/>
          <w:sz w:val="44"/>
          <w:szCs w:val="44"/>
        </w:rPr>
      </w:pPr>
      <w:bookmarkStart w:id="81" w:name="_Toc17199"/>
      <w:r>
        <w:rPr>
          <w:rFonts w:hint="eastAsia" w:ascii="宋体" w:hAnsi="宋体"/>
          <w:b/>
          <w:bCs/>
          <w:sz w:val="44"/>
          <w:szCs w:val="44"/>
        </w:rPr>
        <w:t>周口市公共资源交易中心政府采购中心</w:t>
      </w:r>
      <w:bookmarkEnd w:id="81"/>
    </w:p>
    <w:p w14:paraId="77559D37">
      <w:pPr>
        <w:jc w:val="center"/>
        <w:outlineLvl w:val="0"/>
        <w:rPr>
          <w:rFonts w:ascii="宋体" w:hAnsi="宋体"/>
          <w:b/>
          <w:bCs/>
          <w:sz w:val="44"/>
          <w:szCs w:val="44"/>
        </w:rPr>
      </w:pPr>
      <w:bookmarkStart w:id="82" w:name="_Toc11739"/>
      <w:r>
        <w:rPr>
          <w:rFonts w:hint="eastAsia" w:ascii="宋体" w:hAnsi="宋体"/>
          <w:b/>
          <w:bCs/>
          <w:sz w:val="44"/>
          <w:szCs w:val="44"/>
        </w:rPr>
        <w:t>响应文件</w:t>
      </w:r>
      <w:bookmarkEnd w:id="82"/>
    </w:p>
    <w:p w14:paraId="723FEA52">
      <w:pPr>
        <w:spacing w:line="500" w:lineRule="exact"/>
        <w:ind w:firstLine="560" w:firstLineChars="200"/>
        <w:rPr>
          <w:rFonts w:ascii="宋体" w:hAnsi="宋体"/>
          <w:sz w:val="28"/>
          <w:szCs w:val="24"/>
        </w:rPr>
      </w:pPr>
      <w:r>
        <w:rPr>
          <w:rFonts w:hint="eastAsia" w:ascii="宋体" w:hAnsi="宋体"/>
          <w:sz w:val="28"/>
        </w:rPr>
        <w:t xml:space="preserve">                  </w:t>
      </w:r>
    </w:p>
    <w:p w14:paraId="2C634149">
      <w:pPr>
        <w:spacing w:line="500" w:lineRule="exact"/>
        <w:ind w:firstLine="560" w:firstLineChars="200"/>
        <w:rPr>
          <w:rFonts w:ascii="宋体" w:hAnsi="宋体"/>
          <w:sz w:val="28"/>
        </w:rPr>
      </w:pPr>
    </w:p>
    <w:p w14:paraId="7381C4FE">
      <w:pPr>
        <w:spacing w:line="500" w:lineRule="exact"/>
        <w:rPr>
          <w:rFonts w:hint="eastAsia" w:ascii="宋体" w:hAnsi="宋体"/>
          <w:sz w:val="28"/>
        </w:rPr>
      </w:pPr>
    </w:p>
    <w:p w14:paraId="3DE23A9C">
      <w:pPr>
        <w:spacing w:line="500" w:lineRule="exact"/>
        <w:ind w:firstLine="560" w:firstLineChars="200"/>
        <w:rPr>
          <w:rFonts w:hint="eastAsia" w:ascii="宋体" w:hAnsi="宋体"/>
          <w:sz w:val="28"/>
        </w:rPr>
      </w:pPr>
    </w:p>
    <w:p w14:paraId="4F88D5EB">
      <w:pPr>
        <w:spacing w:line="500" w:lineRule="exact"/>
        <w:ind w:firstLine="560" w:firstLineChars="200"/>
        <w:rPr>
          <w:rFonts w:ascii="宋体" w:hAnsi="宋体"/>
          <w:sz w:val="28"/>
        </w:rPr>
      </w:pPr>
    </w:p>
    <w:p w14:paraId="681AC795">
      <w:pPr>
        <w:spacing w:line="500" w:lineRule="exact"/>
        <w:ind w:firstLine="1546" w:firstLineChars="550"/>
        <w:outlineLvl w:val="0"/>
        <w:rPr>
          <w:rFonts w:ascii="宋体" w:hAnsi="宋体"/>
          <w:b/>
          <w:bCs/>
          <w:sz w:val="28"/>
          <w:u w:val="single"/>
        </w:rPr>
      </w:pPr>
      <w:bookmarkStart w:id="83" w:name="_Toc2127"/>
      <w:r>
        <w:rPr>
          <w:rFonts w:hint="eastAsia" w:ascii="宋体" w:hAnsi="宋体"/>
          <w:b/>
          <w:sz w:val="28"/>
          <w:lang w:val="en-US" w:eastAsia="zh-CN"/>
        </w:rPr>
        <w:t>项目</w:t>
      </w:r>
      <w:r>
        <w:rPr>
          <w:rFonts w:hint="eastAsia" w:ascii="宋体" w:hAnsi="宋体"/>
          <w:b/>
          <w:sz w:val="28"/>
        </w:rPr>
        <w:t>编号：</w:t>
      </w:r>
      <w:bookmarkEnd w:id="83"/>
      <w:r>
        <w:rPr>
          <w:rFonts w:hint="eastAsia" w:ascii="宋体" w:hAnsi="宋体"/>
          <w:b/>
          <w:sz w:val="28"/>
          <w:u w:val="single"/>
        </w:rPr>
        <w:t xml:space="preserve">                           </w:t>
      </w:r>
    </w:p>
    <w:p w14:paraId="4B99C4E9">
      <w:pPr>
        <w:spacing w:line="500" w:lineRule="exact"/>
        <w:ind w:firstLine="1546" w:firstLineChars="550"/>
        <w:outlineLvl w:val="0"/>
        <w:rPr>
          <w:rFonts w:ascii="宋体" w:hAnsi="宋体"/>
          <w:b/>
          <w:sz w:val="28"/>
          <w:u w:val="single"/>
        </w:rPr>
      </w:pPr>
      <w:bookmarkStart w:id="84" w:name="_Toc28538"/>
      <w:r>
        <w:rPr>
          <w:rFonts w:hint="eastAsia" w:ascii="宋体" w:hAnsi="宋体"/>
          <w:b/>
          <w:sz w:val="28"/>
        </w:rPr>
        <w:t>项目名称:</w:t>
      </w:r>
      <w:bookmarkEnd w:id="84"/>
      <w:r>
        <w:rPr>
          <w:rFonts w:hint="eastAsia" w:ascii="宋体" w:hAnsi="宋体"/>
          <w:b/>
          <w:sz w:val="28"/>
        </w:rPr>
        <w:t xml:space="preserve"> </w:t>
      </w:r>
      <w:r>
        <w:rPr>
          <w:rFonts w:hint="eastAsia" w:ascii="宋体" w:hAnsi="宋体"/>
          <w:b/>
          <w:sz w:val="28"/>
          <w:u w:val="single"/>
        </w:rPr>
        <w:t xml:space="preserve">                           </w:t>
      </w:r>
    </w:p>
    <w:p w14:paraId="10ABF3B7">
      <w:pPr>
        <w:spacing w:line="500" w:lineRule="exact"/>
        <w:ind w:firstLine="1546" w:firstLineChars="550"/>
        <w:outlineLvl w:val="0"/>
        <w:rPr>
          <w:rFonts w:ascii="宋体" w:hAnsi="宋体"/>
          <w:b/>
          <w:sz w:val="28"/>
          <w:u w:val="single"/>
        </w:rPr>
      </w:pPr>
      <w:bookmarkStart w:id="85" w:name="_Toc17558"/>
      <w:r>
        <w:rPr>
          <w:rFonts w:hint="eastAsia" w:ascii="宋体" w:hAnsi="宋体"/>
          <w:b/>
          <w:sz w:val="28"/>
        </w:rPr>
        <w:t>供应商名称（盖章）：</w:t>
      </w:r>
      <w:bookmarkEnd w:id="85"/>
      <w:r>
        <w:rPr>
          <w:rFonts w:hint="eastAsia" w:ascii="宋体" w:hAnsi="宋体"/>
          <w:b/>
          <w:sz w:val="28"/>
          <w:u w:val="single"/>
        </w:rPr>
        <w:t xml:space="preserve">                  </w:t>
      </w:r>
    </w:p>
    <w:p w14:paraId="386C3CF6">
      <w:pPr>
        <w:spacing w:line="520" w:lineRule="exact"/>
        <w:ind w:firstLine="1974" w:firstLineChars="940"/>
      </w:pPr>
    </w:p>
    <w:p w14:paraId="5CD2BF14">
      <w:pPr>
        <w:spacing w:line="520" w:lineRule="exact"/>
        <w:ind w:firstLine="1974" w:firstLineChars="940"/>
      </w:pPr>
    </w:p>
    <w:p w14:paraId="7AC20B2A">
      <w:pPr>
        <w:spacing w:line="520" w:lineRule="exact"/>
        <w:ind w:firstLine="1974" w:firstLineChars="940"/>
        <w:rPr>
          <w:rFonts w:hint="eastAsia"/>
        </w:rPr>
      </w:pPr>
    </w:p>
    <w:p w14:paraId="156652AC">
      <w:pPr>
        <w:spacing w:line="520" w:lineRule="exact"/>
        <w:ind w:firstLine="2256" w:firstLineChars="940"/>
        <w:rPr>
          <w:rFonts w:hint="eastAsia" w:ascii="宋体" w:hAnsi="宋体"/>
          <w:b/>
          <w:bCs/>
          <w:sz w:val="36"/>
          <w:szCs w:val="30"/>
          <w:u w:val="single"/>
        </w:rPr>
      </w:pPr>
      <w:r>
        <w:rPr>
          <w:rFonts w:hint="eastAsia"/>
          <w:sz w:val="24"/>
        </w:rPr>
        <w:t>日    期：          年      月     日</w:t>
      </w:r>
    </w:p>
    <w:p w14:paraId="1F927895">
      <w:pPr>
        <w:pStyle w:val="3"/>
        <w:jc w:val="left"/>
        <w:outlineLvl w:val="0"/>
        <w:rPr>
          <w:rFonts w:ascii="宋体" w:eastAsia="宋体"/>
          <w:b/>
        </w:rPr>
      </w:pPr>
      <w:r>
        <w:br w:type="page"/>
      </w:r>
      <w:bookmarkStart w:id="86" w:name="_Toc6870"/>
      <w:bookmarkStart w:id="87" w:name="_Toc27051"/>
      <w:r>
        <w:rPr>
          <w:rFonts w:hint="eastAsia" w:ascii="宋体" w:eastAsia="宋体"/>
          <w:b/>
        </w:rPr>
        <w:t>附件一 报价表</w:t>
      </w:r>
      <w:bookmarkEnd w:id="86"/>
      <w:bookmarkEnd w:id="87"/>
    </w:p>
    <w:p w14:paraId="14F739BA">
      <w:pPr>
        <w:pStyle w:val="7"/>
        <w:rPr>
          <w:rFonts w:hint="eastAsia"/>
        </w:rPr>
      </w:pPr>
    </w:p>
    <w:p w14:paraId="0C61409D">
      <w:pPr>
        <w:spacing w:line="300" w:lineRule="auto"/>
        <w:jc w:val="center"/>
        <w:rPr>
          <w:rFonts w:ascii="宋体" w:hAnsi="宋体"/>
          <w:b/>
          <w:sz w:val="32"/>
          <w:szCs w:val="32"/>
        </w:rPr>
      </w:pPr>
      <w:r>
        <w:rPr>
          <w:rFonts w:hint="eastAsia" w:ascii="宋体" w:hAnsi="宋体"/>
          <w:b/>
          <w:sz w:val="32"/>
          <w:szCs w:val="32"/>
        </w:rPr>
        <w:t>报    价   表</w:t>
      </w:r>
    </w:p>
    <w:p w14:paraId="28E65F34">
      <w:pPr>
        <w:spacing w:line="300" w:lineRule="auto"/>
        <w:rPr>
          <w:rFonts w:ascii="宋体" w:hAnsi="宋体"/>
          <w:sz w:val="28"/>
          <w:szCs w:val="28"/>
          <w:u w:val="single"/>
        </w:rPr>
      </w:pPr>
    </w:p>
    <w:p w14:paraId="54735776">
      <w:pPr>
        <w:tabs>
          <w:tab w:val="left" w:pos="540"/>
        </w:tabs>
        <w:jc w:val="left"/>
        <w:rPr>
          <w:rFonts w:ascii="宋体" w:hAnsi="宋体"/>
          <w:sz w:val="28"/>
          <w:szCs w:val="28"/>
        </w:rPr>
      </w:pPr>
      <w:r>
        <w:rPr>
          <w:rFonts w:hint="eastAsia" w:ascii="宋体" w:hAnsi="宋体"/>
          <w:sz w:val="28"/>
          <w:szCs w:val="28"/>
          <w:lang w:val="en-US" w:eastAsia="zh-CN"/>
        </w:rPr>
        <w:t>项目</w:t>
      </w:r>
      <w:r>
        <w:rPr>
          <w:rFonts w:hint="eastAsia" w:ascii="宋体" w:hAnsi="宋体"/>
          <w:sz w:val="28"/>
          <w:szCs w:val="28"/>
        </w:rPr>
        <w:t>编号:</w:t>
      </w:r>
      <w:r>
        <w:rPr>
          <w:rFonts w:hint="eastAsia" w:ascii="宋体" w:hAnsi="宋体"/>
          <w:sz w:val="28"/>
          <w:szCs w:val="28"/>
          <w:u w:val="single"/>
        </w:rPr>
        <w:t xml:space="preserve">                 </w:t>
      </w:r>
      <w:r>
        <w:rPr>
          <w:rFonts w:hint="eastAsia" w:ascii="宋体" w:hAnsi="宋体"/>
          <w:sz w:val="28"/>
          <w:szCs w:val="28"/>
        </w:rPr>
        <w:t xml:space="preserve">      项目名称:</w:t>
      </w:r>
      <w:r>
        <w:rPr>
          <w:rFonts w:hint="eastAsia" w:ascii="宋体" w:hAnsi="宋体"/>
          <w:sz w:val="28"/>
          <w:szCs w:val="28"/>
          <w:u w:val="single"/>
        </w:rPr>
        <w:t xml:space="preserve">                 </w:t>
      </w:r>
      <w:r>
        <w:rPr>
          <w:rFonts w:hint="eastAsia" w:ascii="宋体" w:hAnsi="宋体"/>
          <w:sz w:val="28"/>
          <w:szCs w:val="28"/>
        </w:rPr>
        <w:t xml:space="preserve">       </w:t>
      </w:r>
    </w:p>
    <w:tbl>
      <w:tblPr>
        <w:tblStyle w:val="24"/>
        <w:tblW w:w="0" w:type="auto"/>
        <w:tblInd w:w="0" w:type="dxa"/>
        <w:tblLayout w:type="fixed"/>
        <w:tblCellMar>
          <w:top w:w="0" w:type="dxa"/>
          <w:left w:w="108" w:type="dxa"/>
          <w:bottom w:w="0" w:type="dxa"/>
          <w:right w:w="108" w:type="dxa"/>
        </w:tblCellMar>
      </w:tblPr>
      <w:tblGrid>
        <w:gridCol w:w="520"/>
        <w:gridCol w:w="2000"/>
        <w:gridCol w:w="660"/>
        <w:gridCol w:w="700"/>
        <w:gridCol w:w="900"/>
        <w:gridCol w:w="1080"/>
        <w:gridCol w:w="1500"/>
        <w:gridCol w:w="2080"/>
      </w:tblGrid>
      <w:tr w14:paraId="35258968">
        <w:tblPrEx>
          <w:tblCellMar>
            <w:top w:w="0" w:type="dxa"/>
            <w:left w:w="108" w:type="dxa"/>
            <w:bottom w:w="0" w:type="dxa"/>
            <w:right w:w="108" w:type="dxa"/>
          </w:tblCellMar>
        </w:tblPrEx>
        <w:trPr>
          <w:trHeight w:val="690"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43C34151">
            <w:pPr>
              <w:widowControl/>
              <w:jc w:val="left"/>
              <w:rPr>
                <w:rFonts w:ascii="宋体" w:hAnsi="宋体" w:cs="宋体"/>
                <w:color w:val="000000"/>
                <w:kern w:val="0"/>
                <w:sz w:val="22"/>
              </w:rPr>
            </w:pPr>
            <w:r>
              <w:rPr>
                <w:rFonts w:hint="eastAsia" w:ascii="宋体" w:hAnsi="宋体" w:cs="宋体"/>
                <w:color w:val="000000"/>
                <w:kern w:val="0"/>
                <w:sz w:val="22"/>
              </w:rPr>
              <w:t>序号</w:t>
            </w:r>
          </w:p>
        </w:tc>
        <w:tc>
          <w:tcPr>
            <w:tcW w:w="2000" w:type="dxa"/>
            <w:tcBorders>
              <w:top w:val="single" w:color="auto" w:sz="4" w:space="0"/>
              <w:left w:val="nil"/>
              <w:bottom w:val="single" w:color="auto" w:sz="4" w:space="0"/>
              <w:right w:val="single" w:color="auto" w:sz="4" w:space="0"/>
            </w:tcBorders>
            <w:noWrap w:val="0"/>
            <w:vAlign w:val="center"/>
          </w:tcPr>
          <w:p w14:paraId="00F652A5">
            <w:pPr>
              <w:widowControl/>
              <w:jc w:val="left"/>
              <w:rPr>
                <w:rFonts w:ascii="宋体" w:hAnsi="宋体" w:cs="宋体"/>
                <w:color w:val="000000"/>
                <w:kern w:val="0"/>
                <w:sz w:val="22"/>
              </w:rPr>
            </w:pPr>
            <w:r>
              <w:rPr>
                <w:rFonts w:hint="eastAsia" w:ascii="宋体" w:hAnsi="宋体" w:cs="宋体"/>
                <w:color w:val="000000"/>
                <w:kern w:val="0"/>
                <w:sz w:val="22"/>
              </w:rPr>
              <w:t>项目名称</w:t>
            </w:r>
          </w:p>
        </w:tc>
        <w:tc>
          <w:tcPr>
            <w:tcW w:w="660" w:type="dxa"/>
            <w:tcBorders>
              <w:top w:val="single" w:color="auto" w:sz="4" w:space="0"/>
              <w:left w:val="nil"/>
              <w:bottom w:val="single" w:color="auto" w:sz="4" w:space="0"/>
              <w:right w:val="single" w:color="auto" w:sz="4" w:space="0"/>
            </w:tcBorders>
            <w:noWrap w:val="0"/>
            <w:vAlign w:val="center"/>
          </w:tcPr>
          <w:p w14:paraId="364CE1E3">
            <w:pPr>
              <w:widowControl/>
              <w:jc w:val="left"/>
              <w:rPr>
                <w:rFonts w:ascii="宋体" w:hAnsi="宋体" w:cs="宋体"/>
                <w:color w:val="000000"/>
                <w:kern w:val="0"/>
                <w:sz w:val="22"/>
              </w:rPr>
            </w:pPr>
            <w:r>
              <w:rPr>
                <w:rFonts w:hint="eastAsia" w:ascii="宋体" w:hAnsi="宋体" w:cs="宋体"/>
                <w:color w:val="000000"/>
                <w:kern w:val="0"/>
                <w:sz w:val="22"/>
              </w:rPr>
              <w:t>单位</w:t>
            </w:r>
          </w:p>
        </w:tc>
        <w:tc>
          <w:tcPr>
            <w:tcW w:w="700" w:type="dxa"/>
            <w:tcBorders>
              <w:top w:val="single" w:color="auto" w:sz="4" w:space="0"/>
              <w:left w:val="nil"/>
              <w:bottom w:val="single" w:color="auto" w:sz="4" w:space="0"/>
              <w:right w:val="single" w:color="auto" w:sz="4" w:space="0"/>
            </w:tcBorders>
            <w:noWrap w:val="0"/>
            <w:vAlign w:val="center"/>
          </w:tcPr>
          <w:p w14:paraId="3D011DC5">
            <w:pPr>
              <w:widowControl/>
              <w:jc w:val="left"/>
              <w:rPr>
                <w:rFonts w:ascii="宋体" w:hAnsi="宋体" w:cs="宋体"/>
                <w:color w:val="000000"/>
                <w:kern w:val="0"/>
                <w:sz w:val="22"/>
              </w:rPr>
            </w:pPr>
            <w:r>
              <w:rPr>
                <w:rFonts w:hint="eastAsia" w:ascii="宋体" w:hAnsi="宋体" w:cs="宋体"/>
                <w:color w:val="000000"/>
                <w:kern w:val="0"/>
                <w:sz w:val="22"/>
              </w:rPr>
              <w:t>数量</w:t>
            </w:r>
          </w:p>
        </w:tc>
        <w:tc>
          <w:tcPr>
            <w:tcW w:w="900" w:type="dxa"/>
            <w:tcBorders>
              <w:top w:val="single" w:color="auto" w:sz="4" w:space="0"/>
              <w:left w:val="nil"/>
              <w:bottom w:val="single" w:color="auto" w:sz="4" w:space="0"/>
              <w:right w:val="single" w:color="auto" w:sz="4" w:space="0"/>
            </w:tcBorders>
            <w:noWrap w:val="0"/>
            <w:vAlign w:val="center"/>
          </w:tcPr>
          <w:p w14:paraId="0253DBF5">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服务内容</w:t>
            </w:r>
          </w:p>
        </w:tc>
        <w:tc>
          <w:tcPr>
            <w:tcW w:w="1080" w:type="dxa"/>
            <w:tcBorders>
              <w:top w:val="single" w:color="auto" w:sz="4" w:space="0"/>
              <w:left w:val="nil"/>
              <w:bottom w:val="single" w:color="auto" w:sz="4" w:space="0"/>
              <w:right w:val="single" w:color="auto" w:sz="4" w:space="0"/>
            </w:tcBorders>
            <w:noWrap w:val="0"/>
            <w:vAlign w:val="center"/>
          </w:tcPr>
          <w:p w14:paraId="5998E0F4">
            <w:pPr>
              <w:widowControl/>
              <w:jc w:val="left"/>
              <w:rPr>
                <w:rFonts w:ascii="宋体" w:hAnsi="宋体" w:cs="宋体"/>
                <w:color w:val="000000"/>
                <w:kern w:val="0"/>
                <w:sz w:val="22"/>
              </w:rPr>
            </w:pPr>
            <w:r>
              <w:rPr>
                <w:rFonts w:hint="eastAsia" w:ascii="宋体" w:hAnsi="宋体" w:cs="宋体"/>
                <w:color w:val="000000"/>
                <w:kern w:val="0"/>
                <w:sz w:val="22"/>
              </w:rPr>
              <w:t>单价（元）</w:t>
            </w:r>
          </w:p>
        </w:tc>
        <w:tc>
          <w:tcPr>
            <w:tcW w:w="1500" w:type="dxa"/>
            <w:tcBorders>
              <w:top w:val="single" w:color="auto" w:sz="4" w:space="0"/>
              <w:left w:val="nil"/>
              <w:bottom w:val="single" w:color="auto" w:sz="4" w:space="0"/>
              <w:right w:val="single" w:color="auto" w:sz="4" w:space="0"/>
            </w:tcBorders>
            <w:noWrap w:val="0"/>
            <w:vAlign w:val="center"/>
          </w:tcPr>
          <w:p w14:paraId="0A05B8F6">
            <w:pPr>
              <w:widowControl/>
              <w:jc w:val="left"/>
              <w:rPr>
                <w:rFonts w:ascii="宋体" w:hAnsi="宋体" w:cs="宋体"/>
                <w:color w:val="000000"/>
                <w:kern w:val="0"/>
                <w:sz w:val="22"/>
              </w:rPr>
            </w:pPr>
            <w:r>
              <w:rPr>
                <w:rFonts w:hint="eastAsia" w:ascii="宋体" w:hAnsi="宋体" w:cs="宋体"/>
                <w:color w:val="000000"/>
                <w:kern w:val="0"/>
                <w:sz w:val="22"/>
              </w:rPr>
              <w:t>小计价格（元）</w:t>
            </w:r>
          </w:p>
        </w:tc>
        <w:tc>
          <w:tcPr>
            <w:tcW w:w="2080" w:type="dxa"/>
            <w:tcBorders>
              <w:top w:val="single" w:color="auto" w:sz="4" w:space="0"/>
              <w:left w:val="nil"/>
              <w:bottom w:val="single" w:color="auto" w:sz="4" w:space="0"/>
              <w:right w:val="single" w:color="auto" w:sz="4" w:space="0"/>
            </w:tcBorders>
            <w:noWrap w:val="0"/>
            <w:vAlign w:val="center"/>
          </w:tcPr>
          <w:p w14:paraId="48F71B5F">
            <w:pPr>
              <w:widowControl/>
              <w:jc w:val="left"/>
              <w:rPr>
                <w:rFonts w:hint="default" w:ascii="宋体" w:hAnsi="宋体" w:eastAsia="宋体" w:cs="宋体"/>
                <w:color w:val="000000"/>
                <w:kern w:val="0"/>
                <w:sz w:val="22"/>
                <w:lang w:val="en-US" w:eastAsia="zh-CN"/>
              </w:rPr>
            </w:pPr>
          </w:p>
        </w:tc>
      </w:tr>
      <w:tr w14:paraId="0C333DA4">
        <w:tblPrEx>
          <w:tblCellMar>
            <w:top w:w="0" w:type="dxa"/>
            <w:left w:w="108" w:type="dxa"/>
            <w:bottom w:w="0" w:type="dxa"/>
            <w:right w:w="108" w:type="dxa"/>
          </w:tblCellMar>
        </w:tblPrEx>
        <w:trPr>
          <w:trHeight w:val="690" w:hRule="atLeast"/>
        </w:trPr>
        <w:tc>
          <w:tcPr>
            <w:tcW w:w="520" w:type="dxa"/>
            <w:tcBorders>
              <w:top w:val="nil"/>
              <w:left w:val="single" w:color="auto" w:sz="4" w:space="0"/>
              <w:bottom w:val="single" w:color="auto" w:sz="4" w:space="0"/>
              <w:right w:val="single" w:color="auto" w:sz="4" w:space="0"/>
            </w:tcBorders>
            <w:noWrap w:val="0"/>
            <w:vAlign w:val="center"/>
          </w:tcPr>
          <w:p w14:paraId="33248FAA">
            <w:pPr>
              <w:widowControl/>
              <w:jc w:val="right"/>
              <w:rPr>
                <w:rFonts w:ascii="宋体" w:hAnsi="宋体" w:cs="宋体"/>
                <w:color w:val="000000"/>
                <w:kern w:val="0"/>
                <w:sz w:val="22"/>
              </w:rPr>
            </w:pPr>
            <w:r>
              <w:rPr>
                <w:rFonts w:hint="eastAsia" w:ascii="宋体" w:hAnsi="宋体" w:cs="宋体"/>
                <w:color w:val="000000"/>
                <w:kern w:val="0"/>
                <w:sz w:val="22"/>
              </w:rPr>
              <w:t>1</w:t>
            </w:r>
          </w:p>
        </w:tc>
        <w:tc>
          <w:tcPr>
            <w:tcW w:w="2000" w:type="dxa"/>
            <w:tcBorders>
              <w:top w:val="nil"/>
              <w:left w:val="nil"/>
              <w:bottom w:val="single" w:color="auto" w:sz="4" w:space="0"/>
              <w:right w:val="single" w:color="auto" w:sz="4" w:space="0"/>
            </w:tcBorders>
            <w:noWrap w:val="0"/>
            <w:vAlign w:val="center"/>
          </w:tcPr>
          <w:p w14:paraId="36B99BF3">
            <w:pPr>
              <w:widowControl/>
              <w:jc w:val="left"/>
              <w:rPr>
                <w:rFonts w:ascii="宋体" w:hAnsi="宋体" w:cs="宋体"/>
                <w:color w:val="000000"/>
                <w:kern w:val="0"/>
                <w:sz w:val="22"/>
              </w:rPr>
            </w:pPr>
          </w:p>
        </w:tc>
        <w:tc>
          <w:tcPr>
            <w:tcW w:w="660" w:type="dxa"/>
            <w:tcBorders>
              <w:top w:val="nil"/>
              <w:left w:val="nil"/>
              <w:bottom w:val="single" w:color="auto" w:sz="4" w:space="0"/>
              <w:right w:val="single" w:color="auto" w:sz="4" w:space="0"/>
            </w:tcBorders>
            <w:noWrap w:val="0"/>
            <w:vAlign w:val="center"/>
          </w:tcPr>
          <w:p w14:paraId="68FCE2AE">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noWrap w:val="0"/>
            <w:vAlign w:val="center"/>
          </w:tcPr>
          <w:p w14:paraId="58FC9BC7">
            <w:pPr>
              <w:widowControl/>
              <w:ind w:right="440"/>
              <w:rPr>
                <w:rFonts w:ascii="宋体" w:hAnsi="宋体" w:cs="宋体"/>
                <w:color w:val="000000"/>
                <w:kern w:val="0"/>
                <w:sz w:val="22"/>
              </w:rPr>
            </w:pPr>
          </w:p>
        </w:tc>
        <w:tc>
          <w:tcPr>
            <w:tcW w:w="900" w:type="dxa"/>
            <w:tcBorders>
              <w:top w:val="nil"/>
              <w:left w:val="nil"/>
              <w:bottom w:val="single" w:color="auto" w:sz="4" w:space="0"/>
              <w:right w:val="single" w:color="auto" w:sz="4" w:space="0"/>
            </w:tcBorders>
            <w:noWrap w:val="0"/>
            <w:vAlign w:val="center"/>
          </w:tcPr>
          <w:p w14:paraId="448BCD06">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47185BAC">
            <w:pPr>
              <w:widowControl/>
              <w:jc w:val="left"/>
              <w:rPr>
                <w:rFonts w:ascii="宋体" w:hAnsi="宋体" w:cs="宋体"/>
                <w:color w:val="000000"/>
                <w:kern w:val="0"/>
                <w:sz w:val="22"/>
              </w:rPr>
            </w:pPr>
          </w:p>
        </w:tc>
        <w:tc>
          <w:tcPr>
            <w:tcW w:w="1500" w:type="dxa"/>
            <w:tcBorders>
              <w:top w:val="nil"/>
              <w:left w:val="nil"/>
              <w:bottom w:val="single" w:color="auto" w:sz="4" w:space="0"/>
              <w:right w:val="single" w:color="auto" w:sz="4" w:space="0"/>
            </w:tcBorders>
            <w:noWrap w:val="0"/>
            <w:vAlign w:val="center"/>
          </w:tcPr>
          <w:p w14:paraId="75280B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80" w:type="dxa"/>
            <w:tcBorders>
              <w:top w:val="nil"/>
              <w:left w:val="nil"/>
              <w:bottom w:val="single" w:color="auto" w:sz="4" w:space="0"/>
              <w:right w:val="single" w:color="auto" w:sz="4" w:space="0"/>
            </w:tcBorders>
            <w:noWrap w:val="0"/>
            <w:vAlign w:val="center"/>
          </w:tcPr>
          <w:p w14:paraId="3478353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9AD8A8">
        <w:tblPrEx>
          <w:tblCellMar>
            <w:top w:w="0" w:type="dxa"/>
            <w:left w:w="108" w:type="dxa"/>
            <w:bottom w:w="0" w:type="dxa"/>
            <w:right w:w="108" w:type="dxa"/>
          </w:tblCellMar>
        </w:tblPrEx>
        <w:trPr>
          <w:trHeight w:val="690" w:hRule="atLeast"/>
        </w:trPr>
        <w:tc>
          <w:tcPr>
            <w:tcW w:w="520" w:type="dxa"/>
            <w:tcBorders>
              <w:top w:val="nil"/>
              <w:left w:val="single" w:color="auto" w:sz="4" w:space="0"/>
              <w:bottom w:val="single" w:color="auto" w:sz="4" w:space="0"/>
              <w:right w:val="single" w:color="auto" w:sz="4" w:space="0"/>
            </w:tcBorders>
            <w:noWrap w:val="0"/>
            <w:vAlign w:val="center"/>
          </w:tcPr>
          <w:p w14:paraId="59300DA0">
            <w:pPr>
              <w:widowControl/>
              <w:jc w:val="right"/>
              <w:rPr>
                <w:rFonts w:ascii="宋体" w:hAnsi="宋体" w:cs="宋体"/>
                <w:color w:val="000000"/>
                <w:kern w:val="0"/>
                <w:sz w:val="22"/>
              </w:rPr>
            </w:pPr>
            <w:r>
              <w:rPr>
                <w:rFonts w:hint="eastAsia" w:ascii="宋体" w:hAnsi="宋体" w:cs="宋体"/>
                <w:color w:val="000000"/>
                <w:kern w:val="0"/>
                <w:sz w:val="22"/>
              </w:rPr>
              <w:t>2</w:t>
            </w:r>
          </w:p>
        </w:tc>
        <w:tc>
          <w:tcPr>
            <w:tcW w:w="2000" w:type="dxa"/>
            <w:tcBorders>
              <w:top w:val="nil"/>
              <w:left w:val="nil"/>
              <w:bottom w:val="single" w:color="auto" w:sz="4" w:space="0"/>
              <w:right w:val="single" w:color="auto" w:sz="4" w:space="0"/>
            </w:tcBorders>
            <w:noWrap w:val="0"/>
            <w:vAlign w:val="center"/>
          </w:tcPr>
          <w:p w14:paraId="78529C82">
            <w:pPr>
              <w:widowControl/>
              <w:jc w:val="left"/>
              <w:rPr>
                <w:rFonts w:ascii="宋体" w:hAnsi="宋体" w:cs="宋体"/>
                <w:color w:val="000000"/>
                <w:kern w:val="0"/>
                <w:sz w:val="22"/>
              </w:rPr>
            </w:pPr>
          </w:p>
        </w:tc>
        <w:tc>
          <w:tcPr>
            <w:tcW w:w="660" w:type="dxa"/>
            <w:tcBorders>
              <w:top w:val="nil"/>
              <w:left w:val="nil"/>
              <w:bottom w:val="single" w:color="auto" w:sz="4" w:space="0"/>
              <w:right w:val="single" w:color="auto" w:sz="4" w:space="0"/>
            </w:tcBorders>
            <w:noWrap w:val="0"/>
            <w:vAlign w:val="center"/>
          </w:tcPr>
          <w:p w14:paraId="1E0677ED">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noWrap w:val="0"/>
            <w:vAlign w:val="center"/>
          </w:tcPr>
          <w:p w14:paraId="3CBE28CD">
            <w:pPr>
              <w:widowControl/>
              <w:ind w:right="440"/>
              <w:rPr>
                <w:rFonts w:ascii="宋体" w:hAnsi="宋体" w:cs="宋体"/>
                <w:color w:val="000000"/>
                <w:kern w:val="0"/>
                <w:sz w:val="22"/>
              </w:rPr>
            </w:pPr>
          </w:p>
        </w:tc>
        <w:tc>
          <w:tcPr>
            <w:tcW w:w="900" w:type="dxa"/>
            <w:tcBorders>
              <w:top w:val="nil"/>
              <w:left w:val="nil"/>
              <w:bottom w:val="single" w:color="auto" w:sz="4" w:space="0"/>
              <w:right w:val="single" w:color="auto" w:sz="4" w:space="0"/>
            </w:tcBorders>
            <w:noWrap w:val="0"/>
            <w:vAlign w:val="center"/>
          </w:tcPr>
          <w:p w14:paraId="66DB14AD">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noWrap w:val="0"/>
            <w:vAlign w:val="center"/>
          </w:tcPr>
          <w:p w14:paraId="17BD6B4F">
            <w:pPr>
              <w:widowControl/>
              <w:jc w:val="left"/>
              <w:rPr>
                <w:rFonts w:ascii="宋体" w:hAnsi="宋体" w:cs="宋体"/>
                <w:color w:val="000000"/>
                <w:kern w:val="0"/>
                <w:sz w:val="22"/>
              </w:rPr>
            </w:pPr>
          </w:p>
        </w:tc>
        <w:tc>
          <w:tcPr>
            <w:tcW w:w="1500" w:type="dxa"/>
            <w:tcBorders>
              <w:top w:val="nil"/>
              <w:left w:val="nil"/>
              <w:bottom w:val="single" w:color="auto" w:sz="4" w:space="0"/>
              <w:right w:val="single" w:color="auto" w:sz="4" w:space="0"/>
            </w:tcBorders>
            <w:noWrap w:val="0"/>
            <w:vAlign w:val="center"/>
          </w:tcPr>
          <w:p w14:paraId="526B59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80" w:type="dxa"/>
            <w:tcBorders>
              <w:top w:val="nil"/>
              <w:left w:val="nil"/>
              <w:bottom w:val="single" w:color="auto" w:sz="4" w:space="0"/>
              <w:right w:val="single" w:color="auto" w:sz="4" w:space="0"/>
            </w:tcBorders>
            <w:noWrap w:val="0"/>
            <w:vAlign w:val="center"/>
          </w:tcPr>
          <w:p w14:paraId="79F2E7E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2557836">
        <w:tblPrEx>
          <w:tblCellMar>
            <w:top w:w="0" w:type="dxa"/>
            <w:left w:w="108" w:type="dxa"/>
            <w:bottom w:w="0" w:type="dxa"/>
            <w:right w:w="108" w:type="dxa"/>
          </w:tblCellMar>
        </w:tblPrEx>
        <w:trPr>
          <w:trHeight w:val="690" w:hRule="atLeast"/>
        </w:trPr>
        <w:tc>
          <w:tcPr>
            <w:tcW w:w="9440" w:type="dxa"/>
            <w:gridSpan w:val="8"/>
            <w:tcBorders>
              <w:top w:val="single" w:color="auto" w:sz="4" w:space="0"/>
              <w:left w:val="single" w:color="auto" w:sz="4" w:space="0"/>
              <w:bottom w:val="single" w:color="auto" w:sz="4" w:space="0"/>
              <w:right w:val="single" w:color="000000" w:sz="4" w:space="0"/>
            </w:tcBorders>
            <w:noWrap w:val="0"/>
            <w:vAlign w:val="center"/>
          </w:tcPr>
          <w:p w14:paraId="48E5D0C9">
            <w:pPr>
              <w:widowControl/>
              <w:jc w:val="left"/>
              <w:rPr>
                <w:rFonts w:ascii="宋体" w:hAnsi="宋体" w:cs="宋体"/>
                <w:color w:val="000000"/>
                <w:kern w:val="0"/>
                <w:sz w:val="22"/>
              </w:rPr>
            </w:pPr>
            <w:r>
              <w:rPr>
                <w:rFonts w:hint="eastAsia" w:ascii="宋体" w:hAnsi="宋体" w:cs="宋体"/>
                <w:color w:val="000000"/>
                <w:kern w:val="0"/>
                <w:sz w:val="22"/>
              </w:rPr>
              <w:t>合计总价（元/年）：</w:t>
            </w:r>
          </w:p>
        </w:tc>
      </w:tr>
    </w:tbl>
    <w:p w14:paraId="3CAB8099">
      <w:pPr>
        <w:spacing w:line="300" w:lineRule="auto"/>
        <w:rPr>
          <w:rFonts w:ascii="宋体" w:hAnsi="宋体"/>
          <w:sz w:val="22"/>
          <w:szCs w:val="28"/>
        </w:rPr>
      </w:pPr>
      <w:r>
        <w:rPr>
          <w:rFonts w:hint="eastAsia" w:ascii="宋体" w:hAnsi="宋体"/>
          <w:sz w:val="22"/>
          <w:szCs w:val="28"/>
        </w:rPr>
        <w:t>注：1、所有价格均用人民币表示，单位为元，精确到个数位。</w:t>
      </w:r>
    </w:p>
    <w:p w14:paraId="6A230371">
      <w:pPr>
        <w:spacing w:line="300" w:lineRule="auto"/>
        <w:rPr>
          <w:rFonts w:ascii="宋体" w:hAnsi="宋体"/>
          <w:sz w:val="22"/>
          <w:szCs w:val="28"/>
        </w:rPr>
      </w:pPr>
      <w:r>
        <w:rPr>
          <w:rFonts w:hint="eastAsia" w:ascii="宋体" w:hAnsi="宋体"/>
          <w:sz w:val="22"/>
          <w:szCs w:val="28"/>
        </w:rPr>
        <w:t xml:space="preserve">    2、本项目总报价为货款、包装费、运杂费、安装测试费、技术培训费、售后服务开支、风险费、税金、利润等各种应有费用的总和。</w:t>
      </w:r>
    </w:p>
    <w:p w14:paraId="246F17F5">
      <w:pPr>
        <w:pStyle w:val="13"/>
        <w:spacing w:line="300" w:lineRule="auto"/>
        <w:ind w:firstLine="560"/>
        <w:rPr>
          <w:rFonts w:hAnsi="宋体"/>
          <w:sz w:val="28"/>
          <w:szCs w:val="28"/>
        </w:rPr>
      </w:pPr>
    </w:p>
    <w:p w14:paraId="34381C48">
      <w:pPr>
        <w:pStyle w:val="13"/>
        <w:spacing w:line="300" w:lineRule="auto"/>
        <w:ind w:firstLine="560"/>
        <w:rPr>
          <w:rFonts w:hint="eastAsia" w:hAnsi="宋体"/>
          <w:sz w:val="28"/>
          <w:szCs w:val="28"/>
        </w:rPr>
      </w:pPr>
    </w:p>
    <w:p w14:paraId="1E944E55">
      <w:pPr>
        <w:pStyle w:val="13"/>
        <w:spacing w:line="300" w:lineRule="auto"/>
        <w:ind w:firstLine="560"/>
        <w:rPr>
          <w:rFonts w:hAnsi="宋体"/>
          <w:sz w:val="28"/>
          <w:szCs w:val="28"/>
          <w:u w:val="single"/>
        </w:rPr>
      </w:pPr>
      <w:r>
        <w:rPr>
          <w:rFonts w:hint="eastAsia" w:hAnsi="宋体"/>
          <w:sz w:val="28"/>
          <w:szCs w:val="28"/>
        </w:rPr>
        <w:t>报价供应商名称（盖章）：</w:t>
      </w:r>
      <w:r>
        <w:rPr>
          <w:rFonts w:hint="eastAsia" w:hAnsi="宋体"/>
          <w:sz w:val="28"/>
          <w:szCs w:val="28"/>
          <w:u w:val="single"/>
        </w:rPr>
        <w:t xml:space="preserve">                </w:t>
      </w:r>
    </w:p>
    <w:p w14:paraId="4F2FA6CD">
      <w:pPr>
        <w:pStyle w:val="13"/>
        <w:spacing w:line="300" w:lineRule="auto"/>
        <w:ind w:firstLine="560"/>
        <w:rPr>
          <w:rFonts w:hAnsi="宋体"/>
          <w:sz w:val="28"/>
          <w:szCs w:val="28"/>
          <w:u w:val="single"/>
        </w:rPr>
      </w:pPr>
      <w:r>
        <w:rPr>
          <w:rFonts w:hint="eastAsia" w:hAnsi="宋体"/>
          <w:sz w:val="28"/>
          <w:szCs w:val="28"/>
        </w:rPr>
        <w:t>法定代表人或授权代表签字:</w:t>
      </w:r>
      <w:r>
        <w:rPr>
          <w:rFonts w:hint="eastAsia" w:hAnsi="宋体"/>
          <w:sz w:val="28"/>
          <w:szCs w:val="28"/>
          <w:u w:val="single"/>
        </w:rPr>
        <w:t xml:space="preserve">              </w:t>
      </w:r>
    </w:p>
    <w:p w14:paraId="0AF97EAA">
      <w:pPr>
        <w:spacing w:line="520" w:lineRule="exact"/>
        <w:ind w:left="140" w:firstLine="42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116BB9B">
      <w:pPr>
        <w:spacing w:line="520" w:lineRule="exact"/>
        <w:ind w:left="140" w:firstLine="420"/>
        <w:rPr>
          <w:rFonts w:ascii="宋体" w:hAnsi="宋体"/>
          <w:sz w:val="28"/>
          <w:szCs w:val="28"/>
        </w:rPr>
      </w:pPr>
    </w:p>
    <w:p w14:paraId="736097DA">
      <w:pPr>
        <w:spacing w:line="520" w:lineRule="exact"/>
        <w:ind w:left="140" w:firstLine="420"/>
        <w:rPr>
          <w:rFonts w:ascii="宋体" w:hAnsi="宋体"/>
          <w:sz w:val="28"/>
          <w:szCs w:val="28"/>
        </w:rPr>
      </w:pPr>
    </w:p>
    <w:p w14:paraId="079E0272">
      <w:pPr>
        <w:spacing w:line="520" w:lineRule="exact"/>
        <w:ind w:left="140" w:firstLine="420"/>
        <w:rPr>
          <w:rFonts w:hint="eastAsia" w:ascii="宋体" w:hAnsi="宋体"/>
          <w:bCs/>
          <w:iCs/>
          <w:sz w:val="28"/>
          <w:szCs w:val="28"/>
        </w:rPr>
      </w:pPr>
    </w:p>
    <w:p w14:paraId="18913E0E">
      <w:pPr>
        <w:spacing w:line="520" w:lineRule="exact"/>
        <w:ind w:left="140" w:firstLine="420"/>
        <w:rPr>
          <w:rFonts w:ascii="宋体" w:hAnsi="宋体"/>
          <w:bCs/>
          <w:iCs/>
          <w:sz w:val="28"/>
          <w:szCs w:val="28"/>
        </w:rPr>
      </w:pPr>
    </w:p>
    <w:p w14:paraId="72AEEE5A">
      <w:pPr>
        <w:spacing w:line="520" w:lineRule="exact"/>
        <w:ind w:left="140" w:firstLine="420"/>
        <w:rPr>
          <w:rFonts w:hint="eastAsia" w:ascii="宋体" w:hAnsi="宋体"/>
          <w:bCs/>
          <w:iCs/>
          <w:sz w:val="28"/>
          <w:szCs w:val="28"/>
        </w:rPr>
      </w:pPr>
    </w:p>
    <w:p w14:paraId="692B5EED">
      <w:pPr>
        <w:pStyle w:val="3"/>
        <w:jc w:val="left"/>
        <w:outlineLvl w:val="0"/>
        <w:rPr>
          <w:rFonts w:ascii="宋体" w:eastAsia="宋体"/>
          <w:b/>
        </w:rPr>
      </w:pPr>
      <w:bookmarkStart w:id="88" w:name="_Toc30474"/>
      <w:bookmarkStart w:id="89" w:name="_Toc15141"/>
      <w:r>
        <w:rPr>
          <w:rFonts w:hint="eastAsia" w:ascii="宋体" w:eastAsia="宋体"/>
          <w:b/>
        </w:rPr>
        <w:t>附件二 法定代表人</w:t>
      </w:r>
      <w:r>
        <w:rPr>
          <w:rFonts w:hint="eastAsia" w:ascii="宋体" w:eastAsia="宋体"/>
          <w:b/>
          <w:lang w:eastAsia="zh-CN"/>
        </w:rPr>
        <w:t>/负责人</w:t>
      </w:r>
      <w:r>
        <w:rPr>
          <w:rFonts w:hint="eastAsia" w:ascii="宋体" w:eastAsia="宋体"/>
          <w:b/>
        </w:rPr>
        <w:t>授权书</w:t>
      </w:r>
      <w:bookmarkEnd w:id="88"/>
      <w:bookmarkEnd w:id="89"/>
    </w:p>
    <w:p w14:paraId="7091F271">
      <w:pPr>
        <w:pStyle w:val="7"/>
        <w:rPr>
          <w:rFonts w:hint="eastAsia"/>
        </w:rPr>
      </w:pPr>
    </w:p>
    <w:p w14:paraId="1DD943F7">
      <w:pPr>
        <w:adjustRightInd w:val="0"/>
        <w:snapToGrid w:val="0"/>
        <w:spacing w:line="300" w:lineRule="auto"/>
        <w:rPr>
          <w:rFonts w:ascii="宋体" w:hAnsi="宋体"/>
          <w:sz w:val="28"/>
          <w:szCs w:val="28"/>
        </w:rPr>
      </w:pPr>
    </w:p>
    <w:p w14:paraId="22B68A30">
      <w:pPr>
        <w:spacing w:line="300" w:lineRule="auto"/>
        <w:rPr>
          <w:rFonts w:ascii="宋体" w:hAnsi="宋体"/>
          <w:sz w:val="28"/>
          <w:szCs w:val="28"/>
        </w:rPr>
      </w:pPr>
      <w:r>
        <w:rPr>
          <w:rFonts w:hint="eastAsia" w:ascii="宋体" w:hAnsi="宋体"/>
          <w:sz w:val="28"/>
          <w:szCs w:val="28"/>
        </w:rPr>
        <w:t>周口市公共资源交易中心政府采购中心：</w:t>
      </w:r>
    </w:p>
    <w:p w14:paraId="7803F58A">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（采购名称、项目编号）</w:t>
      </w:r>
      <w:r>
        <w:rPr>
          <w:rFonts w:hint="eastAsia" w:ascii="宋体" w:hAnsi="宋体"/>
          <w:sz w:val="28"/>
          <w:szCs w:val="28"/>
        </w:rPr>
        <w:t>单一来源采购活动的代表人，全权代表我公司处理在该项目活动中的一切事宜。代理期限从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日起至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日止。 (附法人、被委托人的身份证复印件)</w:t>
      </w:r>
    </w:p>
    <w:p w14:paraId="6DD5392E">
      <w:pPr>
        <w:spacing w:line="300" w:lineRule="auto"/>
        <w:rPr>
          <w:rFonts w:ascii="宋体" w:hAnsi="宋体"/>
          <w:sz w:val="28"/>
          <w:szCs w:val="28"/>
        </w:rPr>
      </w:pPr>
    </w:p>
    <w:p w14:paraId="25BCA8EA">
      <w:pPr>
        <w:spacing w:line="300" w:lineRule="auto"/>
        <w:ind w:right="26" w:firstLine="2800" w:firstLineChars="1000"/>
        <w:rPr>
          <w:rFonts w:ascii="宋体" w:hAnsi="宋体"/>
          <w:sz w:val="28"/>
          <w:szCs w:val="28"/>
        </w:rPr>
      </w:pPr>
      <w:r>
        <w:rPr>
          <w:rFonts w:hint="eastAsia" w:ascii="宋体" w:hAnsi="宋体"/>
          <w:sz w:val="28"/>
          <w:szCs w:val="28"/>
        </w:rPr>
        <w:t>授权单位（盖章）：</w:t>
      </w:r>
      <w:r>
        <w:rPr>
          <w:rFonts w:hint="eastAsia" w:ascii="宋体" w:hAnsi="宋体"/>
          <w:sz w:val="28"/>
          <w:szCs w:val="28"/>
          <w:u w:val="single"/>
        </w:rPr>
        <w:t xml:space="preserve">                      </w:t>
      </w:r>
    </w:p>
    <w:p w14:paraId="517611E4">
      <w:pPr>
        <w:spacing w:line="300" w:lineRule="auto"/>
        <w:ind w:firstLine="2800" w:firstLineChars="1000"/>
        <w:rPr>
          <w:rFonts w:ascii="宋体" w:hAnsi="宋体"/>
          <w:sz w:val="28"/>
          <w:szCs w:val="28"/>
        </w:rPr>
      </w:pPr>
      <w:r>
        <w:rPr>
          <w:rFonts w:hint="eastAsia" w:ascii="宋体" w:hAnsi="宋体"/>
          <w:sz w:val="28"/>
          <w:szCs w:val="28"/>
        </w:rPr>
        <w:t>法定代表人签字：</w:t>
      </w:r>
      <w:r>
        <w:rPr>
          <w:rFonts w:hint="eastAsia" w:ascii="宋体" w:hAnsi="宋体"/>
          <w:sz w:val="28"/>
          <w:szCs w:val="28"/>
          <w:u w:val="single"/>
        </w:rPr>
        <w:t xml:space="preserve">                       </w:t>
      </w:r>
    </w:p>
    <w:p w14:paraId="1135EDDA">
      <w:pPr>
        <w:spacing w:line="300" w:lineRule="auto"/>
        <w:ind w:firstLine="2800" w:firstLineChars="1000"/>
        <w:rPr>
          <w:rFonts w:ascii="宋体" w:hAnsi="宋体"/>
          <w:sz w:val="28"/>
          <w:szCs w:val="28"/>
        </w:rPr>
      </w:pPr>
      <w:r>
        <w:rPr>
          <w:rFonts w:hint="eastAsia" w:ascii="宋体" w:hAnsi="宋体"/>
          <w:sz w:val="28"/>
          <w:szCs w:val="28"/>
        </w:rPr>
        <w:t>签发日期：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CFA98E">
      <w:pPr>
        <w:spacing w:line="300" w:lineRule="auto"/>
        <w:ind w:firstLine="2800" w:firstLineChars="1000"/>
        <w:rPr>
          <w:rFonts w:ascii="宋体" w:hAnsi="宋体"/>
          <w:sz w:val="28"/>
          <w:szCs w:val="28"/>
        </w:rPr>
      </w:pPr>
    </w:p>
    <w:p w14:paraId="4F201348">
      <w:pPr>
        <w:spacing w:line="300" w:lineRule="auto"/>
        <w:ind w:firstLine="2800" w:firstLineChars="1000"/>
        <w:rPr>
          <w:rFonts w:ascii="宋体" w:hAnsi="宋体"/>
          <w:sz w:val="28"/>
          <w:szCs w:val="28"/>
        </w:rPr>
      </w:pPr>
      <w:r>
        <w:rPr>
          <w:rFonts w:hint="eastAsia" w:ascii="宋体" w:hAnsi="宋体"/>
          <w:sz w:val="28"/>
          <w:szCs w:val="28"/>
        </w:rPr>
        <w:t>附：代理人工作单位：</w:t>
      </w:r>
      <w:r>
        <w:rPr>
          <w:rFonts w:hint="eastAsia" w:ascii="宋体" w:hAnsi="宋体"/>
          <w:sz w:val="28"/>
          <w:szCs w:val="28"/>
          <w:u w:val="single"/>
        </w:rPr>
        <w:t xml:space="preserve">                  </w:t>
      </w:r>
    </w:p>
    <w:p w14:paraId="7A05ED2B">
      <w:pPr>
        <w:spacing w:line="300" w:lineRule="auto"/>
        <w:ind w:firstLine="2800" w:firstLineChars="1000"/>
        <w:rPr>
          <w:rFonts w:ascii="宋体" w:hAnsi="宋体"/>
          <w:sz w:val="28"/>
          <w:szCs w:val="28"/>
        </w:rPr>
      </w:pP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4B497DF8">
      <w:pPr>
        <w:adjustRightInd w:val="0"/>
        <w:snapToGrid w:val="0"/>
        <w:spacing w:line="300" w:lineRule="auto"/>
        <w:ind w:firstLine="2800" w:firstLineChars="1000"/>
        <w:rPr>
          <w:rFonts w:ascii="宋体" w:hAnsi="宋体"/>
          <w:sz w:val="28"/>
          <w:szCs w:val="28"/>
          <w:u w:val="single"/>
        </w:rPr>
      </w:pPr>
      <w:r>
        <w:rPr>
          <w:rFonts w:hint="eastAsia" w:ascii="宋体" w:hAnsi="宋体"/>
          <w:sz w:val="28"/>
          <w:szCs w:val="28"/>
        </w:rPr>
        <w:t>身份证号码：</w:t>
      </w:r>
      <w:r>
        <w:rPr>
          <w:rFonts w:hint="eastAsia" w:ascii="宋体" w:hAnsi="宋体"/>
          <w:sz w:val="28"/>
          <w:szCs w:val="28"/>
          <w:u w:val="single"/>
        </w:rPr>
        <w:t xml:space="preserve">                          </w:t>
      </w:r>
      <w:bookmarkStart w:id="90" w:name="_Toc308421173"/>
    </w:p>
    <w:p w14:paraId="5A471038">
      <w:pPr>
        <w:spacing w:line="300" w:lineRule="auto"/>
        <w:ind w:firstLine="2800" w:firstLineChars="10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联系电话：</w:t>
      </w:r>
      <w:r>
        <w:rPr>
          <w:rFonts w:hint="eastAsia" w:ascii="宋体" w:hAnsi="宋体" w:eastAsia="宋体" w:cs="Times New Roman"/>
          <w:sz w:val="28"/>
          <w:szCs w:val="28"/>
          <w:u w:val="single"/>
          <w:lang w:val="en-US" w:eastAsia="zh-CN"/>
        </w:rPr>
        <w:t xml:space="preserve">                            </w:t>
      </w:r>
    </w:p>
    <w:p w14:paraId="6E0CB0C8">
      <w:pPr>
        <w:spacing w:line="300" w:lineRule="auto"/>
        <w:ind w:firstLine="2800" w:firstLineChars="1000"/>
        <w:rPr>
          <w:rFonts w:ascii="宋体" w:eastAsia="宋体"/>
          <w:b/>
        </w:rPr>
      </w:pPr>
      <w:r>
        <w:rPr>
          <w:rFonts w:hint="eastAsia" w:ascii="宋体" w:hAnsi="宋体" w:eastAsia="宋体" w:cs="Times New Roman"/>
          <w:sz w:val="28"/>
          <w:szCs w:val="28"/>
        </w:rPr>
        <w:br w:type="page"/>
      </w:r>
      <w:bookmarkEnd w:id="90"/>
      <w:bookmarkStart w:id="91" w:name="_Toc308421174"/>
    </w:p>
    <w:p w14:paraId="6D372504">
      <w:pPr>
        <w:pStyle w:val="3"/>
        <w:jc w:val="left"/>
        <w:outlineLvl w:val="0"/>
        <w:rPr>
          <w:rFonts w:ascii="宋体" w:eastAsia="宋体"/>
          <w:b/>
        </w:rPr>
      </w:pPr>
      <w:bookmarkStart w:id="92" w:name="_Toc18714"/>
      <w:bookmarkStart w:id="93" w:name="_Toc26244"/>
      <w:r>
        <w:rPr>
          <w:rFonts w:hint="eastAsia" w:ascii="宋体" w:eastAsia="宋体"/>
          <w:b/>
        </w:rPr>
        <w:t>附件三 资格证明文件</w:t>
      </w:r>
      <w:bookmarkEnd w:id="91"/>
      <w:bookmarkEnd w:id="92"/>
      <w:bookmarkEnd w:id="93"/>
    </w:p>
    <w:p w14:paraId="4E5DCF60">
      <w:pPr>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营业执照复印件（加盖公章）</w:t>
      </w:r>
    </w:p>
    <w:p w14:paraId="3D2CF4A2">
      <w:pPr>
        <w:keepNext w:val="0"/>
        <w:keepLines w:val="0"/>
        <w:pageBreakBefore w:val="0"/>
        <w:widowControl w:val="0"/>
        <w:tabs>
          <w:tab w:val="left" w:pos="4620"/>
        </w:tabs>
        <w:kinsoku/>
        <w:wordWrap/>
        <w:overflowPunct/>
        <w:topLinePunct w:val="0"/>
        <w:autoSpaceDE/>
        <w:autoSpaceDN/>
        <w:bidi w:val="0"/>
        <w:adjustRightInd/>
        <w:snapToGrid/>
        <w:spacing w:line="360" w:lineRule="auto"/>
        <w:textAlignment w:val="auto"/>
        <w:rPr>
          <w:rFonts w:hint="eastAsia" w:ascii="宋体" w:hAnsi="宋体" w:eastAsia="宋体" w:cs="Times New Roman"/>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eastAsia="宋体" w:cs="Times New Roman"/>
          <w:sz w:val="28"/>
          <w:szCs w:val="28"/>
        </w:rPr>
        <w:t>中小企业声明函（工程、服务）</w:t>
      </w:r>
    </w:p>
    <w:p w14:paraId="4A7058FE">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6C925D39">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（标的名称），属于（采购文件中明确的所属行业）； 承建（承接）企业为（企业名称），从业人员</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人，营业收入为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万元，资产总额为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 xml:space="preserve">万元，属于（中型企业、小型企业、微型企业）； </w:t>
      </w:r>
    </w:p>
    <w:p w14:paraId="01DA5C76">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u w:val="single"/>
        </w:rPr>
        <w:t>（标的名称）</w:t>
      </w:r>
      <w:r>
        <w:rPr>
          <w:rFonts w:hint="eastAsia" w:ascii="宋体" w:hAnsi="宋体" w:eastAsia="宋体" w:cs="Times New Roman"/>
          <w:sz w:val="28"/>
          <w:szCs w:val="28"/>
        </w:rPr>
        <w:t>，属于</w:t>
      </w:r>
      <w:r>
        <w:rPr>
          <w:rFonts w:hint="eastAsia" w:ascii="宋体" w:hAnsi="宋体" w:eastAsia="宋体" w:cs="Times New Roman"/>
          <w:sz w:val="28"/>
          <w:szCs w:val="28"/>
          <w:u w:val="single"/>
        </w:rPr>
        <w:t>（采购文件中明确的所属行业）</w:t>
      </w:r>
      <w:r>
        <w:rPr>
          <w:rFonts w:hint="eastAsia" w:ascii="宋体" w:hAnsi="宋体" w:eastAsia="宋体" w:cs="Times New Roman"/>
          <w:sz w:val="28"/>
          <w:szCs w:val="28"/>
        </w:rPr>
        <w:t>； 承建（承接）企业为</w:t>
      </w:r>
      <w:r>
        <w:rPr>
          <w:rFonts w:hint="eastAsia" w:ascii="宋体" w:hAnsi="宋体" w:eastAsia="宋体" w:cs="Times New Roman"/>
          <w:sz w:val="28"/>
          <w:szCs w:val="28"/>
          <w:u w:val="single"/>
        </w:rPr>
        <w:t>（企业名称）</w:t>
      </w:r>
      <w:r>
        <w:rPr>
          <w:rFonts w:hint="eastAsia" w:ascii="宋体" w:hAnsi="宋体" w:eastAsia="宋体" w:cs="Times New Roman"/>
          <w:sz w:val="28"/>
          <w:szCs w:val="28"/>
        </w:rPr>
        <w:t>，从业人员</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人，营业收入为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万元，资产总额为</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万元，属于（中型企业、 小型企业、微型企业）； ……</w:t>
      </w:r>
    </w:p>
    <w:p w14:paraId="75968B41">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以上企业，不属于大企业的分支机构，不存在控股股东 为大企业的情形，也不存在与大企业的负责人为同一人的情形。</w:t>
      </w:r>
    </w:p>
    <w:p w14:paraId="561AE7C3">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 xml:space="preserve">本企业对上述声明内容的真实性负责。如有虚假，将依 法承担相应责任。 </w:t>
      </w:r>
    </w:p>
    <w:p w14:paraId="030EBD25">
      <w:pPr>
        <w:rPr>
          <w:rFonts w:hint="eastAsia" w:ascii="宋体" w:hAnsi="宋体" w:eastAsia="宋体" w:cs="Times New Roman"/>
          <w:sz w:val="28"/>
          <w:szCs w:val="28"/>
        </w:rPr>
      </w:pPr>
      <w:r>
        <w:rPr>
          <w:rFonts w:hint="eastAsia" w:ascii="宋体" w:hAnsi="宋体" w:eastAsia="宋体" w:cs="Times New Roman"/>
          <w:sz w:val="28"/>
          <w:szCs w:val="28"/>
        </w:rPr>
        <w:t xml:space="preserve">企业名称（盖章）： </w:t>
      </w:r>
    </w:p>
    <w:p w14:paraId="359117D5">
      <w:pPr>
        <w:rPr>
          <w:rFonts w:hint="eastAsia" w:ascii="宋体" w:hAnsi="宋体" w:eastAsia="宋体" w:cs="Times New Roman"/>
          <w:sz w:val="28"/>
          <w:szCs w:val="28"/>
        </w:rPr>
      </w:pPr>
      <w:r>
        <w:rPr>
          <w:rFonts w:hint="eastAsia" w:ascii="宋体" w:hAnsi="宋体" w:eastAsia="宋体" w:cs="Times New Roman"/>
          <w:sz w:val="28"/>
          <w:szCs w:val="28"/>
        </w:rPr>
        <w:t xml:space="preserve">日 期： </w:t>
      </w:r>
    </w:p>
    <w:p w14:paraId="1923FFDD">
      <w:pPr>
        <w:rPr>
          <w:rFonts w:hint="eastAsia" w:ascii="宋体" w:hAnsi="宋体" w:eastAsia="宋体" w:cs="Times New Roman"/>
          <w:sz w:val="28"/>
          <w:szCs w:val="28"/>
        </w:rPr>
      </w:pPr>
    </w:p>
    <w:p w14:paraId="1071B8C5">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注：1.从业人员、营业收入、资产总额填报上一年度数据，无上一年度数据的新成立企业可不填报。</w:t>
      </w:r>
    </w:p>
    <w:p w14:paraId="5D529156">
      <w:pP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2.本项目如是只面向中小企业采购的应当必须提供。</w:t>
      </w:r>
    </w:p>
    <w:p w14:paraId="1011CC40">
      <w:pPr>
        <w:rPr>
          <w:rFonts w:hint="default" w:ascii="宋体" w:hAnsi="宋体" w:eastAsia="宋体" w:cs="Times New Roman"/>
          <w:sz w:val="28"/>
          <w:szCs w:val="28"/>
          <w:lang w:val="en-US" w:eastAsia="zh-CN"/>
        </w:rPr>
      </w:pPr>
    </w:p>
    <w:p w14:paraId="145155B9">
      <w:pPr>
        <w:rPr>
          <w:rFonts w:hint="eastAsia" w:ascii="宋体" w:hAnsi="宋体"/>
          <w:sz w:val="28"/>
          <w:szCs w:val="28"/>
        </w:rPr>
      </w:pPr>
    </w:p>
    <w:p w14:paraId="62AA5F04">
      <w:pPr>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其他需要提供的证明材料。</w:t>
      </w:r>
    </w:p>
    <w:p w14:paraId="37C1DF00">
      <w:pPr>
        <w:rPr>
          <w:rFonts w:hint="eastAsia" w:ascii="宋体" w:hAnsi="宋体" w:eastAsia="宋体" w:cs="Times New Roman"/>
          <w:b/>
          <w:smallCaps/>
          <w:kern w:val="0"/>
          <w:sz w:val="36"/>
          <w:szCs w:val="24"/>
          <w:lang w:val="en-US" w:eastAsia="zh-CN" w:bidi="ar-SA"/>
        </w:rPr>
      </w:pPr>
    </w:p>
    <w:p w14:paraId="28A7A5D5">
      <w:pPr>
        <w:rPr>
          <w:rFonts w:hint="eastAsia" w:ascii="宋体" w:hAnsi="宋体" w:eastAsia="宋体" w:cs="Times New Roman"/>
          <w:b/>
          <w:smallCaps/>
          <w:kern w:val="0"/>
          <w:sz w:val="36"/>
          <w:szCs w:val="24"/>
          <w:lang w:val="en-US" w:eastAsia="zh-CN" w:bidi="ar-SA"/>
        </w:rPr>
      </w:pPr>
    </w:p>
    <w:p w14:paraId="4876A0EF">
      <w:pPr>
        <w:rPr>
          <w:rFonts w:hint="eastAsia" w:ascii="宋体" w:hAnsi="宋体" w:eastAsia="宋体" w:cs="Times New Roman"/>
          <w:b/>
          <w:smallCaps/>
          <w:kern w:val="0"/>
          <w:sz w:val="36"/>
          <w:szCs w:val="24"/>
          <w:lang w:val="en-US" w:eastAsia="zh-CN" w:bidi="ar-SA"/>
        </w:rPr>
      </w:pPr>
    </w:p>
    <w:p w14:paraId="278968DA">
      <w:pPr>
        <w:rPr>
          <w:rFonts w:hint="eastAsia" w:ascii="宋体" w:hAnsi="宋体" w:eastAsia="宋体" w:cs="Times New Roman"/>
          <w:b/>
          <w:smallCaps/>
          <w:kern w:val="0"/>
          <w:sz w:val="36"/>
          <w:szCs w:val="24"/>
          <w:lang w:val="en-US" w:eastAsia="zh-CN" w:bidi="ar-SA"/>
        </w:rPr>
      </w:pPr>
    </w:p>
    <w:p w14:paraId="4535F8B6">
      <w:pPr>
        <w:rPr>
          <w:rFonts w:hint="eastAsia" w:ascii="宋体" w:hAnsi="宋体" w:eastAsia="宋体" w:cs="Times New Roman"/>
          <w:b/>
          <w:smallCaps/>
          <w:kern w:val="0"/>
          <w:sz w:val="36"/>
          <w:szCs w:val="24"/>
          <w:lang w:val="en-US" w:eastAsia="zh-CN" w:bidi="ar-SA"/>
        </w:rPr>
      </w:pPr>
    </w:p>
    <w:p w14:paraId="5A5705D4">
      <w:pPr>
        <w:pStyle w:val="30"/>
        <w:rPr>
          <w:rFonts w:hint="eastAsia"/>
          <w:lang w:val="en-US" w:eastAsia="zh-CN"/>
        </w:rPr>
      </w:pPr>
    </w:p>
    <w:p w14:paraId="2CC78E4A">
      <w:pPr>
        <w:rPr>
          <w:rFonts w:hint="eastAsia" w:ascii="宋体" w:hAnsi="宋体" w:eastAsia="宋体" w:cs="Times New Roman"/>
          <w:b/>
          <w:smallCaps/>
          <w:kern w:val="0"/>
          <w:sz w:val="36"/>
          <w:szCs w:val="24"/>
          <w:lang w:val="en-US" w:eastAsia="zh-CN" w:bidi="ar-SA"/>
        </w:rPr>
      </w:pPr>
    </w:p>
    <w:p w14:paraId="7EAB7829">
      <w:pPr>
        <w:rPr>
          <w:rFonts w:hint="eastAsia" w:ascii="宋体" w:hAnsi="宋体" w:eastAsia="宋体" w:cs="Times New Roman"/>
          <w:b/>
          <w:smallCaps/>
          <w:kern w:val="0"/>
          <w:sz w:val="36"/>
          <w:szCs w:val="24"/>
          <w:lang w:val="en-US" w:eastAsia="zh-CN" w:bidi="ar-SA"/>
        </w:rPr>
      </w:pPr>
    </w:p>
    <w:p w14:paraId="320A3EB0">
      <w:pPr>
        <w:rPr>
          <w:rFonts w:hint="eastAsia" w:ascii="宋体" w:hAnsi="宋体" w:eastAsia="宋体" w:cs="Times New Roman"/>
          <w:b/>
          <w:smallCaps/>
          <w:kern w:val="0"/>
          <w:sz w:val="36"/>
          <w:szCs w:val="24"/>
          <w:lang w:val="en-US" w:eastAsia="zh-CN" w:bidi="ar-SA"/>
        </w:rPr>
      </w:pPr>
    </w:p>
    <w:p w14:paraId="22FE25D1">
      <w:pPr>
        <w:rPr>
          <w:rFonts w:hint="eastAsia" w:ascii="宋体" w:hAnsi="宋体" w:eastAsia="宋体" w:cs="Times New Roman"/>
          <w:b/>
          <w:smallCaps/>
          <w:kern w:val="0"/>
          <w:sz w:val="36"/>
          <w:szCs w:val="24"/>
          <w:lang w:val="en-US" w:eastAsia="zh-CN" w:bidi="ar-SA"/>
        </w:rPr>
      </w:pPr>
    </w:p>
    <w:p w14:paraId="66973734">
      <w:pPr>
        <w:rPr>
          <w:rFonts w:hint="eastAsia" w:ascii="宋体" w:hAnsi="宋体" w:eastAsia="宋体" w:cs="Times New Roman"/>
          <w:b/>
          <w:smallCaps/>
          <w:kern w:val="0"/>
          <w:sz w:val="36"/>
          <w:szCs w:val="24"/>
          <w:lang w:val="en-US" w:eastAsia="zh-CN" w:bidi="ar-SA"/>
        </w:rPr>
      </w:pPr>
    </w:p>
    <w:p w14:paraId="7532A20F">
      <w:pPr>
        <w:rPr>
          <w:rFonts w:hint="eastAsia" w:ascii="宋体" w:hAnsi="宋体" w:eastAsia="宋体" w:cs="Times New Roman"/>
          <w:b/>
          <w:smallCaps/>
          <w:kern w:val="0"/>
          <w:sz w:val="36"/>
          <w:szCs w:val="24"/>
          <w:lang w:val="en-US" w:eastAsia="zh-CN" w:bidi="ar-SA"/>
        </w:rPr>
      </w:pPr>
    </w:p>
    <w:p w14:paraId="49D3BBBE">
      <w:pPr>
        <w:rPr>
          <w:rFonts w:hint="eastAsia" w:ascii="宋体" w:hAnsi="宋体" w:eastAsia="宋体" w:cs="Times New Roman"/>
          <w:b/>
          <w:smallCaps/>
          <w:kern w:val="0"/>
          <w:sz w:val="36"/>
          <w:szCs w:val="24"/>
          <w:lang w:val="en-US" w:eastAsia="zh-CN" w:bidi="ar-SA"/>
        </w:rPr>
      </w:pPr>
    </w:p>
    <w:p w14:paraId="3BE0183A">
      <w:pPr>
        <w:rPr>
          <w:rFonts w:hint="eastAsia" w:ascii="宋体" w:hAnsi="宋体" w:eastAsia="宋体" w:cs="Times New Roman"/>
          <w:b/>
          <w:smallCaps/>
          <w:kern w:val="0"/>
          <w:sz w:val="36"/>
          <w:szCs w:val="24"/>
          <w:lang w:val="en-US" w:eastAsia="zh-CN" w:bidi="ar-SA"/>
        </w:rPr>
      </w:pPr>
    </w:p>
    <w:p w14:paraId="7D5FF04F">
      <w:pPr>
        <w:rPr>
          <w:rFonts w:hint="eastAsia" w:ascii="宋体" w:hAnsi="宋体" w:eastAsia="宋体" w:cs="Times New Roman"/>
          <w:b/>
          <w:smallCaps/>
          <w:kern w:val="0"/>
          <w:sz w:val="36"/>
          <w:szCs w:val="24"/>
          <w:lang w:val="en-US" w:eastAsia="zh-CN" w:bidi="ar-SA"/>
        </w:rPr>
      </w:pPr>
    </w:p>
    <w:p w14:paraId="22917F66">
      <w:pPr>
        <w:rPr>
          <w:rFonts w:hint="eastAsia" w:ascii="宋体" w:hAnsi="宋体" w:eastAsia="宋体" w:cs="Times New Roman"/>
          <w:b/>
          <w:smallCaps/>
          <w:kern w:val="0"/>
          <w:sz w:val="36"/>
          <w:szCs w:val="24"/>
          <w:lang w:val="en-US" w:eastAsia="zh-CN" w:bidi="ar-SA"/>
        </w:rPr>
      </w:pPr>
    </w:p>
    <w:p w14:paraId="3E81388F">
      <w:pPr>
        <w:rPr>
          <w:rFonts w:hint="eastAsia" w:ascii="宋体" w:hAnsi="宋体" w:eastAsia="宋体" w:cs="Times New Roman"/>
          <w:b/>
          <w:smallCaps/>
          <w:kern w:val="0"/>
          <w:sz w:val="36"/>
          <w:szCs w:val="24"/>
          <w:lang w:val="en-US" w:eastAsia="zh-CN" w:bidi="ar-SA"/>
        </w:rPr>
      </w:pPr>
    </w:p>
    <w:p w14:paraId="25725879">
      <w:pPr>
        <w:rPr>
          <w:rFonts w:hint="eastAsia" w:ascii="宋体" w:hAnsi="宋体" w:eastAsia="宋体" w:cs="Times New Roman"/>
          <w:b/>
          <w:smallCaps/>
          <w:kern w:val="0"/>
          <w:sz w:val="36"/>
          <w:szCs w:val="24"/>
          <w:lang w:val="en-US" w:eastAsia="zh-CN" w:bidi="ar-SA"/>
        </w:rPr>
      </w:pPr>
    </w:p>
    <w:p w14:paraId="1858A4C3">
      <w:pPr>
        <w:outlineLvl w:val="0"/>
        <w:rPr>
          <w:rFonts w:hint="eastAsia" w:ascii="宋体" w:hAnsi="宋体" w:eastAsia="宋体" w:cs="Times New Roman"/>
          <w:b/>
          <w:smallCaps/>
          <w:kern w:val="0"/>
          <w:sz w:val="36"/>
          <w:szCs w:val="24"/>
          <w:lang w:val="en-US" w:eastAsia="zh-CN" w:bidi="ar-SA"/>
        </w:rPr>
      </w:pPr>
      <w:bookmarkStart w:id="94" w:name="_Toc26887"/>
      <w:r>
        <w:rPr>
          <w:rFonts w:hint="eastAsia" w:ascii="宋体" w:hAnsi="宋体" w:eastAsia="宋体" w:cs="Times New Roman"/>
          <w:b/>
          <w:smallCaps/>
          <w:kern w:val="0"/>
          <w:sz w:val="36"/>
          <w:szCs w:val="24"/>
          <w:lang w:val="en-US" w:eastAsia="zh-CN" w:bidi="ar-SA"/>
        </w:rPr>
        <w:t>附件四  周口市政府采购合同（服务类）标准文本</w:t>
      </w:r>
      <w:bookmarkEnd w:id="94"/>
    </w:p>
    <w:p w14:paraId="4EC10D53">
      <w:pPr>
        <w:ind w:firstLine="723" w:firstLineChars="200"/>
        <w:jc w:val="both"/>
        <w:outlineLvl w:val="9"/>
        <w:rPr>
          <w:rFonts w:hint="eastAsia" w:ascii="宋体" w:hAnsi="宋体" w:eastAsia="宋体" w:cs="Times New Roman"/>
          <w:b/>
          <w:smallCaps/>
          <w:kern w:val="0"/>
          <w:sz w:val="36"/>
          <w:szCs w:val="24"/>
          <w:lang w:val="en-US" w:eastAsia="zh-CN" w:bidi="ar-SA"/>
        </w:rPr>
      </w:pPr>
    </w:p>
    <w:p w14:paraId="04E21C90">
      <w:pPr>
        <w:pStyle w:val="55"/>
        <w:spacing w:beforeLines="0" w:afterLines="0"/>
        <w:ind w:left="0" w:firstLine="640" w:firstLineChars="200"/>
        <w:jc w:val="both"/>
        <w:rPr>
          <w:rFonts w:hint="eastAsia" w:ascii="宋体" w:hAnsi="宋体" w:eastAsia="宋体" w:cs="宋体"/>
          <w:sz w:val="32"/>
          <w:szCs w:val="32"/>
          <w:lang w:val="en-US"/>
        </w:rPr>
      </w:pPr>
    </w:p>
    <w:p w14:paraId="7A6BB351">
      <w:pPr>
        <w:pStyle w:val="55"/>
        <w:spacing w:beforeLines="0" w:afterLines="0"/>
        <w:ind w:left="0" w:firstLine="640" w:firstLineChars="200"/>
        <w:jc w:val="both"/>
        <w:rPr>
          <w:rFonts w:hint="eastAsia" w:ascii="宋体" w:hAnsi="宋体" w:eastAsia="宋体" w:cs="宋体"/>
          <w:sz w:val="32"/>
          <w:szCs w:val="32"/>
          <w:lang w:val="en-US"/>
        </w:rPr>
      </w:pPr>
    </w:p>
    <w:p w14:paraId="0D758697">
      <w:pPr>
        <w:pStyle w:val="55"/>
        <w:spacing w:beforeLines="0" w:afterLines="0"/>
        <w:ind w:left="0" w:firstLine="600" w:firstLineChars="200"/>
        <w:jc w:val="both"/>
        <w:rPr>
          <w:rFonts w:hint="eastAsia" w:ascii="宋体" w:hAnsi="宋体" w:eastAsia="宋体" w:cs="宋体"/>
          <w:sz w:val="30"/>
          <w:szCs w:val="30"/>
          <w:lang w:val="en-US"/>
        </w:rPr>
      </w:pPr>
    </w:p>
    <w:p w14:paraId="2CE50E88">
      <w:pPr>
        <w:pStyle w:val="55"/>
        <w:spacing w:beforeLines="0" w:afterLines="0"/>
        <w:ind w:left="0" w:firstLine="600" w:firstLineChars="200"/>
        <w:jc w:val="both"/>
        <w:rPr>
          <w:rFonts w:hint="eastAsia" w:ascii="宋体" w:hAnsi="宋体" w:eastAsia="宋体" w:cs="宋体"/>
          <w:sz w:val="30"/>
          <w:szCs w:val="30"/>
          <w:lang w:val="en-US"/>
        </w:rPr>
      </w:pPr>
    </w:p>
    <w:p w14:paraId="65FC0146">
      <w:pPr>
        <w:pStyle w:val="55"/>
        <w:spacing w:beforeLines="0" w:afterLines="0"/>
        <w:ind w:left="0" w:firstLine="600" w:firstLineChars="200"/>
        <w:jc w:val="both"/>
        <w:rPr>
          <w:rFonts w:hint="eastAsia" w:ascii="宋体" w:hAnsi="宋体" w:eastAsia="宋体" w:cs="宋体"/>
          <w:sz w:val="30"/>
          <w:szCs w:val="30"/>
          <w:lang w:val="en-US"/>
        </w:rPr>
      </w:pPr>
    </w:p>
    <w:p w14:paraId="20087DE9">
      <w:pPr>
        <w:pStyle w:val="55"/>
        <w:spacing w:beforeLines="0" w:afterLines="0"/>
        <w:ind w:left="0" w:firstLine="600" w:firstLineChars="200"/>
        <w:jc w:val="both"/>
        <w:rPr>
          <w:rFonts w:hint="eastAsia" w:ascii="宋体" w:hAnsi="宋体" w:eastAsia="宋体" w:cs="宋体"/>
          <w:sz w:val="30"/>
          <w:szCs w:val="30"/>
          <w:lang w:val="en-US"/>
        </w:rPr>
      </w:pPr>
    </w:p>
    <w:p w14:paraId="2D6E1D72">
      <w:pPr>
        <w:pStyle w:val="55"/>
        <w:spacing w:beforeLines="0" w:afterLines="0"/>
        <w:ind w:left="0" w:firstLine="600" w:firstLineChars="200"/>
        <w:jc w:val="both"/>
        <w:rPr>
          <w:rFonts w:hint="eastAsia" w:ascii="宋体" w:hAnsi="宋体" w:eastAsia="宋体" w:cs="宋体"/>
          <w:sz w:val="30"/>
          <w:szCs w:val="30"/>
          <w:lang w:val="en-US"/>
        </w:rPr>
      </w:pPr>
    </w:p>
    <w:p w14:paraId="3E3D9F07">
      <w:pPr>
        <w:pStyle w:val="55"/>
        <w:spacing w:beforeLines="0" w:afterLines="0"/>
        <w:ind w:left="0" w:firstLine="600" w:firstLineChars="200"/>
        <w:jc w:val="both"/>
        <w:rPr>
          <w:rFonts w:hint="eastAsia" w:ascii="宋体" w:hAnsi="宋体" w:eastAsia="宋体" w:cs="宋体"/>
          <w:sz w:val="30"/>
          <w:szCs w:val="30"/>
          <w:lang w:val="en-US"/>
        </w:rPr>
      </w:pPr>
    </w:p>
    <w:p w14:paraId="249387B3">
      <w:pPr>
        <w:pStyle w:val="55"/>
        <w:spacing w:beforeLines="0" w:afterLines="0"/>
        <w:ind w:left="0" w:firstLine="600" w:firstLineChars="200"/>
        <w:jc w:val="both"/>
        <w:outlineLvl w:val="0"/>
        <w:rPr>
          <w:rFonts w:hint="eastAsia" w:ascii="宋体" w:hAnsi="宋体" w:eastAsia="宋体" w:cs="宋体"/>
          <w:sz w:val="30"/>
          <w:szCs w:val="30"/>
          <w:lang w:val="en-US"/>
        </w:rPr>
      </w:pPr>
      <w:bookmarkStart w:id="95" w:name="_Toc5919"/>
      <w:r>
        <w:rPr>
          <w:rFonts w:hint="eastAsia" w:ascii="宋体" w:hAnsi="宋体" w:eastAsia="宋体" w:cs="宋体"/>
          <w:sz w:val="30"/>
          <w:szCs w:val="30"/>
          <w:lang w:val="en-US"/>
        </w:rPr>
        <w:t>政府采购项目名称：</w:t>
      </w:r>
      <w:bookmarkEnd w:id="95"/>
    </w:p>
    <w:p w14:paraId="6A0A502D">
      <w:pPr>
        <w:pStyle w:val="55"/>
        <w:spacing w:beforeLines="0" w:afterLines="0"/>
        <w:ind w:left="0" w:firstLine="600" w:firstLineChars="200"/>
        <w:jc w:val="both"/>
        <w:outlineLvl w:val="0"/>
        <w:rPr>
          <w:rFonts w:hint="eastAsia" w:ascii="宋体" w:hAnsi="宋体" w:eastAsia="宋体" w:cs="宋体"/>
          <w:sz w:val="30"/>
          <w:szCs w:val="30"/>
          <w:lang w:val="en-US"/>
        </w:rPr>
      </w:pPr>
      <w:bookmarkStart w:id="96" w:name="_Toc12961"/>
      <w:r>
        <w:rPr>
          <w:rFonts w:hint="eastAsia" w:ascii="宋体" w:hAnsi="宋体" w:eastAsia="宋体" w:cs="宋体"/>
          <w:sz w:val="30"/>
          <w:szCs w:val="30"/>
          <w:lang w:val="en-US"/>
        </w:rPr>
        <w:t>政府采购项目编号：</w:t>
      </w:r>
      <w:bookmarkEnd w:id="96"/>
    </w:p>
    <w:p w14:paraId="156D8AAE">
      <w:pPr>
        <w:pStyle w:val="55"/>
        <w:spacing w:beforeLines="0" w:afterLines="0"/>
        <w:ind w:left="0" w:firstLine="600" w:firstLineChars="200"/>
        <w:jc w:val="both"/>
        <w:outlineLvl w:val="0"/>
        <w:rPr>
          <w:rFonts w:hint="eastAsia" w:ascii="宋体" w:hAnsi="宋体" w:eastAsia="宋体" w:cs="宋体"/>
          <w:sz w:val="30"/>
          <w:szCs w:val="30"/>
          <w:lang w:val="en-US"/>
        </w:rPr>
      </w:pPr>
      <w:bookmarkStart w:id="97" w:name="_Toc23212"/>
      <w:r>
        <w:rPr>
          <w:rFonts w:hint="eastAsia" w:ascii="宋体" w:hAnsi="宋体" w:eastAsia="宋体" w:cs="宋体"/>
          <w:sz w:val="30"/>
          <w:szCs w:val="30"/>
          <w:lang w:val="en-US"/>
        </w:rPr>
        <w:t>采      购    人：</w:t>
      </w:r>
      <w:bookmarkEnd w:id="97"/>
    </w:p>
    <w:p w14:paraId="18957E9C">
      <w:pPr>
        <w:pStyle w:val="55"/>
        <w:spacing w:beforeLines="0" w:afterLines="0"/>
        <w:ind w:left="0" w:firstLine="600" w:firstLineChars="200"/>
        <w:jc w:val="both"/>
        <w:outlineLvl w:val="0"/>
        <w:rPr>
          <w:rFonts w:hint="eastAsia" w:ascii="宋体" w:hAnsi="宋体" w:eastAsia="宋体" w:cs="宋体"/>
          <w:sz w:val="30"/>
          <w:szCs w:val="30"/>
          <w:lang w:val="en-US"/>
        </w:rPr>
      </w:pPr>
      <w:bookmarkStart w:id="98" w:name="_Toc28422"/>
      <w:r>
        <w:rPr>
          <w:rFonts w:hint="eastAsia" w:ascii="宋体" w:hAnsi="宋体" w:eastAsia="宋体" w:cs="宋体"/>
          <w:sz w:val="30"/>
          <w:szCs w:val="30"/>
          <w:lang w:val="en-US"/>
        </w:rPr>
        <w:t>供      应    商：</w:t>
      </w:r>
      <w:bookmarkEnd w:id="98"/>
    </w:p>
    <w:p w14:paraId="3A89F9F3">
      <w:pPr>
        <w:pStyle w:val="55"/>
        <w:spacing w:beforeLines="0" w:afterLines="0"/>
        <w:ind w:left="0" w:firstLine="600" w:firstLineChars="200"/>
        <w:jc w:val="both"/>
        <w:outlineLvl w:val="0"/>
        <w:rPr>
          <w:rFonts w:hint="eastAsia" w:ascii="宋体" w:hAnsi="宋体" w:eastAsia="宋体" w:cs="宋体"/>
          <w:sz w:val="30"/>
          <w:szCs w:val="30"/>
          <w:lang w:val="en-US"/>
        </w:rPr>
      </w:pPr>
      <w:bookmarkStart w:id="99" w:name="_Toc22516"/>
      <w:r>
        <w:rPr>
          <w:rFonts w:hint="eastAsia" w:ascii="宋体" w:hAnsi="宋体" w:eastAsia="宋体" w:cs="宋体"/>
          <w:sz w:val="30"/>
          <w:szCs w:val="30"/>
          <w:lang w:val="en-US"/>
        </w:rPr>
        <w:t>合  同  签 订 地：</w:t>
      </w:r>
      <w:bookmarkEnd w:id="99"/>
    </w:p>
    <w:p w14:paraId="611D759F">
      <w:pPr>
        <w:pStyle w:val="55"/>
        <w:spacing w:beforeLines="0" w:afterLines="0"/>
        <w:ind w:left="0" w:firstLine="600" w:firstLineChars="200"/>
        <w:jc w:val="both"/>
        <w:outlineLvl w:val="0"/>
        <w:rPr>
          <w:rFonts w:hint="eastAsia" w:ascii="宋体" w:hAnsi="宋体" w:eastAsia="宋体" w:cs="宋体"/>
          <w:sz w:val="30"/>
          <w:szCs w:val="30"/>
          <w:lang w:val="en-US"/>
        </w:rPr>
      </w:pPr>
      <w:bookmarkStart w:id="100" w:name="_Toc2280"/>
      <w:r>
        <w:rPr>
          <w:rFonts w:hint="eastAsia" w:ascii="宋体" w:hAnsi="宋体" w:eastAsia="宋体" w:cs="宋体"/>
          <w:sz w:val="30"/>
          <w:szCs w:val="30"/>
          <w:lang w:val="en-US"/>
        </w:rPr>
        <w:t>合 同 签订 时 间：</w:t>
      </w:r>
      <w:bookmarkEnd w:id="100"/>
    </w:p>
    <w:p w14:paraId="31CD48F6">
      <w:pPr>
        <w:pStyle w:val="55"/>
        <w:spacing w:beforeLines="0" w:afterLines="0"/>
        <w:ind w:left="0" w:firstLine="600" w:firstLineChars="200"/>
        <w:jc w:val="both"/>
        <w:rPr>
          <w:rFonts w:hint="eastAsia" w:ascii="宋体" w:hAnsi="宋体" w:eastAsia="宋体" w:cs="宋体"/>
          <w:sz w:val="30"/>
          <w:szCs w:val="30"/>
          <w:lang w:val="en-US"/>
        </w:rPr>
      </w:pPr>
    </w:p>
    <w:p w14:paraId="697864AB">
      <w:pPr>
        <w:pStyle w:val="55"/>
        <w:spacing w:beforeLines="0" w:afterLines="0"/>
        <w:ind w:left="0" w:firstLine="600" w:firstLineChars="200"/>
        <w:jc w:val="both"/>
        <w:rPr>
          <w:rFonts w:hint="eastAsia" w:ascii="宋体" w:hAnsi="宋体" w:eastAsia="宋体" w:cs="宋体"/>
          <w:sz w:val="30"/>
          <w:szCs w:val="30"/>
          <w:lang w:val="en-US"/>
        </w:rPr>
      </w:pPr>
    </w:p>
    <w:p w14:paraId="09CBBFFF">
      <w:pPr>
        <w:pStyle w:val="55"/>
        <w:spacing w:beforeLines="0" w:afterLines="0"/>
        <w:ind w:left="0" w:firstLine="600" w:firstLineChars="200"/>
        <w:jc w:val="both"/>
        <w:rPr>
          <w:rFonts w:hint="eastAsia" w:ascii="宋体" w:hAnsi="宋体" w:eastAsia="宋体" w:cs="宋体"/>
          <w:sz w:val="30"/>
          <w:szCs w:val="30"/>
          <w:lang w:val="en-US"/>
        </w:rPr>
      </w:pPr>
    </w:p>
    <w:p w14:paraId="15058319">
      <w:pPr>
        <w:pStyle w:val="55"/>
        <w:spacing w:beforeLines="0" w:afterLines="0" w:line="440" w:lineRule="exact"/>
        <w:ind w:left="0"/>
        <w:jc w:val="center"/>
        <w:outlineLvl w:val="0"/>
        <w:rPr>
          <w:rFonts w:hint="eastAsia" w:ascii="宋体" w:hAnsi="宋体" w:eastAsia="宋体" w:cs="宋体"/>
          <w:sz w:val="32"/>
          <w:szCs w:val="32"/>
        </w:rPr>
      </w:pPr>
      <w:bookmarkStart w:id="101" w:name="_Toc22980"/>
      <w:r>
        <w:rPr>
          <w:rFonts w:hint="eastAsia" w:ascii="宋体" w:hAnsi="宋体" w:eastAsia="宋体" w:cs="宋体"/>
          <w:sz w:val="32"/>
          <w:szCs w:val="32"/>
        </w:rPr>
        <w:t>合同签订指引</w:t>
      </w:r>
      <w:bookmarkEnd w:id="101"/>
    </w:p>
    <w:p w14:paraId="51D89C0B">
      <w:pPr>
        <w:pStyle w:val="55"/>
        <w:spacing w:beforeLines="0" w:afterLines="0" w:line="440" w:lineRule="exact"/>
        <w:ind w:left="0"/>
        <w:jc w:val="both"/>
        <w:rPr>
          <w:rFonts w:hint="eastAsia" w:ascii="宋体" w:hAnsi="宋体" w:eastAsia="宋体" w:cs="宋体"/>
          <w:sz w:val="30"/>
          <w:szCs w:val="30"/>
        </w:rPr>
      </w:pPr>
    </w:p>
    <w:p w14:paraId="776D18DD">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14:paraId="416745AE">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14:paraId="302CDB42">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14:paraId="6E243E64">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14:paraId="2D9A0FBD">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14:paraId="6CBB7ECC">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14:paraId="6AF494D1">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180DCBEE">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14:paraId="7954EC1B">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14:paraId="6E1BEF2A">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14:paraId="60559413">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14:paraId="6153D64B">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14:paraId="27DC7D16">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14:paraId="2B0E0A71">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376C2B1B">
      <w:pPr>
        <w:pStyle w:val="55"/>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14:paraId="3CD91789">
      <w:pPr>
        <w:pStyle w:val="55"/>
        <w:spacing w:beforeLines="0" w:afterLines="0" w:line="440" w:lineRule="exact"/>
        <w:ind w:left="0"/>
        <w:jc w:val="center"/>
        <w:rPr>
          <w:rFonts w:hint="eastAsia" w:ascii="宋体" w:hAnsi="宋体" w:eastAsia="宋体" w:cs="宋体"/>
          <w:bCs/>
          <w:sz w:val="32"/>
          <w:szCs w:val="32"/>
        </w:rPr>
      </w:pPr>
    </w:p>
    <w:p w14:paraId="656F156D">
      <w:pPr>
        <w:pStyle w:val="55"/>
        <w:spacing w:beforeLines="0" w:afterLines="0" w:line="440" w:lineRule="exact"/>
        <w:ind w:left="0"/>
        <w:jc w:val="center"/>
        <w:outlineLvl w:val="0"/>
        <w:rPr>
          <w:rFonts w:hint="eastAsia" w:ascii="宋体" w:hAnsi="宋体" w:eastAsia="宋体" w:cs="宋体"/>
          <w:sz w:val="32"/>
          <w:szCs w:val="32"/>
        </w:rPr>
      </w:pPr>
      <w:bookmarkStart w:id="102" w:name="_Toc1847"/>
      <w:r>
        <w:rPr>
          <w:rFonts w:hint="eastAsia" w:ascii="宋体" w:hAnsi="宋体" w:eastAsia="宋体" w:cs="宋体"/>
          <w:bCs/>
          <w:sz w:val="32"/>
          <w:szCs w:val="32"/>
        </w:rPr>
        <w:t>供应商履约验收指引</w:t>
      </w:r>
      <w:bookmarkEnd w:id="102"/>
    </w:p>
    <w:p w14:paraId="08E6A4EC">
      <w:pPr>
        <w:pStyle w:val="55"/>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14:paraId="70838171">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14:paraId="27C2018C">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14:paraId="2FF4F7C1">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14:paraId="234477CF">
      <w:pPr>
        <w:pStyle w:val="55"/>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14:paraId="01814AD3">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14:paraId="0081D1D5">
      <w:pPr>
        <w:pStyle w:val="55"/>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14:paraId="5B1CE53D">
      <w:pPr>
        <w:pStyle w:val="3"/>
        <w:spacing w:before="0" w:after="0" w:line="500" w:lineRule="exact"/>
        <w:ind w:firstLine="0"/>
        <w:jc w:val="both"/>
        <w:outlineLvl w:val="9"/>
        <w:rPr>
          <w:rFonts w:hint="eastAsia" w:ascii="宋体" w:hAnsi="宋体" w:eastAsia="宋体" w:cs="宋体"/>
          <w:b w:val="0"/>
          <w:bCs w:val="0"/>
          <w:sz w:val="21"/>
          <w:szCs w:val="21"/>
        </w:rPr>
      </w:pPr>
    </w:p>
    <w:p w14:paraId="62A89FAB">
      <w:pPr>
        <w:pStyle w:val="3"/>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14:paraId="0F01AE6F">
      <w:pPr>
        <w:spacing w:line="360" w:lineRule="auto"/>
        <w:ind w:firstLine="420" w:firstLineChars="200"/>
        <w:jc w:val="both"/>
        <w:rPr>
          <w:rFonts w:hint="eastAsia" w:ascii="宋体" w:hAnsi="宋体" w:eastAsia="宋体" w:cs="宋体"/>
          <w:szCs w:val="27"/>
        </w:rPr>
      </w:pPr>
    </w:p>
    <w:p w14:paraId="3324430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14:paraId="30BDF29F">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02448974">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637A6EA3">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项目名称：</w:t>
      </w:r>
    </w:p>
    <w:p w14:paraId="6515DB7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30065F96">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47271EAA">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74B3D523">
      <w:pPr>
        <w:spacing w:line="360" w:lineRule="auto"/>
        <w:ind w:firstLine="42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4"/>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53F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B9C9D6E">
            <w:pPr>
              <w:spacing w:line="360" w:lineRule="auto"/>
              <w:ind w:firstLine="42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14:paraId="0C8792D1">
            <w:pPr>
              <w:spacing w:line="360" w:lineRule="auto"/>
              <w:ind w:firstLine="42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14:paraId="40246673">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14:paraId="5504EACD">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14:paraId="69D1204C">
            <w:pPr>
              <w:spacing w:line="360" w:lineRule="auto"/>
              <w:ind w:firstLine="42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14:paraId="353A44F5">
            <w:pPr>
              <w:spacing w:line="360" w:lineRule="auto"/>
              <w:ind w:firstLine="42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14:paraId="6C70E9BC">
            <w:pPr>
              <w:spacing w:line="360" w:lineRule="auto"/>
              <w:ind w:firstLine="420" w:firstLineChars="200"/>
              <w:jc w:val="both"/>
              <w:rPr>
                <w:rFonts w:hint="eastAsia" w:ascii="宋体" w:hAnsi="宋体" w:eastAsia="宋体" w:cs="宋体"/>
              </w:rPr>
            </w:pPr>
            <w:r>
              <w:rPr>
                <w:rFonts w:hint="eastAsia" w:ascii="宋体" w:hAnsi="宋体" w:eastAsia="宋体" w:cs="宋体"/>
              </w:rPr>
              <w:t>备注</w:t>
            </w:r>
          </w:p>
        </w:tc>
      </w:tr>
      <w:tr w14:paraId="18BF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051676C0">
            <w:pPr>
              <w:spacing w:line="360" w:lineRule="auto"/>
              <w:ind w:firstLine="420" w:firstLineChars="200"/>
              <w:jc w:val="both"/>
              <w:rPr>
                <w:rFonts w:hint="eastAsia" w:ascii="宋体" w:hAnsi="宋体" w:eastAsia="宋体" w:cs="宋体"/>
              </w:rPr>
            </w:pPr>
          </w:p>
        </w:tc>
        <w:tc>
          <w:tcPr>
            <w:tcW w:w="1623" w:type="dxa"/>
            <w:noWrap w:val="0"/>
            <w:vAlign w:val="top"/>
          </w:tcPr>
          <w:p w14:paraId="6EF2C50C">
            <w:pPr>
              <w:spacing w:line="360" w:lineRule="auto"/>
              <w:ind w:firstLine="420" w:firstLineChars="200"/>
              <w:jc w:val="both"/>
              <w:rPr>
                <w:rFonts w:hint="eastAsia" w:ascii="宋体" w:hAnsi="宋体" w:eastAsia="宋体" w:cs="宋体"/>
              </w:rPr>
            </w:pPr>
          </w:p>
        </w:tc>
        <w:tc>
          <w:tcPr>
            <w:tcW w:w="902" w:type="dxa"/>
            <w:noWrap w:val="0"/>
            <w:vAlign w:val="top"/>
          </w:tcPr>
          <w:p w14:paraId="239EC728">
            <w:pPr>
              <w:spacing w:line="360" w:lineRule="auto"/>
              <w:ind w:firstLine="420" w:firstLineChars="200"/>
              <w:jc w:val="both"/>
              <w:rPr>
                <w:rFonts w:hint="eastAsia" w:ascii="宋体" w:hAnsi="宋体" w:eastAsia="宋体" w:cs="宋体"/>
              </w:rPr>
            </w:pPr>
          </w:p>
        </w:tc>
        <w:tc>
          <w:tcPr>
            <w:tcW w:w="902" w:type="dxa"/>
            <w:noWrap w:val="0"/>
            <w:vAlign w:val="top"/>
          </w:tcPr>
          <w:p w14:paraId="283CD36C">
            <w:pPr>
              <w:spacing w:line="360" w:lineRule="auto"/>
              <w:ind w:firstLine="420" w:firstLineChars="200"/>
              <w:jc w:val="both"/>
              <w:rPr>
                <w:rFonts w:hint="eastAsia" w:ascii="宋体" w:hAnsi="宋体" w:eastAsia="宋体" w:cs="宋体"/>
              </w:rPr>
            </w:pPr>
          </w:p>
        </w:tc>
        <w:tc>
          <w:tcPr>
            <w:tcW w:w="1071" w:type="dxa"/>
            <w:noWrap w:val="0"/>
            <w:vAlign w:val="top"/>
          </w:tcPr>
          <w:p w14:paraId="4DF8BCDC">
            <w:pPr>
              <w:spacing w:line="360" w:lineRule="auto"/>
              <w:ind w:firstLine="420" w:firstLineChars="200"/>
              <w:jc w:val="both"/>
              <w:rPr>
                <w:rFonts w:hint="eastAsia" w:ascii="宋体" w:hAnsi="宋体" w:eastAsia="宋体" w:cs="宋体"/>
              </w:rPr>
            </w:pPr>
          </w:p>
        </w:tc>
        <w:tc>
          <w:tcPr>
            <w:tcW w:w="1250" w:type="dxa"/>
            <w:noWrap w:val="0"/>
            <w:vAlign w:val="top"/>
          </w:tcPr>
          <w:p w14:paraId="62418A78">
            <w:pPr>
              <w:spacing w:line="360" w:lineRule="auto"/>
              <w:ind w:firstLine="420" w:firstLineChars="200"/>
              <w:jc w:val="both"/>
              <w:rPr>
                <w:rFonts w:hint="eastAsia" w:ascii="宋体" w:hAnsi="宋体" w:eastAsia="宋体" w:cs="宋体"/>
              </w:rPr>
            </w:pPr>
          </w:p>
        </w:tc>
        <w:tc>
          <w:tcPr>
            <w:tcW w:w="1106" w:type="dxa"/>
            <w:noWrap w:val="0"/>
            <w:vAlign w:val="top"/>
          </w:tcPr>
          <w:p w14:paraId="4579A4D3">
            <w:pPr>
              <w:spacing w:line="360" w:lineRule="auto"/>
              <w:ind w:firstLine="420" w:firstLineChars="200"/>
              <w:jc w:val="both"/>
              <w:rPr>
                <w:rFonts w:hint="eastAsia" w:ascii="宋体" w:hAnsi="宋体" w:eastAsia="宋体" w:cs="宋体"/>
              </w:rPr>
            </w:pPr>
          </w:p>
        </w:tc>
      </w:tr>
      <w:tr w14:paraId="24D1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BC01701">
            <w:pPr>
              <w:spacing w:line="360" w:lineRule="auto"/>
              <w:ind w:firstLine="420" w:firstLineChars="200"/>
              <w:jc w:val="both"/>
              <w:rPr>
                <w:rFonts w:hint="eastAsia" w:ascii="宋体" w:hAnsi="宋体" w:eastAsia="宋体" w:cs="宋体"/>
              </w:rPr>
            </w:pPr>
          </w:p>
        </w:tc>
        <w:tc>
          <w:tcPr>
            <w:tcW w:w="1623" w:type="dxa"/>
            <w:noWrap w:val="0"/>
            <w:vAlign w:val="top"/>
          </w:tcPr>
          <w:p w14:paraId="1A843B81">
            <w:pPr>
              <w:spacing w:line="360" w:lineRule="auto"/>
              <w:ind w:firstLine="420" w:firstLineChars="200"/>
              <w:jc w:val="both"/>
              <w:rPr>
                <w:rFonts w:hint="eastAsia" w:ascii="宋体" w:hAnsi="宋体" w:eastAsia="宋体" w:cs="宋体"/>
              </w:rPr>
            </w:pPr>
          </w:p>
        </w:tc>
        <w:tc>
          <w:tcPr>
            <w:tcW w:w="902" w:type="dxa"/>
            <w:noWrap w:val="0"/>
            <w:vAlign w:val="top"/>
          </w:tcPr>
          <w:p w14:paraId="48840DFD">
            <w:pPr>
              <w:spacing w:line="360" w:lineRule="auto"/>
              <w:ind w:firstLine="420" w:firstLineChars="200"/>
              <w:jc w:val="both"/>
              <w:rPr>
                <w:rFonts w:hint="eastAsia" w:ascii="宋体" w:hAnsi="宋体" w:eastAsia="宋体" w:cs="宋体"/>
              </w:rPr>
            </w:pPr>
          </w:p>
        </w:tc>
        <w:tc>
          <w:tcPr>
            <w:tcW w:w="902" w:type="dxa"/>
            <w:noWrap w:val="0"/>
            <w:vAlign w:val="top"/>
          </w:tcPr>
          <w:p w14:paraId="3B1A6E2C">
            <w:pPr>
              <w:spacing w:line="360" w:lineRule="auto"/>
              <w:ind w:firstLine="420" w:firstLineChars="200"/>
              <w:jc w:val="both"/>
              <w:rPr>
                <w:rFonts w:hint="eastAsia" w:ascii="宋体" w:hAnsi="宋体" w:eastAsia="宋体" w:cs="宋体"/>
              </w:rPr>
            </w:pPr>
          </w:p>
        </w:tc>
        <w:tc>
          <w:tcPr>
            <w:tcW w:w="1071" w:type="dxa"/>
            <w:noWrap w:val="0"/>
            <w:vAlign w:val="top"/>
          </w:tcPr>
          <w:p w14:paraId="7B165283">
            <w:pPr>
              <w:spacing w:line="360" w:lineRule="auto"/>
              <w:ind w:firstLine="420" w:firstLineChars="200"/>
              <w:jc w:val="both"/>
              <w:rPr>
                <w:rFonts w:hint="eastAsia" w:ascii="宋体" w:hAnsi="宋体" w:eastAsia="宋体" w:cs="宋体"/>
              </w:rPr>
            </w:pPr>
          </w:p>
        </w:tc>
        <w:tc>
          <w:tcPr>
            <w:tcW w:w="1250" w:type="dxa"/>
            <w:noWrap w:val="0"/>
            <w:vAlign w:val="top"/>
          </w:tcPr>
          <w:p w14:paraId="1DCC59EC">
            <w:pPr>
              <w:spacing w:line="360" w:lineRule="auto"/>
              <w:ind w:firstLine="420" w:firstLineChars="200"/>
              <w:jc w:val="both"/>
              <w:rPr>
                <w:rFonts w:hint="eastAsia" w:ascii="宋体" w:hAnsi="宋体" w:eastAsia="宋体" w:cs="宋体"/>
              </w:rPr>
            </w:pPr>
          </w:p>
        </w:tc>
        <w:tc>
          <w:tcPr>
            <w:tcW w:w="1106" w:type="dxa"/>
            <w:noWrap w:val="0"/>
            <w:vAlign w:val="top"/>
          </w:tcPr>
          <w:p w14:paraId="208E7B4E">
            <w:pPr>
              <w:spacing w:line="360" w:lineRule="auto"/>
              <w:ind w:firstLine="420" w:firstLineChars="200"/>
              <w:jc w:val="both"/>
              <w:rPr>
                <w:rFonts w:hint="eastAsia" w:ascii="宋体" w:hAnsi="宋体" w:eastAsia="宋体" w:cs="宋体"/>
              </w:rPr>
            </w:pPr>
          </w:p>
        </w:tc>
      </w:tr>
      <w:tr w14:paraId="107D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F6814AD">
            <w:pPr>
              <w:spacing w:line="360" w:lineRule="auto"/>
              <w:ind w:firstLine="420" w:firstLineChars="200"/>
              <w:jc w:val="both"/>
              <w:rPr>
                <w:rFonts w:hint="eastAsia" w:ascii="宋体" w:hAnsi="宋体" w:eastAsia="宋体" w:cs="宋体"/>
              </w:rPr>
            </w:pPr>
          </w:p>
        </w:tc>
        <w:tc>
          <w:tcPr>
            <w:tcW w:w="1623" w:type="dxa"/>
            <w:noWrap w:val="0"/>
            <w:vAlign w:val="top"/>
          </w:tcPr>
          <w:p w14:paraId="4D54CD15">
            <w:pPr>
              <w:spacing w:line="360" w:lineRule="auto"/>
              <w:ind w:firstLine="420" w:firstLineChars="200"/>
              <w:jc w:val="both"/>
              <w:rPr>
                <w:rFonts w:hint="eastAsia" w:ascii="宋体" w:hAnsi="宋体" w:eastAsia="宋体" w:cs="宋体"/>
              </w:rPr>
            </w:pPr>
          </w:p>
        </w:tc>
        <w:tc>
          <w:tcPr>
            <w:tcW w:w="902" w:type="dxa"/>
            <w:noWrap w:val="0"/>
            <w:vAlign w:val="top"/>
          </w:tcPr>
          <w:p w14:paraId="53EB9553">
            <w:pPr>
              <w:spacing w:line="360" w:lineRule="auto"/>
              <w:ind w:firstLine="420" w:firstLineChars="200"/>
              <w:jc w:val="both"/>
              <w:rPr>
                <w:rFonts w:hint="eastAsia" w:ascii="宋体" w:hAnsi="宋体" w:eastAsia="宋体" w:cs="宋体"/>
              </w:rPr>
            </w:pPr>
          </w:p>
        </w:tc>
        <w:tc>
          <w:tcPr>
            <w:tcW w:w="902" w:type="dxa"/>
            <w:noWrap w:val="0"/>
            <w:vAlign w:val="top"/>
          </w:tcPr>
          <w:p w14:paraId="4A955415">
            <w:pPr>
              <w:spacing w:line="360" w:lineRule="auto"/>
              <w:ind w:firstLine="420" w:firstLineChars="200"/>
              <w:jc w:val="both"/>
              <w:rPr>
                <w:rFonts w:hint="eastAsia" w:ascii="宋体" w:hAnsi="宋体" w:eastAsia="宋体" w:cs="宋体"/>
              </w:rPr>
            </w:pPr>
          </w:p>
        </w:tc>
        <w:tc>
          <w:tcPr>
            <w:tcW w:w="1071" w:type="dxa"/>
            <w:noWrap w:val="0"/>
            <w:vAlign w:val="top"/>
          </w:tcPr>
          <w:p w14:paraId="3A5B814D">
            <w:pPr>
              <w:spacing w:line="360" w:lineRule="auto"/>
              <w:ind w:firstLine="420" w:firstLineChars="200"/>
              <w:jc w:val="both"/>
              <w:rPr>
                <w:rFonts w:hint="eastAsia" w:ascii="宋体" w:hAnsi="宋体" w:eastAsia="宋体" w:cs="宋体"/>
              </w:rPr>
            </w:pPr>
          </w:p>
        </w:tc>
        <w:tc>
          <w:tcPr>
            <w:tcW w:w="1250" w:type="dxa"/>
            <w:noWrap w:val="0"/>
            <w:vAlign w:val="top"/>
          </w:tcPr>
          <w:p w14:paraId="3ACD3FCC">
            <w:pPr>
              <w:spacing w:line="360" w:lineRule="auto"/>
              <w:ind w:firstLine="420" w:firstLineChars="200"/>
              <w:jc w:val="both"/>
              <w:rPr>
                <w:rFonts w:hint="eastAsia" w:ascii="宋体" w:hAnsi="宋体" w:eastAsia="宋体" w:cs="宋体"/>
              </w:rPr>
            </w:pPr>
          </w:p>
        </w:tc>
        <w:tc>
          <w:tcPr>
            <w:tcW w:w="1106" w:type="dxa"/>
            <w:noWrap w:val="0"/>
            <w:vAlign w:val="top"/>
          </w:tcPr>
          <w:p w14:paraId="0B9C364A">
            <w:pPr>
              <w:spacing w:line="360" w:lineRule="auto"/>
              <w:ind w:firstLine="420" w:firstLineChars="200"/>
              <w:jc w:val="both"/>
              <w:rPr>
                <w:rFonts w:hint="eastAsia" w:ascii="宋体" w:hAnsi="宋体" w:eastAsia="宋体" w:cs="宋体"/>
              </w:rPr>
            </w:pPr>
          </w:p>
        </w:tc>
      </w:tr>
      <w:tr w14:paraId="14EB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31FBC605">
            <w:pPr>
              <w:spacing w:line="360" w:lineRule="auto"/>
              <w:ind w:firstLine="420" w:firstLineChars="200"/>
              <w:jc w:val="both"/>
              <w:rPr>
                <w:rFonts w:hint="eastAsia" w:ascii="宋体" w:hAnsi="宋体" w:eastAsia="宋体" w:cs="宋体"/>
              </w:rPr>
            </w:pPr>
            <w:r>
              <w:rPr>
                <w:rFonts w:hint="eastAsia" w:ascii="宋体" w:hAnsi="宋体" w:eastAsia="宋体" w:cs="宋体"/>
              </w:rPr>
              <w:t>合同总价款（大小写）：</w:t>
            </w:r>
          </w:p>
          <w:p w14:paraId="529411E4">
            <w:pPr>
              <w:spacing w:line="360" w:lineRule="auto"/>
              <w:ind w:firstLine="42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14:paraId="2B934AB8">
      <w:pPr>
        <w:spacing w:line="360" w:lineRule="auto"/>
        <w:ind w:firstLine="42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5ED16B48">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1F537D9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14:paraId="42C727BE">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483C23F9">
      <w:pPr>
        <w:spacing w:line="360" w:lineRule="auto"/>
        <w:ind w:firstLine="420" w:firstLineChars="200"/>
        <w:jc w:val="both"/>
        <w:outlineLvl w:val="0"/>
        <w:rPr>
          <w:rFonts w:hint="eastAsia" w:ascii="宋体" w:hAnsi="宋体" w:eastAsia="宋体" w:cs="宋体"/>
        </w:rPr>
      </w:pPr>
      <w:bookmarkStart w:id="103" w:name="_Toc32062"/>
      <w:r>
        <w:rPr>
          <w:rFonts w:hint="eastAsia" w:ascii="宋体" w:hAnsi="宋体" w:eastAsia="宋体" w:cs="宋体"/>
          <w:szCs w:val="27"/>
        </w:rPr>
        <w:t>1、服务方式：</w:t>
      </w:r>
      <w:bookmarkEnd w:id="103"/>
    </w:p>
    <w:p w14:paraId="72AEC770">
      <w:pPr>
        <w:spacing w:line="360" w:lineRule="auto"/>
        <w:ind w:firstLine="420" w:firstLineChars="200"/>
        <w:jc w:val="both"/>
        <w:outlineLvl w:val="0"/>
        <w:rPr>
          <w:rFonts w:hint="eastAsia" w:ascii="宋体" w:hAnsi="宋体" w:eastAsia="宋体" w:cs="宋体"/>
          <w:lang w:val="en-US"/>
        </w:rPr>
      </w:pPr>
      <w:bookmarkStart w:id="104" w:name="_Toc17588"/>
      <w:r>
        <w:rPr>
          <w:rFonts w:hint="eastAsia" w:ascii="宋体" w:hAnsi="宋体" w:eastAsia="宋体" w:cs="宋体"/>
          <w:lang w:val="en-US"/>
        </w:rPr>
        <w:t>2、服务方法：</w:t>
      </w:r>
      <w:bookmarkEnd w:id="104"/>
    </w:p>
    <w:p w14:paraId="5581F5C8">
      <w:pPr>
        <w:spacing w:line="360" w:lineRule="auto"/>
        <w:ind w:firstLine="420" w:firstLineChars="200"/>
        <w:jc w:val="both"/>
        <w:outlineLvl w:val="0"/>
        <w:rPr>
          <w:rFonts w:hint="eastAsia" w:ascii="宋体" w:hAnsi="宋体" w:eastAsia="宋体" w:cs="宋体"/>
          <w:szCs w:val="27"/>
        </w:rPr>
      </w:pPr>
      <w:bookmarkStart w:id="105" w:name="_Toc17310"/>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bookmarkEnd w:id="105"/>
    </w:p>
    <w:p w14:paraId="0BD37E31">
      <w:pPr>
        <w:spacing w:line="360" w:lineRule="auto"/>
        <w:ind w:firstLine="420" w:firstLineChars="200"/>
        <w:jc w:val="both"/>
        <w:outlineLvl w:val="0"/>
        <w:rPr>
          <w:rFonts w:hint="eastAsia" w:ascii="宋体" w:hAnsi="宋体" w:eastAsia="宋体" w:cs="宋体"/>
          <w:szCs w:val="27"/>
        </w:rPr>
      </w:pPr>
      <w:bookmarkStart w:id="106" w:name="_Toc4395"/>
      <w:r>
        <w:rPr>
          <w:rFonts w:hint="eastAsia" w:ascii="宋体" w:hAnsi="宋体" w:eastAsia="宋体" w:cs="宋体"/>
          <w:szCs w:val="27"/>
        </w:rPr>
        <w:t>3、服务期限：</w:t>
      </w:r>
      <w:bookmarkEnd w:id="106"/>
    </w:p>
    <w:p w14:paraId="12B8D663">
      <w:pPr>
        <w:spacing w:line="360" w:lineRule="auto"/>
        <w:ind w:firstLine="42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14:paraId="29E81983">
      <w:pPr>
        <w:pStyle w:val="10"/>
        <w:kinsoku w:val="0"/>
        <w:overflowPunct w:val="0"/>
        <w:spacing w:line="364" w:lineRule="auto"/>
        <w:ind w:left="0" w:firstLine="422" w:firstLineChars="200"/>
        <w:jc w:val="both"/>
        <w:outlineLvl w:val="0"/>
        <w:rPr>
          <w:rFonts w:hint="eastAsia" w:ascii="宋体" w:hAnsi="宋体" w:eastAsia="宋体" w:cs="宋体"/>
          <w:b/>
        </w:rPr>
      </w:pPr>
      <w:bookmarkStart w:id="107" w:name="_Toc11030"/>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bookmarkEnd w:id="107"/>
    </w:p>
    <w:p w14:paraId="00F78189">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113C41B1">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43D7A0CF">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072ED3AE">
      <w:pPr>
        <w:pStyle w:val="10"/>
        <w:kinsoku w:val="0"/>
        <w:overflowPunct w:val="0"/>
        <w:ind w:left="0" w:firstLine="422" w:firstLineChars="200"/>
        <w:jc w:val="both"/>
        <w:outlineLvl w:val="0"/>
        <w:rPr>
          <w:rFonts w:hint="eastAsia" w:ascii="宋体" w:hAnsi="宋体" w:eastAsia="宋体" w:cs="宋体"/>
          <w:b/>
        </w:rPr>
      </w:pPr>
      <w:bookmarkStart w:id="108" w:name="_Toc29003"/>
      <w:r>
        <w:rPr>
          <w:rFonts w:hint="eastAsia" w:ascii="宋体" w:hAnsi="宋体" w:eastAsia="宋体" w:cs="宋体"/>
          <w:b/>
          <w:sz w:val="21"/>
        </w:rPr>
        <w:t>(二)</w:t>
      </w:r>
      <w:r>
        <w:rPr>
          <w:rFonts w:hint="eastAsia" w:ascii="宋体" w:hAnsi="宋体" w:eastAsia="宋体" w:cs="宋体"/>
          <w:b/>
        </w:rPr>
        <w:t>费用支付方式：</w:t>
      </w:r>
      <w:bookmarkEnd w:id="108"/>
    </w:p>
    <w:p w14:paraId="7A46D5A2">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14:paraId="039BF791">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14:paraId="60DBE375">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14:paraId="322E3691">
      <w:pPr>
        <w:pStyle w:val="10"/>
        <w:kinsoku w:val="0"/>
        <w:overflowPunct w:val="0"/>
        <w:ind w:left="0" w:firstLine="42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14:paraId="7FA61B1D">
      <w:pPr>
        <w:spacing w:line="360" w:lineRule="auto"/>
        <w:ind w:firstLine="420" w:firstLineChars="200"/>
        <w:jc w:val="both"/>
        <w:rPr>
          <w:rFonts w:hint="eastAsia" w:ascii="宋体" w:hAnsi="宋体" w:eastAsia="宋体" w:cs="宋体"/>
        </w:rPr>
      </w:pPr>
      <w:r>
        <w:rPr>
          <w:rFonts w:hint="eastAsia" w:ascii="宋体" w:hAnsi="宋体" w:eastAsia="宋体" w:cs="宋体"/>
        </w:rPr>
        <w:t>本合同以人民币付款。</w:t>
      </w:r>
    </w:p>
    <w:p w14:paraId="290F6C5B">
      <w:pPr>
        <w:spacing w:line="360" w:lineRule="auto"/>
        <w:ind w:firstLine="420" w:firstLineChars="200"/>
        <w:jc w:val="both"/>
        <w:rPr>
          <w:rFonts w:hint="eastAsia" w:ascii="宋体" w:hAnsi="宋体" w:eastAsia="宋体" w:cs="宋体"/>
        </w:rPr>
      </w:pPr>
      <w:r>
        <w:rPr>
          <w:rFonts w:hint="eastAsia" w:ascii="宋体" w:hAnsi="宋体" w:eastAsia="宋体" w:cs="宋体"/>
        </w:rPr>
        <w:t>该项目是否实行预付款：</w:t>
      </w:r>
    </w:p>
    <w:p w14:paraId="13F49E1B">
      <w:pPr>
        <w:spacing w:line="360" w:lineRule="auto"/>
        <w:ind w:firstLine="420" w:firstLineChars="200"/>
        <w:jc w:val="both"/>
        <w:rPr>
          <w:rFonts w:hint="eastAsia" w:ascii="宋体" w:hAnsi="宋体" w:eastAsia="宋体" w:cs="宋体"/>
        </w:rPr>
      </w:pPr>
      <w:r>
        <w:rPr>
          <w:rFonts w:hint="eastAsia" w:ascii="宋体" w:hAnsi="宋体" w:eastAsia="宋体" w:cs="宋体"/>
        </w:rPr>
        <w:t>实行预付款的条件和比例：</w:t>
      </w:r>
    </w:p>
    <w:p w14:paraId="76AE9CD7">
      <w:pPr>
        <w:spacing w:line="360" w:lineRule="auto"/>
        <w:ind w:firstLine="42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14:paraId="7C47B954">
      <w:pPr>
        <w:spacing w:line="360" w:lineRule="auto"/>
        <w:ind w:firstLine="42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14:paraId="2241E7F9">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09" w:name="_Toc20409"/>
      <w:r>
        <w:rPr>
          <w:rFonts w:hint="eastAsia" w:ascii="宋体" w:hAnsi="宋体" w:eastAsia="宋体" w:cs="宋体"/>
          <w:b/>
          <w:bCs/>
          <w:kern w:val="2"/>
          <w:sz w:val="21"/>
          <w:szCs w:val="27"/>
          <w:lang w:val="en-US" w:eastAsia="zh-CN" w:bidi="ar-SA"/>
        </w:rPr>
        <w:t>第六条  验收方法</w:t>
      </w:r>
      <w:bookmarkEnd w:id="109"/>
    </w:p>
    <w:p w14:paraId="5373FFCA">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7B9D43D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73FC0AF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14:paraId="73D7E3C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14:paraId="23E808BB">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14:paraId="394393BD">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第七条 知识产权</w:t>
      </w:r>
    </w:p>
    <w:p w14:paraId="5B0DAA67">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724B932B">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0" w:name="_Toc6778"/>
      <w:r>
        <w:rPr>
          <w:rFonts w:hint="eastAsia" w:ascii="宋体" w:hAnsi="宋体" w:eastAsia="宋体" w:cs="宋体"/>
          <w:b/>
          <w:bCs/>
          <w:kern w:val="2"/>
          <w:sz w:val="21"/>
          <w:szCs w:val="27"/>
          <w:lang w:val="en-US" w:eastAsia="zh-CN" w:bidi="ar-SA"/>
        </w:rPr>
        <w:t>第八条 无产权瑕疵条款</w:t>
      </w:r>
      <w:bookmarkEnd w:id="110"/>
    </w:p>
    <w:p w14:paraId="3E8F277E">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68CC1FD3">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6B54D7C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270C135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14:paraId="4FD73D96">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14:paraId="6A155E1C">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1" w:name="_Toc23689"/>
      <w:r>
        <w:rPr>
          <w:rFonts w:hint="eastAsia" w:ascii="宋体" w:hAnsi="宋体" w:eastAsia="宋体" w:cs="宋体"/>
          <w:b/>
          <w:bCs/>
          <w:kern w:val="2"/>
          <w:sz w:val="21"/>
          <w:szCs w:val="27"/>
          <w:lang w:val="en-US" w:eastAsia="zh-CN" w:bidi="ar-SA"/>
        </w:rPr>
        <w:t>第十条 甲方的权利和义务</w:t>
      </w:r>
      <w:bookmarkEnd w:id="111"/>
    </w:p>
    <w:p w14:paraId="703B779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58C871D5">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14:paraId="71D2D2D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14:paraId="1C6AE252">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14:paraId="22FFA593">
      <w:pPr>
        <w:spacing w:line="360" w:lineRule="auto"/>
        <w:ind w:firstLine="42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14:paraId="3D2D95A1">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第十一条 乙方的权利和义务</w:t>
      </w:r>
    </w:p>
    <w:p w14:paraId="3FCEA85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14:paraId="295D488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14:paraId="09B4185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14:paraId="4E3B8ECE">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14:paraId="31DC2C0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14:paraId="3FE4B5E8">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第十二条 违约责任</w:t>
      </w:r>
    </w:p>
    <w:p w14:paraId="727F6DE5">
      <w:pPr>
        <w:pStyle w:val="10"/>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7D06F07D">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14:paraId="20E72CCC">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890611D">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1C155293">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14:paraId="0B71FDE4">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14:paraId="6A7BD85C">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625B193A">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14:paraId="67F1A865">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14:paraId="0EEB308C">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14:paraId="66372949">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2" w:name="_Toc29209"/>
      <w:r>
        <w:rPr>
          <w:rFonts w:hint="eastAsia" w:ascii="宋体" w:hAnsi="宋体" w:eastAsia="宋体" w:cs="宋体"/>
          <w:b/>
          <w:bCs/>
          <w:kern w:val="2"/>
          <w:sz w:val="21"/>
          <w:szCs w:val="27"/>
          <w:lang w:val="en-US" w:eastAsia="zh-CN" w:bidi="ar-SA"/>
        </w:rPr>
        <w:t>第十五条 不可抗力事件处理</w:t>
      </w:r>
      <w:bookmarkEnd w:id="112"/>
    </w:p>
    <w:p w14:paraId="04DB3189">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731E8D5">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505320A">
      <w:pPr>
        <w:pStyle w:val="2"/>
        <w:kinsoku w:val="0"/>
        <w:overflowPunct w:val="0"/>
        <w:ind w:left="0" w:firstLine="422" w:firstLineChars="200"/>
        <w:jc w:val="both"/>
        <w:rPr>
          <w:rFonts w:hint="eastAsia" w:ascii="宋体" w:hAnsi="宋体" w:eastAsia="宋体" w:cs="宋体"/>
          <w:b/>
          <w:bCs/>
          <w:kern w:val="2"/>
          <w:sz w:val="21"/>
          <w:szCs w:val="27"/>
          <w:lang w:val="en-US" w:eastAsia="zh-CN" w:bidi="ar-SA"/>
        </w:rPr>
      </w:pPr>
      <w:bookmarkStart w:id="113" w:name="_Toc5664"/>
      <w:r>
        <w:rPr>
          <w:rFonts w:hint="eastAsia" w:ascii="宋体" w:hAnsi="宋体" w:eastAsia="宋体" w:cs="宋体"/>
          <w:b/>
          <w:bCs/>
          <w:kern w:val="2"/>
          <w:sz w:val="21"/>
          <w:szCs w:val="27"/>
          <w:lang w:val="en-US" w:eastAsia="zh-CN" w:bidi="ar-SA"/>
        </w:rPr>
        <w:t>第十六条 合同纠纷调处</w:t>
      </w:r>
      <w:bookmarkEnd w:id="113"/>
    </w:p>
    <w:p w14:paraId="2F214A3B">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46AAAFD4">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14:paraId="24ACDA8D">
      <w:pPr>
        <w:pStyle w:val="2"/>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bookmarkStart w:id="114" w:name="_Toc21522"/>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bookmarkEnd w:id="114"/>
    </w:p>
    <w:p w14:paraId="03CCA49C">
      <w:pPr>
        <w:spacing w:line="360" w:lineRule="auto"/>
        <w:ind w:firstLine="42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14:paraId="55109D71">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6BC866C">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份，自双方当事人签字盖章之日起生效。</w:t>
      </w:r>
    </w:p>
    <w:p w14:paraId="667F2CC1">
      <w:pPr>
        <w:spacing w:line="360" w:lineRule="auto"/>
        <w:ind w:firstLine="420" w:firstLineChars="200"/>
        <w:jc w:val="both"/>
        <w:rPr>
          <w:rFonts w:hint="eastAsia" w:ascii="宋体" w:hAnsi="宋体" w:eastAsia="宋体" w:cs="宋体"/>
          <w:szCs w:val="27"/>
        </w:rPr>
      </w:pPr>
    </w:p>
    <w:p w14:paraId="43B2FB7C">
      <w:pPr>
        <w:pStyle w:val="40"/>
        <w:ind w:firstLine="240"/>
        <w:rPr>
          <w:rFonts w:hint="eastAsia" w:ascii="宋体" w:hAnsi="宋体" w:eastAsia="宋体" w:cs="宋体"/>
        </w:rPr>
      </w:pPr>
    </w:p>
    <w:p w14:paraId="53995688">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14:paraId="56997ACB">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地址：                               地址：</w:t>
      </w:r>
    </w:p>
    <w:p w14:paraId="1582EC6A">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2A9CD7E6">
      <w:pPr>
        <w:spacing w:line="360" w:lineRule="auto"/>
        <w:ind w:firstLine="42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14:paraId="176A7E9E">
      <w:pPr>
        <w:spacing w:line="360" w:lineRule="auto"/>
        <w:ind w:firstLine="420" w:firstLineChars="200"/>
        <w:jc w:val="both"/>
        <w:rPr>
          <w:rFonts w:hint="eastAsia" w:ascii="宋体" w:hAnsi="宋体" w:eastAsia="宋体" w:cs="宋体"/>
        </w:rPr>
      </w:pPr>
      <w:r>
        <w:rPr>
          <w:rFonts w:hint="eastAsia" w:ascii="宋体" w:hAnsi="宋体" w:eastAsia="宋体" w:cs="宋体"/>
        </w:rPr>
        <w:t>电话：                               电话：</w:t>
      </w:r>
    </w:p>
    <w:p w14:paraId="1F6951A2">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3227C47C">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账号：                               账号：</w:t>
      </w:r>
    </w:p>
    <w:p w14:paraId="06CE416B">
      <w:pPr>
        <w:spacing w:line="640" w:lineRule="exact"/>
        <w:ind w:firstLine="420" w:firstLineChars="200"/>
        <w:jc w:val="both"/>
        <w:rPr>
          <w:rFonts w:hint="eastAsia" w:ascii="宋体" w:hAnsi="宋体" w:eastAsia="宋体" w:cs="宋体"/>
          <w:szCs w:val="27"/>
          <w:u w:val="single"/>
        </w:rPr>
      </w:pPr>
    </w:p>
    <w:p w14:paraId="06878C86">
      <w:pPr>
        <w:pStyle w:val="40"/>
        <w:ind w:firstLine="321"/>
        <w:jc w:val="center"/>
        <w:outlineLvl w:val="0"/>
        <w:rPr>
          <w:rFonts w:hint="eastAsia"/>
          <w:b/>
          <w:sz w:val="32"/>
          <w:szCs w:val="32"/>
        </w:rPr>
      </w:pPr>
      <w:bookmarkStart w:id="115" w:name="_Toc21400"/>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bookmarkEnd w:id="115"/>
    </w:p>
    <w:p w14:paraId="11ED1664">
      <w:pPr>
        <w:spacing w:line="640" w:lineRule="exact"/>
        <w:ind w:firstLine="1155" w:firstLineChars="550"/>
        <w:jc w:val="both"/>
        <w:rPr>
          <w:rFonts w:hint="eastAsia"/>
          <w:szCs w:val="27"/>
        </w:rPr>
      </w:pPr>
    </w:p>
    <w:p w14:paraId="76CB03BD">
      <w:pPr>
        <w:spacing w:line="640" w:lineRule="exact"/>
        <w:ind w:firstLine="1155" w:firstLineChars="550"/>
        <w:jc w:val="both"/>
        <w:rPr>
          <w:rFonts w:hint="eastAsia"/>
          <w:szCs w:val="27"/>
        </w:rPr>
      </w:pPr>
    </w:p>
    <w:p w14:paraId="4FFCEADA">
      <w:pPr>
        <w:spacing w:line="640" w:lineRule="exact"/>
        <w:ind w:firstLine="1155" w:firstLineChars="550"/>
        <w:jc w:val="both"/>
        <w:rPr>
          <w:rFonts w:hint="eastAsia"/>
          <w:szCs w:val="27"/>
        </w:rPr>
      </w:pPr>
    </w:p>
    <w:p w14:paraId="5EC8E43D">
      <w:pPr>
        <w:spacing w:line="640" w:lineRule="exact"/>
        <w:ind w:firstLine="1155" w:firstLineChars="550"/>
        <w:jc w:val="both"/>
        <w:rPr>
          <w:rFonts w:hint="eastAsia"/>
          <w:szCs w:val="27"/>
        </w:rPr>
      </w:pPr>
    </w:p>
    <w:p w14:paraId="1C035CE1">
      <w:pPr>
        <w:spacing w:line="640" w:lineRule="exact"/>
        <w:ind w:firstLine="1155" w:firstLineChars="550"/>
        <w:jc w:val="both"/>
        <w:rPr>
          <w:rFonts w:ascii="仿宋_GB2312" w:hAnsi="方正小标宋简体" w:eastAsia="仿宋_GB2312" w:cs="方正小标宋简体"/>
          <w:sz w:val="32"/>
          <w:szCs w:val="32"/>
          <w:lang w:val="en-US"/>
        </w:rPr>
      </w:pPr>
      <w:r>
        <w:rPr>
          <w:rFonts w:hint="eastAsia"/>
          <w:szCs w:val="27"/>
        </w:rPr>
        <w:t xml:space="preserve">  </w:t>
      </w:r>
    </w:p>
    <w:p w14:paraId="7D32A94F">
      <w:pPr>
        <w:adjustRightInd w:val="0"/>
        <w:spacing w:line="360" w:lineRule="auto"/>
        <w:jc w:val="center"/>
        <w:rPr>
          <w:b/>
          <w:bCs/>
          <w:sz w:val="32"/>
          <w:szCs w:val="32"/>
        </w:rPr>
      </w:pPr>
    </w:p>
    <w:p w14:paraId="4F576BD0">
      <w:pPr>
        <w:adjustRightInd w:val="0"/>
        <w:spacing w:line="320" w:lineRule="exact"/>
        <w:rPr>
          <w:rFonts w:ascii="仿宋_GB2312" w:eastAsia="仿宋_GB2312" w:cs="仿宋_GB2312"/>
          <w:sz w:val="24"/>
          <w:szCs w:val="24"/>
        </w:rPr>
      </w:pPr>
    </w:p>
    <w:p w14:paraId="265AB256">
      <w:pPr>
        <w:spacing w:before="62"/>
        <w:ind w:left="218"/>
        <w:rPr>
          <w:sz w:val="28"/>
        </w:rPr>
      </w:pPr>
    </w:p>
    <w:p w14:paraId="6BF9B960">
      <w:pPr>
        <w:pStyle w:val="40"/>
        <w:rPr>
          <w:sz w:val="28"/>
        </w:rPr>
      </w:pPr>
    </w:p>
    <w:p w14:paraId="39DD31C2">
      <w:pPr>
        <w:pStyle w:val="40"/>
        <w:rPr>
          <w:sz w:val="28"/>
        </w:rPr>
      </w:pPr>
    </w:p>
    <w:p w14:paraId="1B4137B8">
      <w:pPr>
        <w:adjustRightInd w:val="0"/>
        <w:spacing w:line="320" w:lineRule="exact"/>
        <w:ind w:firstLine="6120" w:firstLineChars="2550"/>
        <w:rPr>
          <w:rFonts w:ascii="仿宋_GB2312" w:eastAsia="仿宋_GB2312" w:cs="仿宋_GB2312"/>
          <w:sz w:val="24"/>
          <w:szCs w:val="24"/>
        </w:rPr>
      </w:pPr>
    </w:p>
    <w:p w14:paraId="70595773">
      <w:pPr>
        <w:adjustRightInd w:val="0"/>
        <w:spacing w:line="320" w:lineRule="exact"/>
        <w:ind w:firstLine="6120" w:firstLineChars="2550"/>
        <w:rPr>
          <w:rFonts w:ascii="仿宋_GB2312" w:eastAsia="仿宋_GB2312" w:cs="仿宋_GB2312"/>
          <w:sz w:val="24"/>
          <w:szCs w:val="24"/>
        </w:rPr>
      </w:pPr>
    </w:p>
    <w:p w14:paraId="7DA68BAA">
      <w:pPr>
        <w:adjustRightInd w:val="0"/>
        <w:spacing w:line="320" w:lineRule="exact"/>
        <w:ind w:firstLine="6120" w:firstLineChars="2550"/>
        <w:rPr>
          <w:rFonts w:ascii="仿宋_GB2312" w:eastAsia="仿宋_GB2312" w:cs="仿宋_GB2312"/>
          <w:sz w:val="24"/>
          <w:szCs w:val="24"/>
        </w:rPr>
      </w:pPr>
    </w:p>
    <w:p w14:paraId="308CA48B">
      <w:pPr>
        <w:rPr>
          <w:rFonts w:hint="eastAsia"/>
          <w:b/>
          <w:sz w:val="32"/>
          <w:szCs w:val="32"/>
          <w:lang w:val="en-US" w:eastAsia="zh-CN"/>
        </w:rPr>
      </w:pPr>
      <w:r>
        <w:rPr>
          <w:rFonts w:hint="eastAsia"/>
          <w:b/>
          <w:sz w:val="32"/>
          <w:szCs w:val="32"/>
          <w:lang w:val="en-US" w:eastAsia="zh-CN"/>
        </w:rPr>
        <w:br w:type="page"/>
      </w:r>
    </w:p>
    <w:p w14:paraId="7DEF002A">
      <w:pPr>
        <w:pStyle w:val="40"/>
        <w:ind w:firstLine="321"/>
        <w:jc w:val="both"/>
        <w:rPr>
          <w:b/>
          <w:sz w:val="32"/>
          <w:szCs w:val="32"/>
        </w:rPr>
      </w:pPr>
      <w:r>
        <w:rPr>
          <w:rFonts w:hint="eastAsia"/>
          <w:b/>
          <w:sz w:val="32"/>
          <w:szCs w:val="32"/>
          <w:lang w:val="en-US" w:eastAsia="zh-CN"/>
        </w:rPr>
        <w:t xml:space="preserve">附件五 </w:t>
      </w:r>
      <w:r>
        <w:rPr>
          <w:rFonts w:hint="eastAsia"/>
          <w:b/>
          <w:sz w:val="32"/>
          <w:szCs w:val="32"/>
        </w:rPr>
        <w:t>周口市政府采购合同融资政策告知函</w:t>
      </w:r>
    </w:p>
    <w:p w14:paraId="2E3237CB">
      <w:pPr>
        <w:pStyle w:val="40"/>
        <w:ind w:firstLine="240"/>
        <w:rPr>
          <w:rFonts w:ascii="宋体" w:hAnsi="宋体" w:eastAsia="宋体"/>
          <w:sz w:val="24"/>
          <w:szCs w:val="24"/>
        </w:rPr>
      </w:pPr>
    </w:p>
    <w:p w14:paraId="7CC55C9C">
      <w:pPr>
        <w:pStyle w:val="40"/>
        <w:ind w:firstLine="240"/>
        <w:rPr>
          <w:rFonts w:ascii="宋体" w:hAnsi="宋体" w:eastAsia="宋体"/>
          <w:sz w:val="24"/>
        </w:rPr>
      </w:pPr>
    </w:p>
    <w:p w14:paraId="552FB5DA">
      <w:pPr>
        <w:pStyle w:val="40"/>
        <w:ind w:firstLine="240"/>
        <w:rPr>
          <w:rFonts w:ascii="宋体" w:hAnsi="宋体" w:eastAsia="宋体"/>
          <w:sz w:val="24"/>
        </w:rPr>
      </w:pPr>
    </w:p>
    <w:p w14:paraId="07BB2777">
      <w:pPr>
        <w:pStyle w:val="40"/>
        <w:ind w:firstLine="240"/>
        <w:rPr>
          <w:rFonts w:ascii="宋体" w:hAnsi="宋体" w:eastAsia="宋体"/>
          <w:sz w:val="24"/>
        </w:rPr>
      </w:pPr>
      <w:r>
        <w:rPr>
          <w:rFonts w:hint="eastAsia" w:ascii="宋体" w:hAnsi="宋体" w:eastAsia="宋体"/>
          <w:sz w:val="24"/>
        </w:rPr>
        <w:t>各供应商：</w:t>
      </w:r>
    </w:p>
    <w:p w14:paraId="5C8A1DB7">
      <w:pPr>
        <w:pStyle w:val="40"/>
        <w:ind w:firstLine="240"/>
        <w:rPr>
          <w:rFonts w:ascii="宋体" w:hAnsi="宋体" w:eastAsia="宋体"/>
          <w:sz w:val="24"/>
        </w:rPr>
      </w:pPr>
      <w:r>
        <w:rPr>
          <w:rFonts w:hint="eastAsia" w:ascii="宋体" w:hAnsi="宋体" w:eastAsia="宋体"/>
          <w:sz w:val="24"/>
        </w:rPr>
        <w:t>欢迎贵公司参与周口市政府采购活动！</w:t>
      </w:r>
    </w:p>
    <w:p w14:paraId="03BA5A19">
      <w:pPr>
        <w:pStyle w:val="40"/>
        <w:ind w:firstLine="240"/>
        <w:rPr>
          <w:rFonts w:ascii="宋体" w:hAnsi="宋体" w:eastAsia="宋体"/>
          <w:sz w:val="24"/>
        </w:rPr>
      </w:pPr>
      <w:r>
        <w:rPr>
          <w:rFonts w:hint="eastAsia" w:ascii="宋体" w:hAnsi="宋体" w:eastAsia="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8AFCEC2">
      <w:pPr>
        <w:pStyle w:val="40"/>
        <w:ind w:firstLine="240"/>
        <w:rPr>
          <w:rFonts w:ascii="宋体" w:hAnsi="宋体" w:eastAsia="宋体"/>
          <w:sz w:val="24"/>
        </w:rPr>
      </w:pPr>
      <w:r>
        <w:rPr>
          <w:rFonts w:hint="eastAsia" w:ascii="宋体" w:hAnsi="宋体" w:eastAsia="宋体"/>
          <w:sz w:val="24"/>
        </w:rPr>
        <w:t>贷款渠道和提供贷款的金融机构，可在河南省政府采购网“河南省政府采购合同融资平台”查询联系。</w:t>
      </w:r>
    </w:p>
    <w:p w14:paraId="184A54E3">
      <w:pPr>
        <w:pStyle w:val="40"/>
        <w:rPr>
          <w:rFonts w:hint="eastAsia"/>
          <w:lang w:val="en-US" w:eastAsia="zh-CN"/>
        </w:rPr>
      </w:pPr>
    </w:p>
    <w:p w14:paraId="764759DB">
      <w:pPr>
        <w:rPr>
          <w:rFonts w:hint="eastAsia" w:ascii="宋体" w:hAnsi="宋体"/>
          <w:sz w:val="28"/>
          <w:szCs w:val="28"/>
        </w:rPr>
      </w:pPr>
    </w:p>
    <w:p w14:paraId="460A6B5C">
      <w:pPr>
        <w:pStyle w:val="40"/>
        <w:ind w:firstLine="321"/>
        <w:jc w:val="center"/>
        <w:outlineLvl w:val="0"/>
        <w:rPr>
          <w:rFonts w:hint="eastAsia" w:ascii="宋体" w:hAnsi="宋体" w:eastAsia="宋体" w:cs="宋体"/>
          <w:kern w:val="2"/>
          <w:sz w:val="21"/>
          <w:szCs w:val="27"/>
          <w:u w:val="single"/>
          <w:lang w:val="en-US" w:eastAsia="zh-CN" w:bidi="ar-SA"/>
        </w:rPr>
      </w:pPr>
    </w:p>
    <w:p w14:paraId="0F0F1639">
      <w:pPr>
        <w:pStyle w:val="40"/>
        <w:ind w:firstLine="321"/>
        <w:jc w:val="center"/>
        <w:outlineLvl w:val="0"/>
        <w:rPr>
          <w:rFonts w:hint="eastAsia" w:ascii="宋体" w:hAnsi="宋体" w:eastAsia="宋体" w:cs="宋体"/>
          <w:kern w:val="2"/>
          <w:sz w:val="21"/>
          <w:szCs w:val="27"/>
          <w:u w:val="single"/>
          <w:lang w:val="en-US" w:eastAsia="zh-CN" w:bidi="ar-SA"/>
        </w:rPr>
      </w:pPr>
    </w:p>
    <w:p w14:paraId="3FE8188C">
      <w:pPr>
        <w:pStyle w:val="40"/>
        <w:ind w:firstLine="321"/>
        <w:jc w:val="center"/>
        <w:outlineLvl w:val="0"/>
        <w:rPr>
          <w:rFonts w:hint="eastAsia" w:ascii="宋体" w:hAnsi="宋体" w:eastAsia="宋体" w:cs="宋体"/>
          <w:kern w:val="2"/>
          <w:sz w:val="21"/>
          <w:szCs w:val="27"/>
          <w:u w:val="single"/>
          <w:lang w:val="en-US" w:eastAsia="zh-CN" w:bidi="ar-SA"/>
        </w:rPr>
      </w:pPr>
    </w:p>
    <w:p w14:paraId="0B9EBE2E">
      <w:pPr>
        <w:pStyle w:val="40"/>
        <w:ind w:firstLine="321"/>
        <w:jc w:val="center"/>
        <w:outlineLvl w:val="0"/>
        <w:rPr>
          <w:rFonts w:hint="eastAsia" w:ascii="宋体" w:hAnsi="宋体" w:eastAsia="宋体" w:cs="宋体"/>
          <w:kern w:val="2"/>
          <w:sz w:val="21"/>
          <w:szCs w:val="27"/>
          <w:u w:val="single"/>
          <w:lang w:val="en-US" w:eastAsia="zh-CN" w:bidi="ar-SA"/>
        </w:rPr>
      </w:pPr>
    </w:p>
    <w:p w14:paraId="4D6F8440">
      <w:pPr>
        <w:pStyle w:val="40"/>
        <w:ind w:firstLine="321"/>
        <w:jc w:val="center"/>
        <w:outlineLvl w:val="0"/>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EC57AD-F95C-4965-84FD-A2C817E2CF5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embedRegular r:id="rId2" w:fontKey="{E5A0F589-0D26-4697-9DF6-8649A903B728}"/>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2B4C6BA2-1FCD-4874-BE16-F0F8080CB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1B34">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6</w:t>
    </w:r>
    <w:r>
      <w:fldChar w:fldCharType="end"/>
    </w:r>
  </w:p>
  <w:p w14:paraId="01481FE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3BD1">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22</w:t>
    </w:r>
    <w:r>
      <w:fldChar w:fldCharType="end"/>
    </w:r>
  </w:p>
  <w:p w14:paraId="217C1C86">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F380F"/>
    <w:multiLevelType w:val="multilevel"/>
    <w:tmpl w:val="6A4F380F"/>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48"/>
      <w:lvlText w:val="%1.%2.%3"/>
      <w:lvlJc w:val="left"/>
      <w:pPr>
        <w:ind w:left="567" w:hanging="567"/>
      </w:pPr>
      <w:rPr>
        <w:rFonts w:hint="eastAsia"/>
      </w:rPr>
    </w:lvl>
    <w:lvl w:ilvl="3" w:tentative="0">
      <w:start w:val="1"/>
      <w:numFmt w:val="decimal"/>
      <w:pStyle w:val="50"/>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1209B"/>
    <w:rsid w:val="00046ED0"/>
    <w:rsid w:val="00047692"/>
    <w:rsid w:val="00055E1B"/>
    <w:rsid w:val="000565BC"/>
    <w:rsid w:val="000A0DA4"/>
    <w:rsid w:val="000B5968"/>
    <w:rsid w:val="000B7F4B"/>
    <w:rsid w:val="000C0EC5"/>
    <w:rsid w:val="000D4F0B"/>
    <w:rsid w:val="001210EE"/>
    <w:rsid w:val="00122229"/>
    <w:rsid w:val="00126C9B"/>
    <w:rsid w:val="00130735"/>
    <w:rsid w:val="00164818"/>
    <w:rsid w:val="0016551F"/>
    <w:rsid w:val="001735A8"/>
    <w:rsid w:val="001736E8"/>
    <w:rsid w:val="00186956"/>
    <w:rsid w:val="0019591A"/>
    <w:rsid w:val="001C177D"/>
    <w:rsid w:val="001C6114"/>
    <w:rsid w:val="002047AA"/>
    <w:rsid w:val="00212F00"/>
    <w:rsid w:val="0021736C"/>
    <w:rsid w:val="002221FD"/>
    <w:rsid w:val="0022749D"/>
    <w:rsid w:val="002334E1"/>
    <w:rsid w:val="00245736"/>
    <w:rsid w:val="00286776"/>
    <w:rsid w:val="00286C46"/>
    <w:rsid w:val="002A10E5"/>
    <w:rsid w:val="002B35FC"/>
    <w:rsid w:val="002C0AD4"/>
    <w:rsid w:val="002C5D4C"/>
    <w:rsid w:val="002C70C6"/>
    <w:rsid w:val="002C742A"/>
    <w:rsid w:val="002C79BF"/>
    <w:rsid w:val="002D472E"/>
    <w:rsid w:val="0030038C"/>
    <w:rsid w:val="00300410"/>
    <w:rsid w:val="003007E7"/>
    <w:rsid w:val="00341199"/>
    <w:rsid w:val="0036326D"/>
    <w:rsid w:val="003737FD"/>
    <w:rsid w:val="0037789D"/>
    <w:rsid w:val="00377E63"/>
    <w:rsid w:val="003818A7"/>
    <w:rsid w:val="003A746C"/>
    <w:rsid w:val="003B0404"/>
    <w:rsid w:val="003D7B5E"/>
    <w:rsid w:val="003E49CA"/>
    <w:rsid w:val="004032A0"/>
    <w:rsid w:val="0040361F"/>
    <w:rsid w:val="00405D62"/>
    <w:rsid w:val="00422CF1"/>
    <w:rsid w:val="00424E06"/>
    <w:rsid w:val="0043330A"/>
    <w:rsid w:val="00440AE3"/>
    <w:rsid w:val="00440D72"/>
    <w:rsid w:val="0044425D"/>
    <w:rsid w:val="00445C5E"/>
    <w:rsid w:val="00461A89"/>
    <w:rsid w:val="00473353"/>
    <w:rsid w:val="00476C06"/>
    <w:rsid w:val="00484092"/>
    <w:rsid w:val="004A5630"/>
    <w:rsid w:val="004C10E4"/>
    <w:rsid w:val="004C7C12"/>
    <w:rsid w:val="004D52E1"/>
    <w:rsid w:val="004E311D"/>
    <w:rsid w:val="004E353E"/>
    <w:rsid w:val="004E70DD"/>
    <w:rsid w:val="00502207"/>
    <w:rsid w:val="0050647C"/>
    <w:rsid w:val="005142FE"/>
    <w:rsid w:val="00521911"/>
    <w:rsid w:val="005261F8"/>
    <w:rsid w:val="0052725D"/>
    <w:rsid w:val="00533FFB"/>
    <w:rsid w:val="00537874"/>
    <w:rsid w:val="00542124"/>
    <w:rsid w:val="005575C0"/>
    <w:rsid w:val="005746EE"/>
    <w:rsid w:val="00576E37"/>
    <w:rsid w:val="00590C0E"/>
    <w:rsid w:val="00591769"/>
    <w:rsid w:val="0059632E"/>
    <w:rsid w:val="005A10AB"/>
    <w:rsid w:val="00606510"/>
    <w:rsid w:val="00625D92"/>
    <w:rsid w:val="006409EA"/>
    <w:rsid w:val="006442EB"/>
    <w:rsid w:val="00644602"/>
    <w:rsid w:val="0065487D"/>
    <w:rsid w:val="00656441"/>
    <w:rsid w:val="00664760"/>
    <w:rsid w:val="00667139"/>
    <w:rsid w:val="006724E0"/>
    <w:rsid w:val="00686D92"/>
    <w:rsid w:val="00695348"/>
    <w:rsid w:val="006B2FD6"/>
    <w:rsid w:val="006B479D"/>
    <w:rsid w:val="006C0BEB"/>
    <w:rsid w:val="006C51FD"/>
    <w:rsid w:val="006D0201"/>
    <w:rsid w:val="006D4A76"/>
    <w:rsid w:val="006E4829"/>
    <w:rsid w:val="006F368B"/>
    <w:rsid w:val="006F54A0"/>
    <w:rsid w:val="006F5AD3"/>
    <w:rsid w:val="00707BD4"/>
    <w:rsid w:val="00710A9F"/>
    <w:rsid w:val="00711DDA"/>
    <w:rsid w:val="00721E54"/>
    <w:rsid w:val="00722D12"/>
    <w:rsid w:val="00724A25"/>
    <w:rsid w:val="0072649B"/>
    <w:rsid w:val="007421CD"/>
    <w:rsid w:val="00752140"/>
    <w:rsid w:val="00760C26"/>
    <w:rsid w:val="007772FC"/>
    <w:rsid w:val="00785CF3"/>
    <w:rsid w:val="007A282A"/>
    <w:rsid w:val="007A6F00"/>
    <w:rsid w:val="007B3050"/>
    <w:rsid w:val="007B5D9B"/>
    <w:rsid w:val="007C25AB"/>
    <w:rsid w:val="007E6768"/>
    <w:rsid w:val="00801B95"/>
    <w:rsid w:val="0080588D"/>
    <w:rsid w:val="00813DC1"/>
    <w:rsid w:val="00830B4D"/>
    <w:rsid w:val="008311A9"/>
    <w:rsid w:val="00845A0F"/>
    <w:rsid w:val="008521D7"/>
    <w:rsid w:val="008815FF"/>
    <w:rsid w:val="00881A21"/>
    <w:rsid w:val="008838F6"/>
    <w:rsid w:val="00884418"/>
    <w:rsid w:val="008876FF"/>
    <w:rsid w:val="008902A1"/>
    <w:rsid w:val="0089456A"/>
    <w:rsid w:val="0089546A"/>
    <w:rsid w:val="008A66CE"/>
    <w:rsid w:val="008D16EA"/>
    <w:rsid w:val="008D4702"/>
    <w:rsid w:val="008E1C8F"/>
    <w:rsid w:val="00910893"/>
    <w:rsid w:val="00916A36"/>
    <w:rsid w:val="00925583"/>
    <w:rsid w:val="00932578"/>
    <w:rsid w:val="00950B51"/>
    <w:rsid w:val="0095281F"/>
    <w:rsid w:val="00960F7C"/>
    <w:rsid w:val="009640B4"/>
    <w:rsid w:val="00965972"/>
    <w:rsid w:val="00971457"/>
    <w:rsid w:val="0097735D"/>
    <w:rsid w:val="00980577"/>
    <w:rsid w:val="00982FE9"/>
    <w:rsid w:val="00993E25"/>
    <w:rsid w:val="0099496A"/>
    <w:rsid w:val="009A7634"/>
    <w:rsid w:val="009A7F9E"/>
    <w:rsid w:val="009B142F"/>
    <w:rsid w:val="009B27AF"/>
    <w:rsid w:val="009B6B39"/>
    <w:rsid w:val="009B7AF0"/>
    <w:rsid w:val="009F3BB0"/>
    <w:rsid w:val="00A01B08"/>
    <w:rsid w:val="00A04539"/>
    <w:rsid w:val="00A2216C"/>
    <w:rsid w:val="00A23D7C"/>
    <w:rsid w:val="00A27E5C"/>
    <w:rsid w:val="00A379A9"/>
    <w:rsid w:val="00A4045D"/>
    <w:rsid w:val="00A46B7F"/>
    <w:rsid w:val="00A5705A"/>
    <w:rsid w:val="00A60601"/>
    <w:rsid w:val="00A8226B"/>
    <w:rsid w:val="00A856B6"/>
    <w:rsid w:val="00A859F5"/>
    <w:rsid w:val="00A8679E"/>
    <w:rsid w:val="00A91C2A"/>
    <w:rsid w:val="00AA0126"/>
    <w:rsid w:val="00AB0299"/>
    <w:rsid w:val="00AB1D0C"/>
    <w:rsid w:val="00AB6327"/>
    <w:rsid w:val="00AB7390"/>
    <w:rsid w:val="00AD278B"/>
    <w:rsid w:val="00AF2446"/>
    <w:rsid w:val="00B027E6"/>
    <w:rsid w:val="00B258CF"/>
    <w:rsid w:val="00B25BB7"/>
    <w:rsid w:val="00B25F29"/>
    <w:rsid w:val="00B26D83"/>
    <w:rsid w:val="00B304FA"/>
    <w:rsid w:val="00B35EE8"/>
    <w:rsid w:val="00B53EF8"/>
    <w:rsid w:val="00B65AF7"/>
    <w:rsid w:val="00B66E4A"/>
    <w:rsid w:val="00B757D6"/>
    <w:rsid w:val="00B87E64"/>
    <w:rsid w:val="00BA7621"/>
    <w:rsid w:val="00BA7EC5"/>
    <w:rsid w:val="00BC1FBD"/>
    <w:rsid w:val="00BE1FE4"/>
    <w:rsid w:val="00C0282C"/>
    <w:rsid w:val="00C067E9"/>
    <w:rsid w:val="00C06899"/>
    <w:rsid w:val="00C376F4"/>
    <w:rsid w:val="00C43A19"/>
    <w:rsid w:val="00C52570"/>
    <w:rsid w:val="00C65BE8"/>
    <w:rsid w:val="00C76BAB"/>
    <w:rsid w:val="00C91662"/>
    <w:rsid w:val="00CA1EE2"/>
    <w:rsid w:val="00CC43FF"/>
    <w:rsid w:val="00CD2CB7"/>
    <w:rsid w:val="00CD3876"/>
    <w:rsid w:val="00CE126F"/>
    <w:rsid w:val="00D07C13"/>
    <w:rsid w:val="00D143C5"/>
    <w:rsid w:val="00D17B61"/>
    <w:rsid w:val="00D20CDE"/>
    <w:rsid w:val="00D241AB"/>
    <w:rsid w:val="00D333D6"/>
    <w:rsid w:val="00D37E20"/>
    <w:rsid w:val="00D40473"/>
    <w:rsid w:val="00D50C7A"/>
    <w:rsid w:val="00D528DE"/>
    <w:rsid w:val="00D63CA4"/>
    <w:rsid w:val="00D66CC0"/>
    <w:rsid w:val="00D97F2E"/>
    <w:rsid w:val="00DA1889"/>
    <w:rsid w:val="00DC40EB"/>
    <w:rsid w:val="00DD4BEC"/>
    <w:rsid w:val="00DE7D6A"/>
    <w:rsid w:val="00DF3AAF"/>
    <w:rsid w:val="00DF5C92"/>
    <w:rsid w:val="00E0700A"/>
    <w:rsid w:val="00E16BB9"/>
    <w:rsid w:val="00E2492C"/>
    <w:rsid w:val="00E26551"/>
    <w:rsid w:val="00E31527"/>
    <w:rsid w:val="00E42411"/>
    <w:rsid w:val="00E516C6"/>
    <w:rsid w:val="00E758F4"/>
    <w:rsid w:val="00E815AC"/>
    <w:rsid w:val="00EA017C"/>
    <w:rsid w:val="00EA0361"/>
    <w:rsid w:val="00EA6617"/>
    <w:rsid w:val="00EA6646"/>
    <w:rsid w:val="00EA7379"/>
    <w:rsid w:val="00EB23F4"/>
    <w:rsid w:val="00EF1334"/>
    <w:rsid w:val="00EF4841"/>
    <w:rsid w:val="00EF77D3"/>
    <w:rsid w:val="00F00F40"/>
    <w:rsid w:val="00F15F6E"/>
    <w:rsid w:val="00F16CA3"/>
    <w:rsid w:val="00F3522B"/>
    <w:rsid w:val="00F447E0"/>
    <w:rsid w:val="00F45AAE"/>
    <w:rsid w:val="00F470B4"/>
    <w:rsid w:val="00F522ED"/>
    <w:rsid w:val="00F53105"/>
    <w:rsid w:val="00F602EE"/>
    <w:rsid w:val="00F75269"/>
    <w:rsid w:val="00F856D1"/>
    <w:rsid w:val="00F872EB"/>
    <w:rsid w:val="00F9554C"/>
    <w:rsid w:val="00FA63B9"/>
    <w:rsid w:val="00FA6ACC"/>
    <w:rsid w:val="00FB7A2B"/>
    <w:rsid w:val="00FC18C7"/>
    <w:rsid w:val="00FC2ABF"/>
    <w:rsid w:val="00FC7495"/>
    <w:rsid w:val="00FD4C0B"/>
    <w:rsid w:val="00FE7C28"/>
    <w:rsid w:val="00FF3311"/>
    <w:rsid w:val="00FF7EDB"/>
    <w:rsid w:val="08963737"/>
    <w:rsid w:val="09162EF8"/>
    <w:rsid w:val="0DDE774C"/>
    <w:rsid w:val="0EA60DFD"/>
    <w:rsid w:val="0EC813DF"/>
    <w:rsid w:val="13B409F3"/>
    <w:rsid w:val="13BC68C0"/>
    <w:rsid w:val="16CF6D3B"/>
    <w:rsid w:val="16FD7F53"/>
    <w:rsid w:val="1DD4218A"/>
    <w:rsid w:val="20F23F6A"/>
    <w:rsid w:val="244031A6"/>
    <w:rsid w:val="292F0190"/>
    <w:rsid w:val="2BCD2CA4"/>
    <w:rsid w:val="2D0F3AB2"/>
    <w:rsid w:val="2E406C8C"/>
    <w:rsid w:val="2FA654CC"/>
    <w:rsid w:val="2FDA39A5"/>
    <w:rsid w:val="307600DC"/>
    <w:rsid w:val="322E6312"/>
    <w:rsid w:val="33A9158D"/>
    <w:rsid w:val="362E38F2"/>
    <w:rsid w:val="3807220F"/>
    <w:rsid w:val="401B1364"/>
    <w:rsid w:val="43785DF0"/>
    <w:rsid w:val="47E321AE"/>
    <w:rsid w:val="490F1EA3"/>
    <w:rsid w:val="4A61302A"/>
    <w:rsid w:val="4AF756FF"/>
    <w:rsid w:val="4B5A3BDE"/>
    <w:rsid w:val="4D095B5F"/>
    <w:rsid w:val="4FC8012D"/>
    <w:rsid w:val="528A0AC4"/>
    <w:rsid w:val="55357641"/>
    <w:rsid w:val="57931BC6"/>
    <w:rsid w:val="580B1684"/>
    <w:rsid w:val="5FBF12BF"/>
    <w:rsid w:val="614951DC"/>
    <w:rsid w:val="636778DB"/>
    <w:rsid w:val="67413DEA"/>
    <w:rsid w:val="67492634"/>
    <w:rsid w:val="67AC1A2E"/>
    <w:rsid w:val="6A31288F"/>
    <w:rsid w:val="6B014CD5"/>
    <w:rsid w:val="6DDD3267"/>
    <w:rsid w:val="76652437"/>
    <w:rsid w:val="7D7F78FA"/>
    <w:rsid w:val="7F1E63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spacing w:before="340" w:beforeLines="0" w:after="330" w:afterLines="0" w:line="576" w:lineRule="auto"/>
      <w:outlineLvl w:val="0"/>
    </w:pPr>
    <w:rPr>
      <w:smallCaps/>
      <w:kern w:val="44"/>
      <w:sz w:val="44"/>
      <w:szCs w:val="44"/>
    </w:rPr>
  </w:style>
  <w:style w:type="paragraph" w:styleId="3">
    <w:name w:val="heading 2"/>
    <w:basedOn w:val="1"/>
    <w:next w:val="1"/>
    <w:link w:val="32"/>
    <w:qFormat/>
    <w:uiPriority w:val="0"/>
    <w:pPr>
      <w:keepNext/>
      <w:keepLines/>
      <w:snapToGrid w:val="0"/>
      <w:spacing w:before="260" w:beforeLines="0" w:after="260" w:afterLines="0" w:line="500" w:lineRule="exact"/>
      <w:jc w:val="center"/>
      <w:outlineLvl w:val="1"/>
    </w:pPr>
    <w:rPr>
      <w:rFonts w:ascii="黑体" w:hAnsi="宋体" w:eastAsia="黑体"/>
      <w:smallCaps/>
      <w:kern w:val="0"/>
      <w:sz w:val="36"/>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rPr>
      <w:rFonts w:ascii="Cambria" w:hAnsi="Cambria" w:eastAsia="黑体"/>
      <w:sz w:val="20"/>
    </w:rPr>
  </w:style>
  <w:style w:type="paragraph" w:styleId="9">
    <w:name w:val="annotation text"/>
    <w:basedOn w:val="1"/>
    <w:link w:val="33"/>
    <w:qFormat/>
    <w:uiPriority w:val="0"/>
    <w:pPr>
      <w:jc w:val="left"/>
    </w:pPr>
  </w:style>
  <w:style w:type="paragraph" w:styleId="10">
    <w:name w:val="Body Text"/>
    <w:basedOn w:val="1"/>
    <w:next w:val="11"/>
    <w:qFormat/>
    <w:uiPriority w:val="0"/>
    <w:pPr>
      <w:spacing w:after="120"/>
    </w:pPr>
  </w:style>
  <w:style w:type="paragraph" w:customStyle="1" w:styleId="11">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2">
    <w:name w:val="toc 3"/>
    <w:basedOn w:val="1"/>
    <w:next w:val="1"/>
    <w:qFormat/>
    <w:uiPriority w:val="39"/>
    <w:pPr>
      <w:ind w:left="840" w:leftChars="400"/>
    </w:pPr>
  </w:style>
  <w:style w:type="paragraph" w:styleId="13">
    <w:name w:val="Plain Text"/>
    <w:basedOn w:val="1"/>
    <w:link w:val="34"/>
    <w:qFormat/>
    <w:uiPriority w:val="0"/>
    <w:rPr>
      <w:rFonts w:ascii="宋体" w:hAnsi="Courier New"/>
      <w:kern w:val="0"/>
      <w:sz w:val="20"/>
      <w:szCs w:val="21"/>
    </w:rPr>
  </w:style>
  <w:style w:type="paragraph" w:styleId="14">
    <w:name w:val="Date"/>
    <w:basedOn w:val="1"/>
    <w:next w:val="1"/>
    <w:link w:val="35"/>
    <w:qFormat/>
    <w:uiPriority w:val="0"/>
    <w:pPr>
      <w:adjustRightInd w:val="0"/>
      <w:spacing w:line="360" w:lineRule="atLeast"/>
    </w:pPr>
    <w:rPr>
      <w:rFonts w:ascii="宋体"/>
      <w:kern w:val="0"/>
      <w:sz w:val="24"/>
      <w:szCs w:val="20"/>
    </w:rPr>
  </w:style>
  <w:style w:type="paragraph" w:styleId="15">
    <w:name w:val="Balloon Text"/>
    <w:basedOn w:val="1"/>
    <w:semiHidden/>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kern w:val="0"/>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Body Text 2"/>
    <w:basedOn w:val="1"/>
    <w:link w:val="38"/>
    <w:qFormat/>
    <w:uiPriority w:val="0"/>
    <w:pPr>
      <w:spacing w:after="120" w:line="480" w:lineRule="auto"/>
    </w:pPr>
    <w:rPr>
      <w:rFonts w:ascii="Times New Roman" w:hAnsi="Times New Roman"/>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annotation subject"/>
    <w:basedOn w:val="9"/>
    <w:next w:val="9"/>
    <w:link w:val="39"/>
    <w:qFormat/>
    <w:uiPriority w:val="0"/>
    <w:rPr>
      <w:b/>
      <w:bCs/>
    </w:rPr>
  </w:style>
  <w:style w:type="paragraph" w:styleId="23">
    <w:name w:val="Body Text First Indent"/>
    <w:basedOn w:val="10"/>
    <w:qFormat/>
    <w:uiPriority w:val="0"/>
    <w:pPr>
      <w:ind w:firstLine="420" w:firstLineChars="100"/>
    </w:pPr>
    <w:rPr>
      <w:rFonts w:ascii="Times New Roman" w:hAnsi="Times New Roman"/>
      <w:szCs w:val="24"/>
    </w:rPr>
  </w:style>
  <w:style w:type="table" w:styleId="25">
    <w:name w:val="Table Grid"/>
    <w:basedOn w:val="2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无间隔1"/>
    <w:next w:val="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标题 1 Char"/>
    <w:link w:val="2"/>
    <w:qFormat/>
    <w:uiPriority w:val="0"/>
    <w:rPr>
      <w:rFonts w:ascii="黑体" w:hAnsi="宋体" w:eastAsia="黑体"/>
      <w:kern w:val="44"/>
      <w:sz w:val="44"/>
      <w:szCs w:val="44"/>
    </w:rPr>
  </w:style>
  <w:style w:type="character" w:customStyle="1" w:styleId="32">
    <w:name w:val="标题 2 Char"/>
    <w:link w:val="3"/>
    <w:qFormat/>
    <w:uiPriority w:val="0"/>
    <w:rPr>
      <w:rFonts w:ascii="黑体" w:hAnsi="宋体" w:eastAsia="黑体"/>
      <w:smallCaps/>
      <w:sz w:val="36"/>
      <w:szCs w:val="24"/>
    </w:rPr>
  </w:style>
  <w:style w:type="character" w:customStyle="1" w:styleId="33">
    <w:name w:val="批注文字 Char"/>
    <w:link w:val="9"/>
    <w:qFormat/>
    <w:uiPriority w:val="0"/>
    <w:rPr>
      <w:kern w:val="2"/>
      <w:sz w:val="21"/>
      <w:szCs w:val="22"/>
    </w:rPr>
  </w:style>
  <w:style w:type="character" w:customStyle="1" w:styleId="34">
    <w:name w:val="纯文本 Char"/>
    <w:link w:val="13"/>
    <w:qFormat/>
    <w:uiPriority w:val="0"/>
    <w:rPr>
      <w:rFonts w:ascii="宋体" w:hAnsi="Courier New" w:cs="Courier New"/>
      <w:szCs w:val="21"/>
    </w:rPr>
  </w:style>
  <w:style w:type="character" w:customStyle="1" w:styleId="35">
    <w:name w:val="日期 Char"/>
    <w:link w:val="14"/>
    <w:qFormat/>
    <w:uiPriority w:val="0"/>
    <w:rPr>
      <w:rFonts w:ascii="宋体"/>
      <w:kern w:val="0"/>
      <w:sz w:val="24"/>
      <w:szCs w:val="20"/>
    </w:rPr>
  </w:style>
  <w:style w:type="character" w:customStyle="1" w:styleId="36">
    <w:name w:val="页脚 Char"/>
    <w:link w:val="16"/>
    <w:qFormat/>
    <w:uiPriority w:val="99"/>
    <w:rPr>
      <w:sz w:val="18"/>
      <w:szCs w:val="18"/>
    </w:rPr>
  </w:style>
  <w:style w:type="character" w:customStyle="1" w:styleId="37">
    <w:name w:val="页眉 Char"/>
    <w:link w:val="17"/>
    <w:qFormat/>
    <w:uiPriority w:val="99"/>
    <w:rPr>
      <w:sz w:val="18"/>
      <w:szCs w:val="18"/>
    </w:rPr>
  </w:style>
  <w:style w:type="character" w:customStyle="1" w:styleId="38">
    <w:name w:val="正文文本 2 Char"/>
    <w:link w:val="20"/>
    <w:qFormat/>
    <w:uiPriority w:val="0"/>
    <w:rPr>
      <w:rFonts w:ascii="Times New Roman" w:hAnsi="Times New Roman"/>
      <w:kern w:val="2"/>
      <w:sz w:val="21"/>
      <w:szCs w:val="24"/>
    </w:rPr>
  </w:style>
  <w:style w:type="character" w:customStyle="1" w:styleId="39">
    <w:name w:val="批注主题 Char"/>
    <w:link w:val="22"/>
    <w:qFormat/>
    <w:uiPriority w:val="0"/>
    <w:rPr>
      <w:b/>
      <w:bCs/>
      <w:kern w:val="2"/>
      <w:sz w:val="21"/>
      <w:szCs w:val="22"/>
    </w:rPr>
  </w:style>
  <w:style w:type="paragraph" w:customStyle="1" w:styleId="40">
    <w:name w:val="BodyText1I"/>
    <w:basedOn w:val="41"/>
    <w:qFormat/>
    <w:uiPriority w:val="99"/>
    <w:pPr>
      <w:ind w:firstLine="420" w:firstLineChars="100"/>
    </w:pPr>
  </w:style>
  <w:style w:type="paragraph" w:customStyle="1" w:styleId="41">
    <w:name w:val="BodyText"/>
    <w:basedOn w:val="1"/>
    <w:qFormat/>
    <w:uiPriority w:val="99"/>
    <w:pPr>
      <w:spacing w:after="120"/>
    </w:pPr>
  </w:style>
  <w:style w:type="character" w:customStyle="1" w:styleId="42">
    <w:name w:val="标准正文 Char"/>
    <w:link w:val="43"/>
    <w:qFormat/>
    <w:locked/>
    <w:uiPriority w:val="0"/>
    <w:rPr>
      <w:rFonts w:eastAsia="宋体"/>
      <w:kern w:val="2"/>
      <w:sz w:val="24"/>
      <w:lang w:val="en-US" w:eastAsia="zh-CN" w:bidi="ar-SA"/>
    </w:rPr>
  </w:style>
  <w:style w:type="paragraph" w:customStyle="1" w:styleId="43">
    <w:name w:val="标准正文"/>
    <w:basedOn w:val="1"/>
    <w:link w:val="42"/>
    <w:qFormat/>
    <w:uiPriority w:val="0"/>
    <w:pPr>
      <w:spacing w:beforeLines="50" w:after="156" w:line="360" w:lineRule="auto"/>
      <w:ind w:firstLine="480" w:firstLineChars="200"/>
    </w:pPr>
    <w:rPr>
      <w:sz w:val="24"/>
      <w:szCs w:val="20"/>
    </w:rPr>
  </w:style>
  <w:style w:type="character" w:customStyle="1" w:styleId="44">
    <w:name w:val="ZW Char"/>
    <w:link w:val="45"/>
    <w:qFormat/>
    <w:locked/>
    <w:uiPriority w:val="0"/>
    <w:rPr>
      <w:rFonts w:ascii="仿宋_GB2312" w:hAnsi="宋体" w:cs="宋体"/>
      <w:kern w:val="2"/>
      <w:sz w:val="30"/>
      <w:szCs w:val="30"/>
      <w:lang w:val="en-US" w:eastAsia="zh-CN" w:bidi="ar-SA"/>
    </w:rPr>
  </w:style>
  <w:style w:type="paragraph" w:customStyle="1" w:styleId="45">
    <w:name w:val="ZW"/>
    <w:basedOn w:val="1"/>
    <w:link w:val="44"/>
    <w:qFormat/>
    <w:uiPriority w:val="0"/>
    <w:pPr>
      <w:spacing w:line="590" w:lineRule="exact"/>
      <w:ind w:firstLine="600" w:firstLineChars="200"/>
    </w:pPr>
    <w:rPr>
      <w:rFonts w:ascii="仿宋_GB2312" w:hAnsi="宋体" w:cs="宋体"/>
      <w:sz w:val="30"/>
      <w:szCs w:val="30"/>
    </w:rPr>
  </w:style>
  <w:style w:type="character" w:customStyle="1" w:styleId="46">
    <w:name w:val="Footer Char"/>
    <w:qFormat/>
    <w:locked/>
    <w:uiPriority w:val="0"/>
    <w:rPr>
      <w:kern w:val="2"/>
      <w:sz w:val="18"/>
    </w:rPr>
  </w:style>
  <w:style w:type="character" w:customStyle="1" w:styleId="47">
    <w:name w:val="样式51 Char"/>
    <w:link w:val="48"/>
    <w:qFormat/>
    <w:uiPriority w:val="0"/>
    <w:rPr>
      <w:rFonts w:ascii="宋体" w:hAnsi="宋体" w:cs="仿宋_GB2312"/>
      <w:b/>
      <w:bCs/>
      <w:kern w:val="2"/>
      <w:sz w:val="24"/>
      <w:szCs w:val="24"/>
    </w:rPr>
  </w:style>
  <w:style w:type="paragraph" w:customStyle="1" w:styleId="48">
    <w:name w:val="样式51"/>
    <w:basedOn w:val="4"/>
    <w:link w:val="47"/>
    <w:qFormat/>
    <w:uiPriority w:val="0"/>
    <w:pPr>
      <w:keepNext w:val="0"/>
      <w:keepLines w:val="0"/>
      <w:numPr>
        <w:ilvl w:val="2"/>
        <w:numId w:val="1"/>
      </w:numPr>
      <w:spacing w:before="0" w:after="0" w:line="360" w:lineRule="auto"/>
    </w:pPr>
    <w:rPr>
      <w:rFonts w:ascii="宋体" w:hAnsi="宋体"/>
      <w:sz w:val="24"/>
      <w:szCs w:val="24"/>
    </w:rPr>
  </w:style>
  <w:style w:type="character" w:customStyle="1" w:styleId="49">
    <w:name w:val="正文文本 2 字符"/>
    <w:qFormat/>
    <w:uiPriority w:val="0"/>
    <w:rPr>
      <w:kern w:val="2"/>
      <w:sz w:val="21"/>
      <w:szCs w:val="22"/>
    </w:rPr>
  </w:style>
  <w:style w:type="paragraph" w:customStyle="1" w:styleId="50">
    <w:name w:val="样式511"/>
    <w:basedOn w:val="48"/>
    <w:qFormat/>
    <w:uiPriority w:val="0"/>
    <w:pPr>
      <w:numPr>
        <w:ilvl w:val="3"/>
        <w:numId w:val="1"/>
      </w:numPr>
      <w:tabs>
        <w:tab w:val="left" w:pos="2880"/>
      </w:tabs>
      <w:ind w:left="2880" w:hanging="360"/>
      <w:outlineLvl w:val="3"/>
    </w:pPr>
  </w:style>
  <w:style w:type="paragraph" w:customStyle="1" w:styleId="51">
    <w:name w:val="_Style 50"/>
    <w:semiHidden/>
    <w:qFormat/>
    <w:uiPriority w:val="99"/>
    <w:rPr>
      <w:rFonts w:ascii="Times New Roman" w:hAnsi="Times New Roman" w:eastAsia="宋体" w:cs="Times New Roman"/>
      <w:kern w:val="2"/>
      <w:sz w:val="21"/>
      <w:szCs w:val="22"/>
      <w:lang w:val="en-US" w:eastAsia="zh-CN" w:bidi="ar-SA"/>
    </w:rPr>
  </w:style>
  <w:style w:type="paragraph" w:customStyle="1" w:styleId="52">
    <w:name w:val="TOC Heading_fdd453b7-a217-4b9e-9370-ac5f7334a8af"/>
    <w:basedOn w:val="2"/>
    <w:next w:val="1"/>
    <w:qFormat/>
    <w:uiPriority w:val="0"/>
    <w:pPr>
      <w:widowControl/>
      <w:snapToGrid/>
      <w:spacing w:before="240" w:after="0" w:afterLines="50" w:line="259" w:lineRule="auto"/>
      <w:jc w:val="left"/>
      <w:outlineLvl w:val="9"/>
    </w:pPr>
    <w:rPr>
      <w:rFonts w:ascii="等线 Light" w:hAnsi="等线 Light" w:eastAsia="等线 Light" w:cs="宋体"/>
      <w:smallCaps w:val="0"/>
      <w:color w:val="2E75B5"/>
      <w:kern w:val="0"/>
      <w:sz w:val="32"/>
      <w:szCs w:val="32"/>
    </w:rPr>
  </w:style>
  <w:style w:type="paragraph" w:customStyle="1" w:styleId="53">
    <w:name w:val="*正文"/>
    <w:basedOn w:val="1"/>
    <w:qFormat/>
    <w:uiPriority w:val="0"/>
    <w:pPr>
      <w:widowControl/>
      <w:spacing w:line="288" w:lineRule="auto"/>
      <w:ind w:firstLine="482" w:firstLineChars="200"/>
      <w:jc w:val="left"/>
    </w:pPr>
    <w:rPr>
      <w:rFonts w:ascii="Times New Roman" w:hAnsi="Times New Roman" w:cs="宋体"/>
      <w:b/>
      <w:szCs w:val="28"/>
    </w:rPr>
  </w:style>
  <w:style w:type="character" w:customStyle="1" w:styleId="54">
    <w:name w:val="NormalCharacter"/>
    <w:qFormat/>
    <w:uiPriority w:val="0"/>
  </w:style>
  <w:style w:type="paragraph" w:customStyle="1" w:styleId="55">
    <w:name w:val="正文1"/>
    <w:basedOn w:val="1"/>
    <w:qFormat/>
    <w:uiPriority w:val="0"/>
    <w:pPr>
      <w:widowControl/>
      <w:topLinePunct/>
      <w:spacing w:beforeLines="50" w:afterLines="50" w:line="300" w:lineRule="auto"/>
      <w:ind w:left="420"/>
    </w:p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List Paragraph"/>
    <w:basedOn w:val="1"/>
    <w:qFormat/>
    <w:uiPriority w:val="34"/>
    <w:pPr>
      <w:ind w:firstLine="420" w:firstLineChars="200"/>
    </w:pPr>
  </w:style>
  <w:style w:type="table" w:customStyle="1" w:styleId="5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9517</Words>
  <Characters>9968</Characters>
  <Lines>160</Lines>
  <Paragraphs>45</Paragraphs>
  <TotalTime>53</TotalTime>
  <ScaleCrop>false</ScaleCrop>
  <LinksUpToDate>false</LinksUpToDate>
  <CharactersWithSpaces>11230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2019-08-21T03:55:00Z</dcterms:created>
  <dc:creator>XT</dc:creator>
  <cp:lastModifiedBy>user</cp:lastModifiedBy>
  <cp:lastPrinted>2019-10-23T01:02:00Z</cp:lastPrinted>
  <dcterms:modified xsi:type="dcterms:W3CDTF">2025-03-06T03:11:20Z</dcterms:modified>
  <dc:title>周口市公共资源交易中心政府采购中心</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E021DD5A7FFF44F99F10309B8DCCB811_13</vt:lpwstr>
  </property>
  <property fmtid="{D5CDD505-2E9C-101B-9397-08002B2CF9AE}" pid="4" name="KSOTemplateDocerSaveRecord">
    <vt:lpwstr>eyJoZGlkIjoiMGI2ZDFmZmVjNjhiYmI3Nzg5YTgxNzM4YzkzMWZjMzEiLCJ1c2VySWQiOiIxMDQyNjE2NTI1In0=</vt:lpwstr>
  </property>
</Properties>
</file>