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B45D4">
      <w:pPr>
        <w:wordWrap w:val="0"/>
        <w:spacing w:before="268"/>
        <w:jc w:val="center"/>
        <w:outlineLvl w:val="0"/>
        <w:rPr>
          <w:rFonts w:hint="eastAsia"/>
          <w:b/>
          <w:color w:val="auto"/>
          <w:sz w:val="60"/>
          <w:szCs w:val="20"/>
          <w:highlight w:val="none"/>
        </w:rPr>
      </w:pPr>
      <w:bookmarkStart w:id="0" w:name="_Toc5904"/>
      <w:r>
        <w:rPr>
          <w:rFonts w:hint="eastAsia"/>
          <w:b/>
          <w:color w:val="auto"/>
          <w:sz w:val="60"/>
          <w:szCs w:val="20"/>
          <w:highlight w:val="none"/>
        </w:rPr>
        <w:t>2025年卢氏县朱阳关镇河南村、鹳</w:t>
      </w:r>
    </w:p>
    <w:p w14:paraId="06C656EA">
      <w:pPr>
        <w:wordWrap w:val="0"/>
        <w:spacing w:before="268"/>
        <w:jc w:val="center"/>
        <w:outlineLvl w:val="0"/>
        <w:rPr>
          <w:rFonts w:hint="eastAsia"/>
          <w:b/>
          <w:color w:val="auto"/>
          <w:sz w:val="60"/>
          <w:szCs w:val="20"/>
          <w:highlight w:val="none"/>
        </w:rPr>
      </w:pPr>
      <w:r>
        <w:rPr>
          <w:rFonts w:hint="eastAsia"/>
          <w:b/>
          <w:color w:val="auto"/>
          <w:sz w:val="60"/>
          <w:szCs w:val="20"/>
          <w:highlight w:val="none"/>
        </w:rPr>
        <w:t>河村香菇烘干加工联建项目</w:t>
      </w:r>
    </w:p>
    <w:bookmarkEnd w:id="0"/>
    <w:p w14:paraId="776EC6DE">
      <w:pPr>
        <w:pStyle w:val="2"/>
        <w:wordWrap w:val="0"/>
        <w:spacing w:before="6"/>
        <w:ind w:left="0"/>
        <w:jc w:val="center"/>
        <w:rPr>
          <w:b/>
          <w:color w:val="auto"/>
          <w:sz w:val="60"/>
          <w:szCs w:val="20"/>
          <w:highlight w:val="none"/>
        </w:rPr>
      </w:pPr>
    </w:p>
    <w:p w14:paraId="321548ED">
      <w:pPr>
        <w:pStyle w:val="2"/>
        <w:wordWrap w:val="0"/>
        <w:spacing w:before="6"/>
        <w:ind w:left="0"/>
        <w:jc w:val="center"/>
        <w:rPr>
          <w:rFonts w:ascii="宋体" w:hAnsi="宋体"/>
          <w:b/>
          <w:color w:val="auto"/>
          <w:sz w:val="96"/>
          <w:szCs w:val="32"/>
          <w:highlight w:val="none"/>
        </w:rPr>
      </w:pPr>
      <w:r>
        <w:rPr>
          <w:b/>
          <w:color w:val="auto"/>
          <w:sz w:val="60"/>
          <w:szCs w:val="20"/>
          <w:highlight w:val="none"/>
        </w:rPr>
        <w:t>竞争性磋商文件</w:t>
      </w:r>
    </w:p>
    <w:p w14:paraId="367EB33C">
      <w:pPr>
        <w:jc w:val="center"/>
        <w:rPr>
          <w:rFonts w:hint="eastAsia" w:cs="Times New Roman"/>
          <w:color w:val="auto"/>
          <w:sz w:val="40"/>
          <w:szCs w:val="40"/>
          <w:highlight w:val="none"/>
          <w:lang w:val="en-US" w:eastAsia="zh-CN" w:bidi="ar"/>
        </w:rPr>
      </w:pPr>
      <w:r>
        <w:rPr>
          <w:rFonts w:hint="eastAsia" w:cs="Times New Roman"/>
          <w:color w:val="auto"/>
          <w:sz w:val="40"/>
          <w:szCs w:val="40"/>
          <w:highlight w:val="none"/>
          <w:lang w:val="en-US" w:eastAsia="zh-CN" w:bidi="ar"/>
        </w:rPr>
        <w:t>项目编号：</w:t>
      </w:r>
      <w:r>
        <w:rPr>
          <w:rFonts w:hint="eastAsia" w:cs="Times New Roman"/>
          <w:color w:val="auto"/>
          <w:sz w:val="40"/>
          <w:szCs w:val="40"/>
          <w:highlight w:val="none"/>
          <w:lang w:val="en-US" w:bidi="ar"/>
        </w:rPr>
        <w:t>三卢竞磋采购-2025-96</w:t>
      </w:r>
      <w:r>
        <w:rPr>
          <w:rFonts w:hint="eastAsia" w:cs="Times New Roman"/>
          <w:color w:val="auto"/>
          <w:sz w:val="40"/>
          <w:szCs w:val="40"/>
          <w:highlight w:val="none"/>
          <w:lang w:val="en-US" w:eastAsia="zh-CN" w:bidi="ar"/>
        </w:rPr>
        <w:t>、</w:t>
      </w:r>
    </w:p>
    <w:p w14:paraId="3B1F2338">
      <w:pPr>
        <w:jc w:val="center"/>
        <w:rPr>
          <w:sz w:val="32"/>
          <w:szCs w:val="40"/>
        </w:rPr>
      </w:pPr>
      <w:r>
        <w:rPr>
          <w:rFonts w:hint="eastAsia" w:cs="Times New Roman"/>
          <w:color w:val="auto"/>
          <w:sz w:val="40"/>
          <w:szCs w:val="40"/>
          <w:highlight w:val="none"/>
          <w:lang w:val="en-US" w:bidi="ar"/>
        </w:rPr>
        <w:t>LSGZ[2025]236-ZC161</w:t>
      </w:r>
    </w:p>
    <w:p w14:paraId="7861285D">
      <w:pPr>
        <w:pStyle w:val="2"/>
        <w:wordWrap w:val="0"/>
        <w:spacing w:before="6"/>
        <w:ind w:left="0"/>
        <w:jc w:val="center"/>
        <w:rPr>
          <w:rFonts w:ascii="宋体" w:hAnsi="宋体"/>
          <w:b/>
          <w:color w:val="auto"/>
          <w:sz w:val="96"/>
          <w:szCs w:val="32"/>
          <w:highlight w:val="none"/>
        </w:rPr>
      </w:pPr>
    </w:p>
    <w:p w14:paraId="156E90C5">
      <w:pPr>
        <w:widowControl/>
        <w:shd w:val="clear" w:color="auto" w:fill="FFFFFF"/>
        <w:spacing w:line="390" w:lineRule="atLeast"/>
        <w:jc w:val="center"/>
        <w:rPr>
          <w:b/>
          <w:color w:val="auto"/>
          <w:sz w:val="32"/>
          <w:szCs w:val="32"/>
          <w:highlight w:val="none"/>
        </w:rPr>
      </w:pPr>
      <w:r>
        <w:rPr>
          <w:rFonts w:hint="eastAsia" w:ascii="宋体" w:hAnsi="宋体" w:eastAsia="宋体" w:cs="宋体"/>
          <w:lang w:eastAsia="zh-CN"/>
        </w:rPr>
        <w:drawing>
          <wp:inline distT="0" distB="0" distL="114300" distR="114300">
            <wp:extent cx="2135505" cy="2662555"/>
            <wp:effectExtent l="0" t="0" r="17145" b="4445"/>
            <wp:docPr id="1" name="图片 1" descr="微信截图_2022101017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1010173143"/>
                    <pic:cNvPicPr>
                      <a:picLocks noChangeAspect="1"/>
                    </pic:cNvPicPr>
                  </pic:nvPicPr>
                  <pic:blipFill>
                    <a:blip r:embed="rId12"/>
                    <a:srcRect l="38594" t="22121" r="39993" b="16597"/>
                    <a:stretch>
                      <a:fillRect/>
                    </a:stretch>
                  </pic:blipFill>
                  <pic:spPr>
                    <a:xfrm>
                      <a:off x="0" y="0"/>
                      <a:ext cx="2135505" cy="2662555"/>
                    </a:xfrm>
                    <a:prstGeom prst="rect">
                      <a:avLst/>
                    </a:prstGeom>
                    <a:noFill/>
                    <a:ln>
                      <a:noFill/>
                    </a:ln>
                  </pic:spPr>
                </pic:pic>
              </a:graphicData>
            </a:graphic>
          </wp:inline>
        </w:drawing>
      </w:r>
      <w:bookmarkStart w:id="1" w:name="_Toc22569_WPSOffice_Level1"/>
    </w:p>
    <w:p w14:paraId="054CE210">
      <w:pPr>
        <w:spacing w:line="360" w:lineRule="auto"/>
        <w:ind w:firstLine="1285" w:firstLineChars="400"/>
        <w:rPr>
          <w:b/>
          <w:color w:val="auto"/>
          <w:sz w:val="32"/>
          <w:szCs w:val="32"/>
          <w:highlight w:val="none"/>
        </w:rPr>
      </w:pPr>
    </w:p>
    <w:p w14:paraId="070A8B8F">
      <w:pPr>
        <w:spacing w:line="360" w:lineRule="auto"/>
        <w:jc w:val="center"/>
        <w:rPr>
          <w:rFonts w:hint="eastAsia"/>
          <w:b/>
          <w:color w:val="auto"/>
          <w:sz w:val="32"/>
          <w:szCs w:val="32"/>
          <w:highlight w:val="none"/>
        </w:rPr>
      </w:pPr>
      <w:r>
        <w:rPr>
          <w:rFonts w:hint="eastAsia"/>
          <w:b/>
          <w:color w:val="auto"/>
          <w:sz w:val="32"/>
          <w:szCs w:val="32"/>
          <w:highlight w:val="none"/>
        </w:rPr>
        <w:t>采购人：</w:t>
      </w:r>
      <w:r>
        <w:rPr>
          <w:rFonts w:hint="eastAsia"/>
          <w:b/>
          <w:color w:val="auto"/>
          <w:sz w:val="32"/>
          <w:szCs w:val="32"/>
          <w:highlight w:val="none"/>
          <w:lang w:eastAsia="zh-CN"/>
        </w:rPr>
        <w:t>卢氏县朱阳关镇人民政府</w:t>
      </w:r>
    </w:p>
    <w:p w14:paraId="45279854">
      <w:pPr>
        <w:spacing w:line="360" w:lineRule="auto"/>
        <w:jc w:val="center"/>
        <w:rPr>
          <w:rFonts w:hint="eastAsia"/>
          <w:b/>
          <w:color w:val="auto"/>
          <w:sz w:val="32"/>
          <w:szCs w:val="32"/>
          <w:highlight w:val="none"/>
        </w:rPr>
      </w:pPr>
      <w:r>
        <w:rPr>
          <w:rFonts w:hint="eastAsia"/>
          <w:b/>
          <w:color w:val="auto"/>
          <w:sz w:val="32"/>
          <w:szCs w:val="32"/>
          <w:highlight w:val="none"/>
        </w:rPr>
        <w:t>代理公司：</w:t>
      </w:r>
      <w:r>
        <w:rPr>
          <w:rFonts w:hint="eastAsia"/>
          <w:b/>
          <w:color w:val="auto"/>
          <w:sz w:val="32"/>
          <w:szCs w:val="32"/>
          <w:highlight w:val="none"/>
          <w:lang w:eastAsia="zh-CN"/>
        </w:rPr>
        <w:t>豫道郑对(河南)工程管理咨询有限公司</w:t>
      </w:r>
    </w:p>
    <w:p w14:paraId="163FB6A7">
      <w:pPr>
        <w:spacing w:line="360" w:lineRule="auto"/>
        <w:jc w:val="center"/>
        <w:rPr>
          <w:rFonts w:hint="eastAsia"/>
          <w:b/>
          <w:color w:val="auto"/>
          <w:sz w:val="32"/>
          <w:szCs w:val="32"/>
          <w:highlight w:val="none"/>
        </w:rPr>
      </w:pPr>
      <w:r>
        <w:rPr>
          <w:rFonts w:hint="eastAsia"/>
          <w:b/>
          <w:color w:val="auto"/>
          <w:sz w:val="32"/>
          <w:szCs w:val="32"/>
          <w:highlight w:val="none"/>
        </w:rPr>
        <w:t>日期：二〇二五年</w:t>
      </w:r>
      <w:r>
        <w:rPr>
          <w:rFonts w:hint="eastAsia"/>
          <w:b/>
          <w:color w:val="auto"/>
          <w:sz w:val="32"/>
          <w:szCs w:val="32"/>
          <w:highlight w:val="none"/>
          <w:lang w:val="en-US" w:eastAsia="zh-CN"/>
        </w:rPr>
        <w:t>九</w:t>
      </w:r>
      <w:r>
        <w:rPr>
          <w:rFonts w:hint="eastAsia"/>
          <w:b/>
          <w:color w:val="auto"/>
          <w:sz w:val="32"/>
          <w:szCs w:val="32"/>
          <w:highlight w:val="none"/>
        </w:rPr>
        <w:t>月</w:t>
      </w:r>
    </w:p>
    <w:p w14:paraId="0927F08A">
      <w:pPr>
        <w:pStyle w:val="11"/>
        <w:tabs>
          <w:tab w:val="right" w:leader="dot" w:pos="9850"/>
        </w:tabs>
        <w:wordWrap w:val="0"/>
        <w:jc w:val="center"/>
        <w:rPr>
          <w:rFonts w:hint="eastAsia"/>
          <w:color w:val="auto"/>
          <w:highlight w:val="none"/>
        </w:rPr>
      </w:pPr>
    </w:p>
    <w:p w14:paraId="1CFCE196">
      <w:pPr>
        <w:pStyle w:val="11"/>
        <w:tabs>
          <w:tab w:val="right" w:leader="dot" w:pos="9850"/>
        </w:tabs>
        <w:wordWrap w:val="0"/>
        <w:jc w:val="center"/>
        <w:rPr>
          <w:color w:val="auto"/>
          <w:sz w:val="36"/>
          <w:szCs w:val="36"/>
          <w:highlight w:val="none"/>
        </w:rPr>
      </w:pPr>
    </w:p>
    <w:p w14:paraId="7FF3EF83">
      <w:pPr>
        <w:pStyle w:val="11"/>
        <w:tabs>
          <w:tab w:val="right" w:leader="dot" w:pos="9850"/>
        </w:tabs>
        <w:wordWrap w:val="0"/>
        <w:ind w:left="0" w:leftChars="0" w:firstLine="0" w:firstLineChars="0"/>
        <w:jc w:val="center"/>
        <w:rPr>
          <w:color w:val="auto"/>
          <w:sz w:val="36"/>
          <w:szCs w:val="36"/>
          <w:highlight w:val="none"/>
        </w:rPr>
      </w:pPr>
      <w:r>
        <w:rPr>
          <w:rFonts w:hint="eastAsia"/>
          <w:color w:val="auto"/>
          <w:sz w:val="36"/>
          <w:szCs w:val="36"/>
          <w:highlight w:val="none"/>
        </w:rPr>
        <w:t>目   录</w:t>
      </w:r>
    </w:p>
    <w:p w14:paraId="5EF3BA53">
      <w:pPr>
        <w:widowControl/>
        <w:tabs>
          <w:tab w:val="right" w:leader="dot" w:pos="8306"/>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"_Toc23380" </w:instrText>
      </w:r>
      <w:r>
        <w:rPr>
          <w:color w:val="auto"/>
          <w:highlight w:val="none"/>
        </w:rPr>
        <w:fldChar w:fldCharType="separate"/>
      </w:r>
      <w:r>
        <w:rPr>
          <w:rFonts w:hint="eastAsia"/>
          <w:bCs/>
          <w:color w:val="auto"/>
          <w:sz w:val="28"/>
          <w:szCs w:val="28"/>
          <w:highlight w:val="none"/>
        </w:rPr>
        <w:t>第一章  竞争性磋商公告</w:t>
      </w:r>
      <w:r>
        <w:rPr>
          <w:rFonts w:hint="eastAsia"/>
          <w:color w:val="auto"/>
          <w:sz w:val="28"/>
          <w:szCs w:val="28"/>
          <w:highlight w:val="none"/>
        </w:rPr>
        <w:tab/>
      </w:r>
      <w:r>
        <w:rPr>
          <w:rFonts w:hint="eastAsia"/>
          <w:color w:val="auto"/>
          <w:sz w:val="28"/>
          <w:szCs w:val="28"/>
          <w:highlight w:val="none"/>
          <w:lang w:val="en-US"/>
        </w:rPr>
        <w:t>3</w:t>
      </w:r>
      <w:r>
        <w:rPr>
          <w:rFonts w:hint="eastAsia"/>
          <w:color w:val="auto"/>
          <w:sz w:val="28"/>
          <w:szCs w:val="28"/>
          <w:highlight w:val="none"/>
        </w:rPr>
        <w:fldChar w:fldCharType="end"/>
      </w:r>
    </w:p>
    <w:p w14:paraId="216E636E">
      <w:pPr>
        <w:widowControl/>
        <w:tabs>
          <w:tab w:val="right" w:leader="dot" w:pos="8306"/>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"_Toc8203" </w:instrText>
      </w:r>
      <w:r>
        <w:rPr>
          <w:color w:val="auto"/>
          <w:highlight w:val="none"/>
        </w:rPr>
        <w:fldChar w:fldCharType="separate"/>
      </w:r>
      <w:r>
        <w:rPr>
          <w:rFonts w:hint="eastAsia"/>
          <w:bCs/>
          <w:color w:val="auto"/>
          <w:sz w:val="28"/>
          <w:szCs w:val="28"/>
          <w:highlight w:val="none"/>
        </w:rPr>
        <w:t>第二章  供应商须知表</w:t>
      </w:r>
      <w:r>
        <w:rPr>
          <w:rFonts w:hint="eastAsia"/>
          <w:color w:val="auto"/>
          <w:sz w:val="28"/>
          <w:szCs w:val="28"/>
          <w:highlight w:val="none"/>
        </w:rPr>
        <w:tab/>
      </w:r>
      <w:r>
        <w:rPr>
          <w:rFonts w:hint="eastAsia"/>
          <w:color w:val="auto"/>
          <w:sz w:val="28"/>
          <w:szCs w:val="28"/>
          <w:highlight w:val="none"/>
          <w:lang w:val="en-US"/>
        </w:rPr>
        <w:t>7</w:t>
      </w:r>
      <w:r>
        <w:rPr>
          <w:rFonts w:hint="eastAsia"/>
          <w:color w:val="auto"/>
          <w:sz w:val="28"/>
          <w:szCs w:val="28"/>
          <w:highlight w:val="none"/>
        </w:rPr>
        <w:fldChar w:fldCharType="end"/>
      </w:r>
    </w:p>
    <w:p w14:paraId="1C9F3539">
      <w:pPr>
        <w:widowControl/>
        <w:tabs>
          <w:tab w:val="right" w:leader="dot" w:pos="8306"/>
        </w:tabs>
        <w:spacing w:line="480" w:lineRule="auto"/>
        <w:rPr>
          <w:rFonts w:hint="eastAsia"/>
          <w:bCs/>
          <w:color w:val="auto"/>
          <w:sz w:val="28"/>
          <w:szCs w:val="28"/>
          <w:highlight w:val="none"/>
          <w:lang w:val="en-US"/>
        </w:rPr>
      </w:pPr>
      <w:r>
        <w:rPr>
          <w:color w:val="auto"/>
          <w:highlight w:val="none"/>
        </w:rPr>
        <w:fldChar w:fldCharType="begin"/>
      </w:r>
      <w:r>
        <w:rPr>
          <w:color w:val="auto"/>
          <w:highlight w:val="none"/>
        </w:rPr>
        <w:instrText xml:space="preserve"> HYPERLINK \l "_Toc467" </w:instrText>
      </w:r>
      <w:r>
        <w:rPr>
          <w:color w:val="auto"/>
          <w:highlight w:val="none"/>
        </w:rPr>
        <w:fldChar w:fldCharType="separate"/>
      </w:r>
      <w:r>
        <w:rPr>
          <w:rFonts w:hint="eastAsia"/>
          <w:bCs/>
          <w:color w:val="auto"/>
          <w:sz w:val="28"/>
          <w:szCs w:val="28"/>
          <w:highlight w:val="none"/>
        </w:rPr>
        <w:t>第三章  采购需求</w:t>
      </w:r>
      <w:r>
        <w:rPr>
          <w:rFonts w:hint="eastAsia"/>
          <w:color w:val="auto"/>
          <w:sz w:val="28"/>
          <w:szCs w:val="28"/>
          <w:highlight w:val="none"/>
        </w:rPr>
        <w:tab/>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lang w:val="en-US"/>
        </w:rPr>
        <w:t>7</w:t>
      </w:r>
    </w:p>
    <w:p w14:paraId="66F7DC76">
      <w:pPr>
        <w:widowControl/>
        <w:tabs>
          <w:tab w:val="right" w:leader="dot" w:pos="8306"/>
        </w:tabs>
        <w:spacing w:line="480" w:lineRule="auto"/>
        <w:rPr>
          <w:bCs/>
          <w:color w:val="auto"/>
          <w:sz w:val="28"/>
          <w:szCs w:val="28"/>
          <w:highlight w:val="none"/>
          <w:lang w:val="en-US"/>
        </w:rPr>
      </w:pPr>
      <w:r>
        <w:rPr>
          <w:rFonts w:hint="eastAsia"/>
          <w:bCs/>
          <w:color w:val="auto"/>
          <w:sz w:val="28"/>
          <w:szCs w:val="28"/>
          <w:highlight w:val="none"/>
        </w:rPr>
        <w:t>第四章  评审办法</w:t>
      </w:r>
      <w:r>
        <w:rPr>
          <w:rFonts w:hint="eastAsia"/>
          <w:color w:val="auto"/>
          <w:sz w:val="28"/>
          <w:szCs w:val="28"/>
          <w:highlight w:val="none"/>
        </w:rPr>
        <w:tab/>
      </w:r>
      <w:r>
        <w:rPr>
          <w:rFonts w:hint="eastAsia"/>
          <w:bCs/>
          <w:color w:val="auto"/>
          <w:sz w:val="28"/>
          <w:szCs w:val="28"/>
          <w:highlight w:val="none"/>
          <w:lang w:val="en-US"/>
        </w:rPr>
        <w:t>48</w:t>
      </w:r>
    </w:p>
    <w:p w14:paraId="499DA5EC">
      <w:pPr>
        <w:widowControl/>
        <w:tabs>
          <w:tab w:val="right" w:leader="dot" w:pos="8306"/>
        </w:tabs>
        <w:spacing w:line="480" w:lineRule="auto"/>
        <w:rPr>
          <w:rFonts w:hint="eastAsia"/>
          <w:color w:val="auto"/>
          <w:sz w:val="28"/>
          <w:szCs w:val="28"/>
          <w:highlight w:val="none"/>
          <w:lang w:val="en-US"/>
        </w:rPr>
      </w:pPr>
      <w:r>
        <w:rPr>
          <w:color w:val="auto"/>
          <w:highlight w:val="none"/>
        </w:rPr>
        <w:fldChar w:fldCharType="begin"/>
      </w:r>
      <w:r>
        <w:rPr>
          <w:color w:val="auto"/>
          <w:highlight w:val="none"/>
        </w:rPr>
        <w:instrText xml:space="preserve"> HYPERLINK \l "_Toc21223" </w:instrText>
      </w:r>
      <w:r>
        <w:rPr>
          <w:color w:val="auto"/>
          <w:highlight w:val="none"/>
        </w:rPr>
        <w:fldChar w:fldCharType="separate"/>
      </w:r>
      <w:r>
        <w:rPr>
          <w:rFonts w:hint="eastAsia"/>
          <w:bCs/>
          <w:color w:val="auto"/>
          <w:sz w:val="28"/>
          <w:szCs w:val="28"/>
          <w:highlight w:val="none"/>
        </w:rPr>
        <w:t>第五章  合同</w:t>
      </w:r>
      <w:bookmarkStart w:id="2" w:name="_Hlt204615043"/>
      <w:bookmarkStart w:id="3" w:name="_Hlt204615044"/>
      <w:r>
        <w:rPr>
          <w:rFonts w:hint="eastAsia"/>
          <w:bCs/>
          <w:color w:val="auto"/>
          <w:sz w:val="28"/>
          <w:szCs w:val="28"/>
          <w:highlight w:val="none"/>
        </w:rPr>
        <w:t>条</w:t>
      </w:r>
      <w:bookmarkEnd w:id="2"/>
      <w:bookmarkEnd w:id="3"/>
      <w:r>
        <w:rPr>
          <w:rFonts w:hint="eastAsia"/>
          <w:bCs/>
          <w:color w:val="auto"/>
          <w:sz w:val="28"/>
          <w:szCs w:val="28"/>
          <w:highlight w:val="none"/>
        </w:rPr>
        <w:t>款及格式</w:t>
      </w:r>
      <w:r>
        <w:rPr>
          <w:rFonts w:hint="eastAsia"/>
          <w:color w:val="auto"/>
          <w:sz w:val="28"/>
          <w:szCs w:val="28"/>
          <w:highlight w:val="none"/>
        </w:rPr>
        <w:tab/>
      </w:r>
      <w:r>
        <w:rPr>
          <w:rFonts w:hint="eastAsia"/>
          <w:color w:val="auto"/>
          <w:sz w:val="28"/>
          <w:szCs w:val="28"/>
          <w:highlight w:val="none"/>
          <w:lang w:val="en-US"/>
        </w:rPr>
        <w:t>5</w:t>
      </w:r>
      <w:r>
        <w:rPr>
          <w:rFonts w:hint="eastAsia"/>
          <w:color w:val="auto"/>
          <w:sz w:val="28"/>
          <w:szCs w:val="28"/>
          <w:highlight w:val="none"/>
        </w:rPr>
        <w:fldChar w:fldCharType="end"/>
      </w:r>
      <w:r>
        <w:rPr>
          <w:rFonts w:hint="eastAsia"/>
          <w:color w:val="auto"/>
          <w:sz w:val="28"/>
          <w:szCs w:val="28"/>
          <w:highlight w:val="none"/>
          <w:lang w:val="en-US"/>
        </w:rPr>
        <w:t>8</w:t>
      </w:r>
    </w:p>
    <w:p w14:paraId="301AA821">
      <w:pPr>
        <w:widowControl/>
        <w:tabs>
          <w:tab w:val="right" w:leader="dot" w:pos="8306"/>
        </w:tabs>
        <w:spacing w:line="480" w:lineRule="auto"/>
        <w:rPr>
          <w:color w:val="auto"/>
          <w:sz w:val="28"/>
          <w:szCs w:val="28"/>
          <w:highlight w:val="none"/>
          <w:lang w:val="en-US"/>
        </w:rPr>
      </w:pPr>
      <w:r>
        <w:rPr>
          <w:color w:val="auto"/>
          <w:highlight w:val="none"/>
        </w:rPr>
        <w:fldChar w:fldCharType="begin"/>
      </w:r>
      <w:r>
        <w:rPr>
          <w:color w:val="auto"/>
          <w:highlight w:val="none"/>
        </w:rPr>
        <w:instrText xml:space="preserve"> HYPERLINK \l "_Toc10708" </w:instrText>
      </w:r>
      <w:r>
        <w:rPr>
          <w:color w:val="auto"/>
          <w:highlight w:val="none"/>
        </w:rPr>
        <w:fldChar w:fldCharType="separate"/>
      </w:r>
      <w:r>
        <w:rPr>
          <w:rFonts w:hint="eastAsia"/>
          <w:bCs/>
          <w:color w:val="auto"/>
          <w:sz w:val="28"/>
          <w:szCs w:val="28"/>
          <w:highlight w:val="none"/>
        </w:rPr>
        <w:t>第六章  响应文件格式</w:t>
      </w:r>
      <w:r>
        <w:rPr>
          <w:rFonts w:hint="eastAsia"/>
          <w:color w:val="auto"/>
          <w:sz w:val="28"/>
          <w:szCs w:val="28"/>
          <w:highlight w:val="none"/>
        </w:rPr>
        <w:tab/>
      </w:r>
      <w:r>
        <w:rPr>
          <w:rFonts w:hint="eastAsia"/>
          <w:color w:val="auto"/>
          <w:sz w:val="28"/>
          <w:szCs w:val="28"/>
          <w:highlight w:val="none"/>
        </w:rPr>
        <w:fldChar w:fldCharType="end"/>
      </w:r>
      <w:r>
        <w:rPr>
          <w:rFonts w:hint="eastAsia"/>
          <w:bCs/>
          <w:color w:val="auto"/>
          <w:sz w:val="28"/>
          <w:szCs w:val="28"/>
          <w:highlight w:val="none"/>
          <w:lang w:val="en-US"/>
        </w:rPr>
        <w:t>61</w:t>
      </w:r>
    </w:p>
    <w:p w14:paraId="67FAC1A2">
      <w:pPr>
        <w:pStyle w:val="3"/>
        <w:spacing w:before="0"/>
        <w:ind w:left="0"/>
        <w:rPr>
          <w:color w:val="auto"/>
          <w:highlight w:val="none"/>
        </w:rPr>
      </w:pPr>
      <w:r>
        <w:rPr>
          <w:color w:val="auto"/>
          <w:highlight w:val="none"/>
        </w:rPr>
        <w:br w:type="page"/>
      </w:r>
      <w:bookmarkStart w:id="4" w:name="_Toc15183"/>
      <w:bookmarkStart w:id="5" w:name="_Toc12519"/>
      <w:r>
        <w:rPr>
          <w:rFonts w:hint="eastAsia"/>
          <w:b/>
          <w:bCs/>
          <w:color w:val="auto"/>
          <w:szCs w:val="24"/>
          <w:highlight w:val="none"/>
        </w:rPr>
        <w:t xml:space="preserve">第一章   </w:t>
      </w:r>
      <w:r>
        <w:rPr>
          <w:b/>
          <w:bCs/>
          <w:color w:val="auto"/>
          <w:szCs w:val="24"/>
          <w:highlight w:val="none"/>
        </w:rPr>
        <w:t>竞争性磋商公告</w:t>
      </w:r>
      <w:bookmarkEnd w:id="1"/>
      <w:bookmarkEnd w:id="4"/>
      <w:bookmarkEnd w:id="5"/>
    </w:p>
    <w:p w14:paraId="4D7AFF92">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bookmarkStart w:id="6" w:name="_Hlk536538549"/>
      <w:r>
        <w:rPr>
          <w:rFonts w:hint="eastAsia" w:cs="Times New Roman"/>
          <w:color w:val="auto"/>
          <w:sz w:val="24"/>
          <w:highlight w:val="none"/>
          <w:lang w:val="en-US" w:eastAsia="zh-CN" w:bidi="ar"/>
        </w:rPr>
        <w:t>豫道郑对(河南)工程管理咨询有限公司</w:t>
      </w:r>
      <w:r>
        <w:rPr>
          <w:rFonts w:hint="eastAsia" w:cs="Times New Roman"/>
          <w:color w:val="auto"/>
          <w:sz w:val="24"/>
          <w:highlight w:val="none"/>
          <w:lang w:val="en-US" w:bidi="ar"/>
        </w:rPr>
        <w:t>受</w:t>
      </w:r>
      <w:r>
        <w:rPr>
          <w:rFonts w:hint="eastAsia" w:cs="Times New Roman"/>
          <w:color w:val="auto"/>
          <w:sz w:val="24"/>
          <w:highlight w:val="none"/>
          <w:lang w:val="en-US" w:eastAsia="zh-CN" w:bidi="ar"/>
        </w:rPr>
        <w:t>卢氏县朱阳关镇人民政府的</w:t>
      </w:r>
      <w:r>
        <w:rPr>
          <w:rFonts w:hint="eastAsia" w:cs="Times New Roman"/>
          <w:color w:val="auto"/>
          <w:sz w:val="24"/>
          <w:highlight w:val="none"/>
          <w:lang w:val="en-US" w:bidi="ar"/>
        </w:rPr>
        <w:t>委托，</w:t>
      </w:r>
      <w:r>
        <w:rPr>
          <w:rFonts w:hint="eastAsia"/>
          <w:color w:val="auto"/>
          <w:sz w:val="24"/>
          <w:szCs w:val="24"/>
          <w:highlight w:val="none"/>
          <w:lang w:val="en-US" w:bidi="ar"/>
        </w:rPr>
        <w:t>就</w:t>
      </w:r>
      <w:r>
        <w:rPr>
          <w:rFonts w:hint="eastAsia"/>
          <w:color w:val="auto"/>
          <w:sz w:val="24"/>
          <w:szCs w:val="24"/>
          <w:highlight w:val="none"/>
          <w:lang w:val="en-US" w:eastAsia="zh-CN" w:bidi="ar"/>
        </w:rPr>
        <w:t>2025年卢氏县朱阳关镇河南村、鹳河村香菇烘干加工联建项目</w:t>
      </w:r>
      <w:r>
        <w:rPr>
          <w:rFonts w:hint="eastAsia"/>
          <w:color w:val="auto"/>
          <w:sz w:val="24"/>
          <w:szCs w:val="24"/>
          <w:highlight w:val="none"/>
          <w:lang w:val="en-US" w:bidi="ar"/>
        </w:rPr>
        <w:t>，</w:t>
      </w:r>
      <w:r>
        <w:rPr>
          <w:rFonts w:hint="eastAsia" w:cs="Times New Roman"/>
          <w:color w:val="auto"/>
          <w:sz w:val="24"/>
          <w:highlight w:val="none"/>
          <w:lang w:val="en-US" w:bidi="ar"/>
        </w:rPr>
        <w:t>进行竞争性磋商，欢迎符合资格条件的供</w:t>
      </w:r>
      <w:r>
        <w:rPr>
          <w:rFonts w:hint="eastAsia" w:cs="Times New Roman"/>
          <w:color w:val="auto"/>
          <w:sz w:val="24"/>
          <w:highlight w:val="none"/>
          <w:lang w:val="en-US" w:eastAsia="zh-CN" w:bidi="ar"/>
        </w:rPr>
        <w:t>应商参加磋商。</w:t>
      </w:r>
    </w:p>
    <w:p w14:paraId="0E42E050">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一、项目概况</w:t>
      </w:r>
    </w:p>
    <w:p w14:paraId="1E324AAC">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1.采购人：卢氏县朱阳关镇人民政府；</w:t>
      </w:r>
    </w:p>
    <w:p w14:paraId="07DBDF5C">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2.项目名称：2025年卢氏县朱阳关镇河南村、鹳河村香菇烘干加工联建项目；</w:t>
      </w:r>
    </w:p>
    <w:p w14:paraId="12E41111">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eastAsia="宋体"/>
          <w:color w:val="auto"/>
          <w:sz w:val="24"/>
          <w:highlight w:val="none"/>
          <w:lang w:val="en-US" w:eastAsia="zh-CN" w:bidi="ar"/>
        </w:rPr>
      </w:pPr>
      <w:r>
        <w:rPr>
          <w:rFonts w:hint="eastAsia" w:cs="Times New Roman"/>
          <w:color w:val="auto"/>
          <w:sz w:val="24"/>
          <w:highlight w:val="none"/>
          <w:lang w:val="en-US" w:eastAsia="zh-CN" w:bidi="ar"/>
        </w:rPr>
        <w:t>3.项目编</w:t>
      </w:r>
      <w:r>
        <w:rPr>
          <w:rFonts w:hint="eastAsia" w:cs="Times New Roman"/>
          <w:color w:val="auto"/>
          <w:sz w:val="24"/>
          <w:highlight w:val="none"/>
          <w:lang w:val="en-US" w:bidi="ar"/>
        </w:rPr>
        <w:t>号：三卢竞磋采购-2025-96</w:t>
      </w:r>
      <w:r>
        <w:rPr>
          <w:rFonts w:hint="eastAsia" w:cs="Times New Roman"/>
          <w:color w:val="auto"/>
          <w:sz w:val="24"/>
          <w:highlight w:val="none"/>
          <w:lang w:val="en-US" w:eastAsia="zh-CN" w:bidi="ar"/>
        </w:rPr>
        <w:t>、</w:t>
      </w:r>
      <w:r>
        <w:rPr>
          <w:rFonts w:hint="eastAsia" w:cs="Times New Roman"/>
          <w:color w:val="auto"/>
          <w:sz w:val="24"/>
          <w:highlight w:val="none"/>
          <w:lang w:val="en-US" w:bidi="ar"/>
        </w:rPr>
        <w:t>LSGZ[2025]236-ZC161</w:t>
      </w:r>
      <w:r>
        <w:rPr>
          <w:rFonts w:hint="eastAsia" w:cs="Times New Roman"/>
          <w:color w:val="auto"/>
          <w:sz w:val="24"/>
          <w:highlight w:val="none"/>
          <w:lang w:val="en-US" w:eastAsia="zh-CN" w:bidi="ar"/>
        </w:rPr>
        <w:t>；</w:t>
      </w:r>
    </w:p>
    <w:p w14:paraId="22D4357B">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olor w:val="auto"/>
          <w:sz w:val="24"/>
          <w:highlight w:val="none"/>
          <w:lang w:val="en-US" w:bidi="ar"/>
        </w:rPr>
      </w:pPr>
      <w:r>
        <w:rPr>
          <w:rFonts w:hint="eastAsia"/>
          <w:color w:val="auto"/>
          <w:sz w:val="24"/>
          <w:highlight w:val="none"/>
          <w:lang w:val="en-US" w:bidi="ar"/>
        </w:rPr>
        <w:t>4.预算金额：¥911020.01元；</w:t>
      </w:r>
    </w:p>
    <w:p w14:paraId="40CE5B7B">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5.资金来源：财政资金，已落实；</w:t>
      </w:r>
    </w:p>
    <w:p w14:paraId="499A94CB">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6.标段划分：本项目共分1个标段；</w:t>
      </w:r>
    </w:p>
    <w:p w14:paraId="1F48A8A1">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default"/>
          <w:color w:val="auto"/>
          <w:sz w:val="24"/>
          <w:highlight w:val="none"/>
          <w:lang w:val="en-US" w:eastAsia="zh-CN" w:bidi="ar"/>
        </w:rPr>
      </w:pPr>
      <w:r>
        <w:rPr>
          <w:rFonts w:hint="eastAsia" w:cs="Times New Roman"/>
          <w:color w:val="auto"/>
          <w:sz w:val="24"/>
          <w:highlight w:val="none"/>
          <w:lang w:val="en-US" w:bidi="ar"/>
        </w:rPr>
        <w:t>7.采购内容：202</w:t>
      </w:r>
      <w:r>
        <w:rPr>
          <w:rFonts w:hint="eastAsia" w:eastAsia="宋体"/>
          <w:color w:val="auto"/>
          <w:sz w:val="24"/>
          <w:highlight w:val="none"/>
          <w:lang w:val="en-US" w:eastAsia="zh-CN" w:bidi="ar"/>
        </w:rPr>
        <w:t>5年卢</w:t>
      </w:r>
      <w:r>
        <w:rPr>
          <w:rFonts w:hint="eastAsia"/>
          <w:color w:val="auto"/>
          <w:sz w:val="24"/>
          <w:highlight w:val="none"/>
          <w:lang w:val="en-US" w:eastAsia="zh-CN" w:bidi="ar"/>
        </w:rPr>
        <w:t>氏县朱阳关镇河南村、鹳河村香菇烘干加工联建项目（详见第三章采购内容及技术参数）</w:t>
      </w:r>
    </w:p>
    <w:p w14:paraId="44698914">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olor w:val="auto"/>
          <w:sz w:val="24"/>
          <w:highlight w:val="none"/>
          <w:lang w:val="en-US" w:bidi="ar"/>
        </w:rPr>
      </w:pPr>
      <w:r>
        <w:rPr>
          <w:rFonts w:hint="eastAsia"/>
          <w:color w:val="auto"/>
          <w:sz w:val="24"/>
          <w:highlight w:val="none"/>
          <w:lang w:val="en-US" w:eastAsia="zh-CN" w:bidi="ar"/>
        </w:rPr>
        <w:t>8.供货期限：合同签订后30日历天内完成交</w:t>
      </w:r>
      <w:r>
        <w:rPr>
          <w:rFonts w:hint="eastAsia"/>
          <w:color w:val="auto"/>
          <w:sz w:val="24"/>
          <w:highlight w:val="none"/>
          <w:lang w:val="en-US" w:bidi="ar"/>
        </w:rPr>
        <w:t>货、安装及调试；</w:t>
      </w:r>
    </w:p>
    <w:p w14:paraId="102814A2">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olor w:val="auto"/>
          <w:sz w:val="24"/>
          <w:highlight w:val="none"/>
          <w:lang w:val="en-US" w:bidi="ar"/>
        </w:rPr>
      </w:pPr>
      <w:r>
        <w:rPr>
          <w:rFonts w:hint="eastAsia"/>
          <w:color w:val="auto"/>
          <w:sz w:val="24"/>
          <w:highlight w:val="none"/>
          <w:lang w:val="en-US" w:bidi="ar"/>
        </w:rPr>
        <w:t>9.供货地点：</w:t>
      </w:r>
      <w:r>
        <w:rPr>
          <w:rFonts w:hint="eastAsia"/>
          <w:color w:val="auto"/>
          <w:sz w:val="24"/>
          <w:highlight w:val="none"/>
          <w:lang w:val="en-US" w:eastAsia="zh-CN" w:bidi="ar"/>
        </w:rPr>
        <w:t>卢氏县朱阳关镇河南村、鹳河村</w:t>
      </w:r>
      <w:r>
        <w:rPr>
          <w:rFonts w:hint="eastAsia"/>
          <w:color w:val="auto"/>
          <w:sz w:val="24"/>
          <w:highlight w:val="none"/>
          <w:lang w:val="en-US" w:bidi="ar"/>
        </w:rPr>
        <w:t>；</w:t>
      </w:r>
    </w:p>
    <w:p w14:paraId="61E3058F">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olor w:val="auto"/>
          <w:sz w:val="24"/>
          <w:highlight w:val="none"/>
          <w:lang w:val="en-US" w:bidi="ar"/>
        </w:rPr>
      </w:pPr>
      <w:r>
        <w:rPr>
          <w:rFonts w:hint="eastAsia"/>
          <w:color w:val="auto"/>
          <w:sz w:val="24"/>
          <w:highlight w:val="none"/>
          <w:lang w:val="en-US" w:bidi="ar"/>
        </w:rPr>
        <w:t>10.质量要求：合格，且满足采购人使用要求；</w:t>
      </w:r>
    </w:p>
    <w:p w14:paraId="6A096084">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olor w:val="auto"/>
          <w:sz w:val="24"/>
          <w:highlight w:val="none"/>
          <w:lang w:val="en-US" w:eastAsia="zh-CN" w:bidi="ar"/>
        </w:rPr>
      </w:pPr>
      <w:r>
        <w:rPr>
          <w:rFonts w:hint="eastAsia"/>
          <w:color w:val="auto"/>
          <w:sz w:val="24"/>
          <w:highlight w:val="none"/>
          <w:lang w:val="en-US" w:bidi="ar"/>
        </w:rPr>
        <w:t>11．质保期：自验收合格之日起2年</w:t>
      </w:r>
      <w:r>
        <w:rPr>
          <w:rFonts w:hint="eastAsia"/>
          <w:color w:val="auto"/>
          <w:sz w:val="24"/>
          <w:highlight w:val="none"/>
          <w:lang w:val="en-US" w:eastAsia="zh-CN" w:bidi="ar"/>
        </w:rPr>
        <w:t>；</w:t>
      </w:r>
    </w:p>
    <w:p w14:paraId="1D804936">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eastAsia="宋体" w:cs="Times New Roman"/>
          <w:color w:val="auto"/>
          <w:sz w:val="24"/>
          <w:highlight w:val="none"/>
          <w:lang w:val="en-US" w:eastAsia="zh-CN" w:bidi="ar"/>
        </w:rPr>
      </w:pPr>
      <w:r>
        <w:rPr>
          <w:rFonts w:cs="Times New Roman"/>
          <w:color w:val="auto"/>
          <w:sz w:val="24"/>
          <w:highlight w:val="none"/>
          <w:lang w:val="en-US" w:bidi="ar"/>
        </w:rPr>
        <w:t>12</w:t>
      </w:r>
      <w:r>
        <w:rPr>
          <w:rFonts w:hint="eastAsia" w:cs="Times New Roman"/>
          <w:color w:val="auto"/>
          <w:sz w:val="24"/>
          <w:highlight w:val="none"/>
          <w:lang w:val="en-US" w:bidi="ar"/>
        </w:rPr>
        <w:t>．是否专门面对中小型企业：</w:t>
      </w:r>
      <w:r>
        <w:rPr>
          <w:rFonts w:hint="eastAsia" w:cs="Times New Roman"/>
          <w:color w:val="auto"/>
          <w:sz w:val="24"/>
          <w:highlight w:val="none"/>
          <w:lang w:val="en-US" w:eastAsia="zh-CN" w:bidi="ar"/>
        </w:rPr>
        <w:t>是，</w:t>
      </w:r>
      <w:r>
        <w:rPr>
          <w:rFonts w:hint="eastAsia" w:cs="Times New Roman"/>
          <w:color w:val="auto"/>
          <w:sz w:val="24"/>
          <w:highlight w:val="none"/>
          <w:lang w:val="en-US" w:bidi="ar"/>
        </w:rPr>
        <w:t>落实政府采购政策满足的资格要求：根据《政府采购促进中小企业发展管理办法》（财库〔2020〕46号）规定，本项目专门面向中小企业采购,同时供应商须提供《中小企业声明函》</w:t>
      </w:r>
      <w:r>
        <w:rPr>
          <w:rFonts w:hint="eastAsia" w:cs="Times New Roman"/>
          <w:color w:val="auto"/>
          <w:sz w:val="24"/>
          <w:highlight w:val="none"/>
          <w:lang w:val="en-US" w:eastAsia="zh-CN" w:bidi="ar"/>
        </w:rPr>
        <w:t>。</w:t>
      </w:r>
    </w:p>
    <w:p w14:paraId="397FDCAF">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二、 供应商资格要求</w:t>
      </w:r>
    </w:p>
    <w:p w14:paraId="64F45767">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供应商参加本次政府采购活动必须符合《中华人民共和国政府采购法》第二十二条的规定并同时具备下列条件：</w:t>
      </w:r>
    </w:p>
    <w:p w14:paraId="55139C23">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bidi="ar"/>
        </w:rPr>
      </w:pPr>
      <w:r>
        <w:rPr>
          <w:rFonts w:hint="eastAsia" w:cs="Times New Roman"/>
          <w:color w:val="auto"/>
          <w:sz w:val="24"/>
          <w:highlight w:val="none"/>
          <w:lang w:val="en-US" w:eastAsia="zh-CN" w:bidi="ar"/>
        </w:rPr>
        <w:t>1.具有在中</w:t>
      </w:r>
      <w:r>
        <w:rPr>
          <w:rFonts w:hint="eastAsia" w:cs="Times New Roman"/>
          <w:color w:val="auto"/>
          <w:sz w:val="24"/>
          <w:highlight w:val="none"/>
          <w:lang w:val="en-US" w:bidi="ar"/>
        </w:rPr>
        <w:t>华人民共和国境内注册的能够独立承担民事责任的独立法人；具有有效的营业执照、税务登记证、组织机构代码证(或“三证合一”的营业执照)；</w:t>
      </w:r>
    </w:p>
    <w:p w14:paraId="6BD1789A">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2.具有履行本项目采购内容所必须的设备和专业技术服务能力；(提供证明材料或承诺书)；</w:t>
      </w:r>
    </w:p>
    <w:p w14:paraId="6071312D">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3.提供近半年任意连续三个月依法缴纳税收和缴纳社会保障资金，依法免税的供应商，应提供相应文件证明其依法免税；</w:t>
      </w:r>
    </w:p>
    <w:p w14:paraId="437EB9C0">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4.具有健全的财务会计制度和良好的财务状况，提供</w:t>
      </w:r>
      <w:r>
        <w:rPr>
          <w:rFonts w:cs="Times New Roman"/>
          <w:color w:val="auto"/>
          <w:sz w:val="24"/>
          <w:highlight w:val="none"/>
          <w:lang w:val="en-US" w:bidi="ar"/>
        </w:rPr>
        <w:t>2024年度财务报表或第三方审计机构出具的财务报告</w:t>
      </w:r>
      <w:r>
        <w:rPr>
          <w:rFonts w:hint="eastAsia" w:cs="Times New Roman"/>
          <w:color w:val="auto"/>
          <w:sz w:val="24"/>
          <w:highlight w:val="none"/>
          <w:lang w:val="en-US" w:bidi="ar"/>
        </w:rPr>
        <w:t>，</w:t>
      </w:r>
      <w:r>
        <w:rPr>
          <w:rFonts w:cs="Times New Roman"/>
          <w:color w:val="auto"/>
          <w:sz w:val="24"/>
          <w:highlight w:val="none"/>
          <w:lang w:val="en-US" w:bidi="ar"/>
        </w:rPr>
        <w:t>2025年新成立公司提供最新的财务报表及说明</w:t>
      </w:r>
      <w:r>
        <w:rPr>
          <w:rFonts w:hint="eastAsia" w:cs="Times New Roman"/>
          <w:color w:val="auto"/>
          <w:sz w:val="24"/>
          <w:highlight w:val="none"/>
          <w:lang w:val="en-US" w:bidi="ar"/>
        </w:rPr>
        <w:t xml:space="preserve">； </w:t>
      </w:r>
    </w:p>
    <w:p w14:paraId="16A3E09A">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5.参加政府采购活动前3年内无行贿犯罪记录，（开标时提供《中国裁判文书网》查询结果网页截图或企业自行承诺的无行贿犯罪承诺书，查询&lt;承诺&gt;对象为“企业，法定代表人，项目负责人”）；</w:t>
      </w:r>
    </w:p>
    <w:p w14:paraId="27D4147C">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6.</w:t>
      </w:r>
      <w:r>
        <w:rPr>
          <w:rFonts w:hint="eastAsia"/>
          <w:color w:val="auto"/>
          <w:highlight w:val="none"/>
        </w:rPr>
        <w:t xml:space="preserve"> </w:t>
      </w:r>
      <w:r>
        <w:rPr>
          <w:rFonts w:hint="eastAsia" w:cs="Times New Roman"/>
          <w:color w:val="auto"/>
          <w:sz w:val="24"/>
          <w:highlight w:val="none"/>
          <w:lang w:val="en-US" w:bidi="ar"/>
        </w:rPr>
        <w:t>参加政府采购活动前</w:t>
      </w:r>
      <w:r>
        <w:rPr>
          <w:rFonts w:cs="Times New Roman"/>
          <w:color w:val="auto"/>
          <w:sz w:val="24"/>
          <w:highlight w:val="none"/>
          <w:lang w:val="en-US" w:bidi="ar"/>
        </w:rPr>
        <w:t>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r>
        <w:rPr>
          <w:rFonts w:hint="eastAsia" w:cs="Times New Roman"/>
          <w:color w:val="auto"/>
          <w:sz w:val="24"/>
          <w:highlight w:val="none"/>
          <w:lang w:val="en-US" w:bidi="ar"/>
        </w:rPr>
        <w:t>；</w:t>
      </w:r>
    </w:p>
    <w:p w14:paraId="65226B1B">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7.</w:t>
      </w:r>
      <w:r>
        <w:rPr>
          <w:rFonts w:hint="eastAsia"/>
          <w:color w:val="auto"/>
          <w:highlight w:val="none"/>
        </w:rPr>
        <w:t xml:space="preserve"> </w:t>
      </w:r>
      <w:r>
        <w:rPr>
          <w:rFonts w:hint="eastAsia" w:cs="Times New Roman"/>
          <w:color w:val="auto"/>
          <w:sz w:val="24"/>
          <w:highlight w:val="none"/>
          <w:lang w:val="en-US" w:bidi="ar"/>
        </w:rPr>
        <w:t>根据《关于在政府采购活动中查询及使用信用记录有关问题的通知》</w:t>
      </w:r>
      <w:r>
        <w:rPr>
          <w:rFonts w:cs="Times New Roman"/>
          <w:color w:val="auto"/>
          <w:sz w:val="24"/>
          <w:highlight w:val="none"/>
          <w:lang w:val="en-US" w:bidi="ar"/>
        </w:rPr>
        <w:t>(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7D5BCE32">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8.本项目不接受联合体投标。</w:t>
      </w:r>
    </w:p>
    <w:p w14:paraId="2CC575A6">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bidi="ar"/>
        </w:rPr>
        <w:t>注：本次磋商实行资格后审；被列入失信被执行人及重大税收违法失信主体的企业做无效标</w:t>
      </w:r>
      <w:r>
        <w:rPr>
          <w:rFonts w:hint="eastAsia" w:cs="Times New Roman"/>
          <w:color w:val="auto"/>
          <w:sz w:val="24"/>
          <w:highlight w:val="none"/>
          <w:lang w:val="en-US" w:eastAsia="zh-CN" w:bidi="ar"/>
        </w:rPr>
        <w:t>处理。采购人或采购代理机构有权对投标人信用记录进行甄别和复查。</w:t>
      </w:r>
    </w:p>
    <w:bookmarkEnd w:id="6"/>
    <w:p w14:paraId="5ECAC7B9">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bookmarkStart w:id="7" w:name="_Toc21496_WPSOffice_Level1"/>
      <w:bookmarkStart w:id="8" w:name="_Toc17768"/>
      <w:bookmarkStart w:id="9" w:name="_Toc730"/>
      <w:r>
        <w:rPr>
          <w:rFonts w:hint="eastAsia" w:cs="Times New Roman"/>
          <w:color w:val="auto"/>
          <w:sz w:val="24"/>
          <w:highlight w:val="none"/>
          <w:lang w:val="en-US" w:eastAsia="zh-CN" w:bidi="ar"/>
        </w:rPr>
        <w:t>三、竞争性磋商文件的获取</w:t>
      </w:r>
    </w:p>
    <w:p w14:paraId="66C96E82">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bidi="ar"/>
        </w:rPr>
      </w:pPr>
      <w:r>
        <w:rPr>
          <w:rFonts w:hint="eastAsia" w:cs="Times New Roman"/>
          <w:color w:val="auto"/>
          <w:sz w:val="24"/>
          <w:highlight w:val="none"/>
          <w:lang w:val="en-US" w:eastAsia="zh-CN" w:bidi="ar"/>
        </w:rPr>
        <w:t>1、本项目</w:t>
      </w:r>
      <w:r>
        <w:rPr>
          <w:rFonts w:hint="eastAsia" w:cs="Times New Roman"/>
          <w:color w:val="auto"/>
          <w:sz w:val="24"/>
          <w:highlight w:val="none"/>
          <w:lang w:val="en-US" w:bidi="ar"/>
        </w:rPr>
        <w:t>没有报名环节，供应商凭CA数字证书通过三门峡市公共资源交易中心网（网址：http://www.smxgzjy.org），点击交易平台选择“交易主体登录”，在所参与项目右侧点击参与投标，即可直接下载本项目磋商文件（磋商文件中包含清单等投标所需一切内容）。办理CA证书链接：http://gzjy.smx.gov.cn/bzzx/008001/20211105/57b16af9-ab87-4395-a723-7758c628a3f8.html</w:t>
      </w:r>
    </w:p>
    <w:p w14:paraId="1C843863">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2、文件下载时间：2025年</w:t>
      </w:r>
      <w:r>
        <w:rPr>
          <w:rFonts w:hint="eastAsia" w:cs="Times New Roman"/>
          <w:color w:val="auto"/>
          <w:sz w:val="24"/>
          <w:highlight w:val="none"/>
          <w:lang w:val="en-US" w:eastAsia="zh-CN" w:bidi="ar"/>
        </w:rPr>
        <w:t>09</w:t>
      </w:r>
      <w:r>
        <w:rPr>
          <w:rFonts w:hint="eastAsia" w:cs="Times New Roman"/>
          <w:color w:val="auto"/>
          <w:sz w:val="24"/>
          <w:highlight w:val="none"/>
          <w:lang w:val="en-US" w:bidi="ar"/>
        </w:rPr>
        <w:t>月</w:t>
      </w:r>
      <w:r>
        <w:rPr>
          <w:rFonts w:hint="eastAsia" w:cs="Times New Roman"/>
          <w:color w:val="auto"/>
          <w:sz w:val="24"/>
          <w:highlight w:val="none"/>
          <w:lang w:val="en-US" w:eastAsia="zh-CN" w:bidi="ar"/>
        </w:rPr>
        <w:t>13</w:t>
      </w:r>
      <w:r>
        <w:rPr>
          <w:rFonts w:hint="eastAsia" w:cs="Times New Roman"/>
          <w:color w:val="auto"/>
          <w:sz w:val="24"/>
          <w:highlight w:val="none"/>
          <w:lang w:val="en-US" w:bidi="ar"/>
        </w:rPr>
        <w:t>日08时00分至2025年</w:t>
      </w:r>
      <w:r>
        <w:rPr>
          <w:rFonts w:hint="eastAsia" w:cs="Times New Roman"/>
          <w:color w:val="auto"/>
          <w:sz w:val="24"/>
          <w:highlight w:val="none"/>
          <w:lang w:val="en-US" w:eastAsia="zh-CN" w:bidi="ar"/>
        </w:rPr>
        <w:t>09</w:t>
      </w:r>
      <w:r>
        <w:rPr>
          <w:rFonts w:hint="eastAsia" w:cs="Times New Roman"/>
          <w:color w:val="auto"/>
          <w:sz w:val="24"/>
          <w:highlight w:val="none"/>
          <w:lang w:val="en-US" w:bidi="ar"/>
        </w:rPr>
        <w:t>月</w:t>
      </w:r>
      <w:r>
        <w:rPr>
          <w:rFonts w:hint="eastAsia" w:cs="Times New Roman"/>
          <w:color w:val="auto"/>
          <w:sz w:val="24"/>
          <w:highlight w:val="none"/>
          <w:lang w:val="en-US" w:eastAsia="zh-CN" w:bidi="ar"/>
        </w:rPr>
        <w:t>25</w:t>
      </w:r>
      <w:r>
        <w:rPr>
          <w:rFonts w:hint="eastAsia" w:cs="Times New Roman"/>
          <w:color w:val="auto"/>
          <w:sz w:val="24"/>
          <w:highlight w:val="none"/>
          <w:lang w:val="en-US" w:bidi="ar"/>
        </w:rPr>
        <w:t>日08时40分；</w:t>
      </w:r>
    </w:p>
    <w:p w14:paraId="105C4E74">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bidi="ar"/>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w:t>
      </w:r>
      <w:r>
        <w:rPr>
          <w:rFonts w:hint="eastAsia"/>
          <w:color w:val="auto"/>
          <w:sz w:val="32"/>
          <w:szCs w:val="32"/>
          <w:highlight w:val="none"/>
        </w:rPr>
        <w:t>c</w:t>
      </w:r>
      <w:r>
        <w:rPr>
          <w:rFonts w:hint="eastAsia" w:cs="Times New Roman"/>
          <w:color w:val="auto"/>
          <w:sz w:val="24"/>
          <w:highlight w:val="none"/>
          <w:lang w:val="en-US" w:bidi="ar"/>
        </w:rPr>
        <w:t>tion/hall/login）,在线准时参加开标活动并进行投标文件解密等。每位供应商的解密时间为开标时间起30分钟内完成。未按时解密的其投标将被否决。因供应商原因未能解密、解密失败或解密</w:t>
      </w:r>
      <w:r>
        <w:rPr>
          <w:rFonts w:hint="eastAsia" w:cs="Times New Roman"/>
          <w:color w:val="auto"/>
          <w:sz w:val="24"/>
          <w:highlight w:val="none"/>
          <w:lang w:val="en-US" w:eastAsia="zh-CN" w:bidi="ar"/>
        </w:rPr>
        <w:t>超时的将被拒绝；</w:t>
      </w:r>
    </w:p>
    <w:p w14:paraId="10691124">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4、本项目为全电子招标，不再收取磋商文件费用。</w:t>
      </w:r>
    </w:p>
    <w:p w14:paraId="3880B985">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四、投标供应商资料的提交</w:t>
      </w:r>
    </w:p>
    <w:p w14:paraId="7C1171A1">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本项目实行资格后审，审查内容以投标截止时间前在三门峡市公共资源交易中心网提交磋商响应文件的信息为准。规定时间外上传或更改的信息不作为评标依据。其上传资料真实性由供应商自行承担。</w:t>
      </w:r>
    </w:p>
    <w:p w14:paraId="30C3A6D8">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五、磋商保证金</w:t>
      </w:r>
    </w:p>
    <w:p w14:paraId="07AD81BB">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根据《河南省财政厅关于优化政府采购营商环境有关问题的通知》（豫财购【2019】4号）第6条的规定，磋商保证金不再收取。</w:t>
      </w:r>
    </w:p>
    <w:p w14:paraId="37DCA99F">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六、磋商响应文件的递交截止时间及开评标地点</w:t>
      </w:r>
    </w:p>
    <w:p w14:paraId="11970799">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1、磋商文件递交的截止时间（开标时间）：2025年09月25日08时40分；</w:t>
      </w:r>
    </w:p>
    <w:p w14:paraId="7E6E1ABF">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2、开标地点：卢氏县公共资源交易中心四楼第二开标室；</w:t>
      </w:r>
    </w:p>
    <w:p w14:paraId="5D323F89">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3、评标地点：卢氏县公共资源交易中心二楼第二评标室；</w:t>
      </w:r>
    </w:p>
    <w:p w14:paraId="2A52B2F8">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七、其他事项</w:t>
      </w:r>
    </w:p>
    <w:p w14:paraId="7AD9054F">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bidi="ar"/>
        </w:rPr>
      </w:pPr>
      <w:r>
        <w:rPr>
          <w:rFonts w:hint="eastAsia" w:cs="Times New Roman"/>
          <w:color w:val="auto"/>
          <w:sz w:val="24"/>
          <w:highlight w:val="none"/>
          <w:lang w:val="en-US" w:eastAsia="zh-CN" w:bidi="ar"/>
        </w:rPr>
        <w:t>1、投标供应</w:t>
      </w:r>
      <w:r>
        <w:rPr>
          <w:rFonts w:hint="eastAsia" w:cs="Times New Roman"/>
          <w:color w:val="auto"/>
          <w:sz w:val="24"/>
          <w:highlight w:val="none"/>
          <w:lang w:val="en-US" w:bidi="ar"/>
        </w:rPr>
        <w:t>商应仔细阅读操作手册，在本公告中要求的截止时间前完成磋商文件下载等工作。并充分考虑人为操作和时间等因素，因投标供应商操作不当造成的无法下载招标文件、无法投标等一切后果，由投标供应商自行承担；</w:t>
      </w:r>
    </w:p>
    <w:p w14:paraId="521F78C6">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2、投标所发生一切费用由各供应商自行承担，并承担相应的风险和责任；</w:t>
      </w:r>
    </w:p>
    <w:p w14:paraId="637D39A7">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3、供应商递交的投标文件不论中标与否均不予退还。</w:t>
      </w:r>
    </w:p>
    <w:p w14:paraId="7C275F7A">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bidi="ar"/>
        </w:rPr>
        <w:t>温馨提示：本项目为电子化、无纸化交易项目，开标时不再接受任何纸质资料，为保证您能</w:t>
      </w:r>
      <w:r>
        <w:rPr>
          <w:rFonts w:hint="eastAsia" w:cs="Times New Roman"/>
          <w:color w:val="auto"/>
          <w:sz w:val="24"/>
          <w:highlight w:val="none"/>
          <w:lang w:val="en-US" w:eastAsia="zh-CN" w:bidi="ar"/>
        </w:rPr>
        <w:t>开标成功，请需仔细阅读磋商文件和三门峡市公共资源交易中心官网业务办理指南。</w:t>
      </w:r>
    </w:p>
    <w:p w14:paraId="425227A1">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bidi="ar"/>
        </w:rPr>
      </w:pPr>
      <w:r>
        <w:rPr>
          <w:rFonts w:hint="eastAsia" w:cs="Times New Roman"/>
          <w:color w:val="auto"/>
          <w:sz w:val="24"/>
          <w:highlight w:val="none"/>
          <w:lang w:val="en-US" w:eastAsia="zh-CN" w:bidi="ar"/>
        </w:rPr>
        <w:t>八、发布公告的媒</w:t>
      </w:r>
      <w:r>
        <w:rPr>
          <w:rFonts w:hint="eastAsia" w:cs="Times New Roman"/>
          <w:color w:val="auto"/>
          <w:sz w:val="24"/>
          <w:highlight w:val="none"/>
          <w:lang w:val="en-US" w:bidi="ar"/>
        </w:rPr>
        <w:t>介</w:t>
      </w:r>
    </w:p>
    <w:p w14:paraId="1A196B32">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本次竞争性磋商公告同时在《中国招标投标公共服务平台》、《河南省政府采购网》、《三门峡市公共资源交易中心网》上发布发布。</w:t>
      </w:r>
    </w:p>
    <w:p w14:paraId="6B1BBF6B">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九、联系方式</w:t>
      </w:r>
    </w:p>
    <w:p w14:paraId="59D332DA">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bidi="ar"/>
        </w:rPr>
      </w:pPr>
      <w:r>
        <w:rPr>
          <w:rFonts w:hint="eastAsia" w:cs="Times New Roman"/>
          <w:color w:val="auto"/>
          <w:sz w:val="24"/>
          <w:highlight w:val="none"/>
          <w:lang w:val="en-US" w:eastAsia="zh-CN" w:bidi="ar"/>
        </w:rPr>
        <w:t>监督单</w:t>
      </w:r>
      <w:r>
        <w:rPr>
          <w:rFonts w:hint="eastAsia" w:cs="Times New Roman"/>
          <w:color w:val="auto"/>
          <w:sz w:val="24"/>
          <w:highlight w:val="none"/>
          <w:lang w:val="en-US" w:bidi="ar"/>
        </w:rPr>
        <w:t>位：卢氏县政府采购办公室</w:t>
      </w:r>
    </w:p>
    <w:p w14:paraId="784AA052">
      <w:pPr>
        <w:keepNext w:val="0"/>
        <w:keepLines w:val="0"/>
        <w:pageBreakBefore w:val="0"/>
        <w:kinsoku/>
        <w:wordWrap w:val="0"/>
        <w:overflowPunct/>
        <w:topLinePunct w:val="0"/>
        <w:autoSpaceDE w:val="0"/>
        <w:autoSpaceDN w:val="0"/>
        <w:bidi w:val="0"/>
        <w:adjustRightInd/>
        <w:snapToGrid/>
        <w:spacing w:line="360" w:lineRule="auto"/>
        <w:ind w:firstLine="480" w:firstLineChars="200"/>
        <w:jc w:val="both"/>
        <w:textAlignment w:val="auto"/>
        <w:rPr>
          <w:rFonts w:hint="eastAsia" w:cs="Times New Roman"/>
          <w:color w:val="auto"/>
          <w:sz w:val="24"/>
          <w:highlight w:val="none"/>
          <w:lang w:val="en-US" w:bidi="ar"/>
        </w:rPr>
      </w:pPr>
      <w:r>
        <w:rPr>
          <w:rFonts w:hint="eastAsia" w:cs="Times New Roman"/>
          <w:color w:val="auto"/>
          <w:sz w:val="24"/>
          <w:highlight w:val="none"/>
          <w:lang w:val="en-US" w:bidi="ar"/>
        </w:rPr>
        <w:t>联系人：郭伟静</w:t>
      </w:r>
    </w:p>
    <w:p w14:paraId="09CCB893">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default" w:cs="Times New Roman"/>
          <w:color w:val="auto"/>
          <w:sz w:val="24"/>
          <w:highlight w:val="none"/>
          <w:lang w:val="en-US" w:eastAsia="zh-CN" w:bidi="ar"/>
        </w:rPr>
      </w:pPr>
      <w:r>
        <w:rPr>
          <w:rFonts w:hint="eastAsia" w:cs="Times New Roman"/>
          <w:color w:val="auto"/>
          <w:sz w:val="24"/>
          <w:highlight w:val="none"/>
          <w:lang w:val="en-US" w:bidi="ar"/>
        </w:rPr>
        <w:t>电话：0398-78</w:t>
      </w:r>
      <w:r>
        <w:rPr>
          <w:rFonts w:hint="eastAsia" w:cs="Times New Roman"/>
          <w:color w:val="auto"/>
          <w:sz w:val="24"/>
          <w:highlight w:val="none"/>
          <w:lang w:val="en-US" w:eastAsia="zh-CN" w:bidi="ar"/>
        </w:rPr>
        <w:t>63556   13949795722</w:t>
      </w:r>
    </w:p>
    <w:p w14:paraId="1E8D88B5">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地址：卢氏县城关镇解放路中段</w:t>
      </w:r>
    </w:p>
    <w:p w14:paraId="6552DC2F">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default" w:cs="Times New Roman"/>
          <w:color w:val="auto"/>
          <w:sz w:val="24"/>
          <w:highlight w:val="none"/>
          <w:lang w:val="en-US" w:eastAsia="zh-CN" w:bidi="ar"/>
        </w:rPr>
      </w:pPr>
      <w:r>
        <w:rPr>
          <w:rFonts w:hint="eastAsia" w:cs="Times New Roman"/>
          <w:color w:val="auto"/>
          <w:sz w:val="24"/>
          <w:highlight w:val="none"/>
          <w:lang w:val="en-US" w:eastAsia="zh-CN" w:bidi="ar"/>
        </w:rPr>
        <w:t>监督单位：卢氏县朱阳关镇乡村建设办公室</w:t>
      </w:r>
    </w:p>
    <w:p w14:paraId="24819D9E">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default" w:cs="Times New Roman"/>
          <w:color w:val="auto"/>
          <w:sz w:val="24"/>
          <w:highlight w:val="none"/>
          <w:lang w:val="en-US" w:eastAsia="zh-CN" w:bidi="ar"/>
        </w:rPr>
      </w:pPr>
      <w:r>
        <w:rPr>
          <w:rFonts w:hint="eastAsia" w:cs="Times New Roman"/>
          <w:color w:val="auto"/>
          <w:sz w:val="24"/>
          <w:highlight w:val="none"/>
          <w:lang w:val="en-US" w:eastAsia="zh-CN" w:bidi="ar"/>
        </w:rPr>
        <w:t>联系人：温翩</w:t>
      </w:r>
    </w:p>
    <w:p w14:paraId="1B9485B7">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电话：18639857386、19233981791</w:t>
      </w:r>
    </w:p>
    <w:p w14:paraId="41198E18">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地址：卢氏县朱阳关镇朱阳关街</w:t>
      </w:r>
    </w:p>
    <w:p w14:paraId="7AC96FCA">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采购人：卢氏县朱阳关镇人民政府</w:t>
      </w:r>
    </w:p>
    <w:p w14:paraId="6FAED417">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联系人：贺磊</w:t>
      </w:r>
    </w:p>
    <w:p w14:paraId="52BC43B3">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default" w:eastAsia="宋体" w:cs="Times New Roman"/>
          <w:color w:val="auto"/>
          <w:sz w:val="24"/>
          <w:highlight w:val="none"/>
          <w:lang w:val="en-US" w:eastAsia="zh-CN" w:bidi="ar"/>
        </w:rPr>
      </w:pPr>
      <w:r>
        <w:rPr>
          <w:rFonts w:hint="eastAsia" w:cs="Times New Roman"/>
          <w:color w:val="auto"/>
          <w:sz w:val="24"/>
          <w:highlight w:val="none"/>
          <w:lang w:val="en-US" w:bidi="ar"/>
        </w:rPr>
        <w:t>电话：15238915310</w:t>
      </w:r>
      <w:r>
        <w:rPr>
          <w:rFonts w:cs="Times New Roman"/>
          <w:color w:val="auto"/>
          <w:sz w:val="24"/>
          <w:highlight w:val="none"/>
          <w:lang w:val="en-US" w:bidi="ar"/>
        </w:rPr>
        <w:t>、0398-</w:t>
      </w:r>
      <w:r>
        <w:rPr>
          <w:rFonts w:hint="eastAsia" w:cs="Times New Roman"/>
          <w:color w:val="auto"/>
          <w:sz w:val="24"/>
          <w:highlight w:val="none"/>
          <w:lang w:val="en-US" w:eastAsia="zh-CN" w:bidi="ar"/>
        </w:rPr>
        <w:t>7366287</w:t>
      </w:r>
    </w:p>
    <w:p w14:paraId="024CC733">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default" w:cs="Times New Roman"/>
          <w:color w:val="auto"/>
          <w:sz w:val="24"/>
          <w:highlight w:val="none"/>
          <w:lang w:val="en-US" w:bidi="ar"/>
        </w:rPr>
      </w:pPr>
      <w:r>
        <w:rPr>
          <w:rFonts w:hint="eastAsia" w:cs="Times New Roman"/>
          <w:color w:val="auto"/>
          <w:sz w:val="24"/>
          <w:highlight w:val="none"/>
          <w:lang w:val="en-US" w:bidi="ar"/>
        </w:rPr>
        <w:t>地址：</w:t>
      </w:r>
      <w:r>
        <w:rPr>
          <w:rFonts w:hint="eastAsia" w:cs="Times New Roman"/>
          <w:color w:val="auto"/>
          <w:sz w:val="24"/>
          <w:highlight w:val="none"/>
          <w:lang w:val="en-US" w:eastAsia="zh-CN" w:bidi="ar"/>
        </w:rPr>
        <w:t>卢氏县朱阳关镇朱阳关街</w:t>
      </w:r>
    </w:p>
    <w:p w14:paraId="3A415E62">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bidi="ar"/>
        </w:rPr>
        <w:t>代理机构：</w:t>
      </w:r>
      <w:r>
        <w:rPr>
          <w:rFonts w:hint="eastAsia" w:cs="Times New Roman"/>
          <w:color w:val="auto"/>
          <w:sz w:val="24"/>
          <w:highlight w:val="none"/>
          <w:lang w:val="en-US" w:eastAsia="zh-CN" w:bidi="ar"/>
        </w:rPr>
        <w:t>豫道郑对(河南)工程管理咨询有限公司</w:t>
      </w:r>
    </w:p>
    <w:p w14:paraId="209ABB1A">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default" w:cs="Times New Roman"/>
          <w:color w:val="auto"/>
          <w:sz w:val="24"/>
          <w:highlight w:val="none"/>
          <w:lang w:val="en-US" w:eastAsia="zh-CN" w:bidi="ar"/>
        </w:rPr>
      </w:pPr>
      <w:r>
        <w:rPr>
          <w:rFonts w:hint="eastAsia" w:cs="Times New Roman"/>
          <w:color w:val="auto"/>
          <w:sz w:val="24"/>
          <w:highlight w:val="none"/>
          <w:lang w:val="en-US" w:eastAsia="zh-CN" w:bidi="ar"/>
        </w:rPr>
        <w:t>联系人：崔文豪</w:t>
      </w:r>
    </w:p>
    <w:p w14:paraId="12BC9782">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default" w:cs="Times New Roman"/>
          <w:color w:val="auto"/>
          <w:sz w:val="24"/>
          <w:highlight w:val="none"/>
          <w:lang w:val="en-US" w:eastAsia="zh-CN" w:bidi="ar"/>
        </w:rPr>
      </w:pPr>
      <w:r>
        <w:rPr>
          <w:rFonts w:hint="eastAsia" w:cs="Times New Roman"/>
          <w:color w:val="auto"/>
          <w:sz w:val="24"/>
          <w:highlight w:val="none"/>
          <w:lang w:val="en-US" w:eastAsia="zh-CN" w:bidi="ar"/>
        </w:rPr>
        <w:t>联系方式：15939829092、17503713643</w:t>
      </w:r>
    </w:p>
    <w:p w14:paraId="3E345634">
      <w:pPr>
        <w:keepNext w:val="0"/>
        <w:keepLines w:val="0"/>
        <w:pageBreakBefore w:val="0"/>
        <w:kinsoku/>
        <w:wordWrap w:val="0"/>
        <w:overflowPunct/>
        <w:topLinePunct w:val="0"/>
        <w:autoSpaceDE w:val="0"/>
        <w:autoSpaceDN w:val="0"/>
        <w:bidi w:val="0"/>
        <w:adjustRightInd/>
        <w:snapToGrid/>
        <w:spacing w:line="360" w:lineRule="auto"/>
        <w:ind w:firstLine="410" w:firstLineChars="171"/>
        <w:jc w:val="both"/>
        <w:textAlignment w:val="auto"/>
        <w:rPr>
          <w:rFonts w:hint="eastAsia" w:cs="Times New Roman"/>
          <w:color w:val="auto"/>
          <w:sz w:val="24"/>
          <w:highlight w:val="none"/>
          <w:lang w:val="en-US" w:eastAsia="zh-CN" w:bidi="ar"/>
        </w:rPr>
      </w:pPr>
      <w:r>
        <w:rPr>
          <w:rFonts w:hint="eastAsia" w:cs="Times New Roman"/>
          <w:color w:val="auto"/>
          <w:sz w:val="24"/>
          <w:highlight w:val="none"/>
          <w:lang w:val="en-US" w:eastAsia="zh-CN" w:bidi="ar"/>
        </w:rPr>
        <w:t>地址：河南省郑州市金水区政七街4号1楼103室</w:t>
      </w:r>
    </w:p>
    <w:p w14:paraId="691487BE">
      <w:pPr>
        <w:widowControl/>
        <w:autoSpaceDE/>
        <w:autoSpaceDN/>
        <w:rPr>
          <w:b/>
          <w:bCs/>
          <w:color w:val="auto"/>
          <w:sz w:val="32"/>
          <w:szCs w:val="32"/>
          <w:highlight w:val="none"/>
        </w:rPr>
      </w:pPr>
      <w:r>
        <w:rPr>
          <w:b/>
          <w:bCs/>
          <w:color w:val="auto"/>
          <w:highlight w:val="none"/>
        </w:rPr>
        <w:br w:type="page"/>
      </w:r>
    </w:p>
    <w:p w14:paraId="09E47053">
      <w:pPr>
        <w:pStyle w:val="3"/>
        <w:wordWrap w:val="0"/>
        <w:ind w:left="0"/>
        <w:rPr>
          <w:color w:val="auto"/>
          <w:highlight w:val="none"/>
        </w:rPr>
      </w:pPr>
      <w:r>
        <w:rPr>
          <w:b/>
          <w:bCs/>
          <w:color w:val="auto"/>
          <w:highlight w:val="none"/>
        </w:rPr>
        <w:t xml:space="preserve">第二章 </w:t>
      </w:r>
      <w:r>
        <w:rPr>
          <w:rFonts w:hint="eastAsia"/>
          <w:b/>
          <w:bCs/>
          <w:color w:val="auto"/>
          <w:highlight w:val="none"/>
        </w:rPr>
        <w:t>供应商</w:t>
      </w:r>
      <w:r>
        <w:rPr>
          <w:b/>
          <w:bCs/>
          <w:color w:val="auto"/>
          <w:highlight w:val="none"/>
        </w:rPr>
        <w:t>须知及前附表</w:t>
      </w:r>
      <w:bookmarkEnd w:id="7"/>
      <w:bookmarkEnd w:id="8"/>
      <w:bookmarkEnd w:id="9"/>
    </w:p>
    <w:p w14:paraId="51CBCB6B">
      <w:pPr>
        <w:pStyle w:val="4"/>
        <w:wordWrap w:val="0"/>
        <w:spacing w:before="244"/>
        <w:ind w:left="0"/>
        <w:jc w:val="center"/>
        <w:rPr>
          <w:color w:val="auto"/>
          <w:sz w:val="28"/>
          <w:szCs w:val="28"/>
          <w:highlight w:val="none"/>
        </w:rPr>
      </w:pPr>
      <w:r>
        <w:rPr>
          <w:rFonts w:hint="eastAsia"/>
          <w:color w:val="auto"/>
          <w:sz w:val="28"/>
          <w:szCs w:val="28"/>
          <w:highlight w:val="none"/>
        </w:rPr>
        <w:t>供应商</w:t>
      </w:r>
      <w:r>
        <w:rPr>
          <w:color w:val="auto"/>
          <w:sz w:val="28"/>
          <w:szCs w:val="28"/>
          <w:highlight w:val="none"/>
        </w:rPr>
        <w:t>须知前附表</w:t>
      </w:r>
    </w:p>
    <w:p w14:paraId="5554804E">
      <w:pPr>
        <w:pStyle w:val="2"/>
        <w:wordWrap w:val="0"/>
        <w:spacing w:before="3"/>
        <w:ind w:left="0"/>
        <w:rPr>
          <w:rFonts w:ascii="宋体" w:hAnsi="宋体"/>
          <w:b/>
          <w:color w:val="auto"/>
          <w:sz w:val="6"/>
          <w:highlight w:val="none"/>
        </w:rPr>
      </w:pPr>
    </w:p>
    <w:tbl>
      <w:tblPr>
        <w:tblStyle w:val="15"/>
        <w:tblW w:w="10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385"/>
        <w:gridCol w:w="7450"/>
      </w:tblGrid>
      <w:tr w14:paraId="1AC4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1E484E16">
            <w:pPr>
              <w:jc w:val="center"/>
              <w:rPr>
                <w:b/>
                <w:bCs/>
                <w:color w:val="auto"/>
                <w:sz w:val="21"/>
                <w:szCs w:val="21"/>
                <w:highlight w:val="none"/>
              </w:rPr>
            </w:pPr>
            <w:r>
              <w:rPr>
                <w:rFonts w:hint="eastAsia"/>
                <w:b/>
                <w:bCs/>
                <w:color w:val="auto"/>
                <w:sz w:val="21"/>
                <w:szCs w:val="21"/>
                <w:highlight w:val="none"/>
              </w:rPr>
              <w:t>条款号</w:t>
            </w:r>
          </w:p>
        </w:tc>
        <w:tc>
          <w:tcPr>
            <w:tcW w:w="2385" w:type="dxa"/>
            <w:noWrap w:val="0"/>
            <w:tcMar>
              <w:left w:w="10" w:type="dxa"/>
              <w:right w:w="10" w:type="dxa"/>
            </w:tcMar>
            <w:vAlign w:val="center"/>
          </w:tcPr>
          <w:p w14:paraId="16B4B601">
            <w:pPr>
              <w:jc w:val="center"/>
              <w:rPr>
                <w:b/>
                <w:bCs/>
                <w:color w:val="auto"/>
                <w:sz w:val="21"/>
                <w:szCs w:val="21"/>
                <w:highlight w:val="none"/>
              </w:rPr>
            </w:pPr>
            <w:r>
              <w:rPr>
                <w:rFonts w:hint="eastAsia"/>
                <w:b/>
                <w:bCs/>
                <w:color w:val="auto"/>
                <w:sz w:val="21"/>
                <w:szCs w:val="21"/>
                <w:highlight w:val="none"/>
              </w:rPr>
              <w:t>条  款  名  称</w:t>
            </w:r>
          </w:p>
        </w:tc>
        <w:tc>
          <w:tcPr>
            <w:tcW w:w="7450" w:type="dxa"/>
            <w:noWrap w:val="0"/>
            <w:tcMar>
              <w:left w:w="10" w:type="dxa"/>
              <w:right w:w="10" w:type="dxa"/>
            </w:tcMar>
            <w:vAlign w:val="center"/>
          </w:tcPr>
          <w:p w14:paraId="6E7CC7F9">
            <w:pPr>
              <w:jc w:val="center"/>
              <w:rPr>
                <w:b/>
                <w:bCs/>
                <w:color w:val="auto"/>
                <w:sz w:val="21"/>
                <w:szCs w:val="21"/>
                <w:highlight w:val="none"/>
              </w:rPr>
            </w:pPr>
            <w:r>
              <w:rPr>
                <w:rFonts w:hint="eastAsia"/>
                <w:b/>
                <w:bCs/>
                <w:color w:val="auto"/>
                <w:sz w:val="21"/>
                <w:szCs w:val="21"/>
                <w:highlight w:val="none"/>
              </w:rPr>
              <w:t>编  列  内  容</w:t>
            </w:r>
          </w:p>
        </w:tc>
      </w:tr>
      <w:tr w14:paraId="0D79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9" w:type="dxa"/>
            <w:noWrap w:val="0"/>
            <w:tcMar>
              <w:left w:w="10" w:type="dxa"/>
              <w:right w:w="10" w:type="dxa"/>
            </w:tcMar>
            <w:vAlign w:val="center"/>
          </w:tcPr>
          <w:p w14:paraId="7515E1B3">
            <w:pPr>
              <w:jc w:val="center"/>
              <w:rPr>
                <w:rFonts w:hint="eastAsia"/>
                <w:color w:val="auto"/>
                <w:sz w:val="24"/>
                <w:szCs w:val="24"/>
                <w:highlight w:val="none"/>
                <w:lang w:val="en-US"/>
              </w:rPr>
            </w:pPr>
            <w:r>
              <w:rPr>
                <w:rFonts w:hint="eastAsia"/>
                <w:color w:val="auto"/>
                <w:sz w:val="24"/>
                <w:szCs w:val="24"/>
                <w:highlight w:val="none"/>
                <w:lang w:val="en-US"/>
              </w:rPr>
              <w:t>1</w:t>
            </w:r>
          </w:p>
        </w:tc>
        <w:tc>
          <w:tcPr>
            <w:tcW w:w="2385" w:type="dxa"/>
            <w:noWrap w:val="0"/>
            <w:tcMar>
              <w:left w:w="10" w:type="dxa"/>
              <w:right w:w="10" w:type="dxa"/>
            </w:tcMar>
            <w:vAlign w:val="center"/>
          </w:tcPr>
          <w:p w14:paraId="0DDCED87">
            <w:pPr>
              <w:jc w:val="center"/>
              <w:rPr>
                <w:rFonts w:hint="eastAsia"/>
                <w:color w:val="auto"/>
                <w:sz w:val="24"/>
                <w:szCs w:val="24"/>
                <w:highlight w:val="none"/>
                <w:lang w:val="en-US"/>
              </w:rPr>
            </w:pPr>
            <w:r>
              <w:rPr>
                <w:rFonts w:hint="eastAsia"/>
                <w:color w:val="auto"/>
                <w:sz w:val="24"/>
                <w:szCs w:val="24"/>
                <w:highlight w:val="none"/>
                <w:lang w:val="en-US"/>
              </w:rPr>
              <w:t>采购人</w:t>
            </w:r>
          </w:p>
        </w:tc>
        <w:tc>
          <w:tcPr>
            <w:tcW w:w="7450" w:type="dxa"/>
            <w:noWrap w:val="0"/>
            <w:tcMar>
              <w:left w:w="10" w:type="dxa"/>
              <w:right w:w="10" w:type="dxa"/>
            </w:tcMar>
            <w:vAlign w:val="center"/>
          </w:tcPr>
          <w:p w14:paraId="038BC425">
            <w:pPr>
              <w:rPr>
                <w:rFonts w:hint="eastAsia"/>
                <w:color w:val="auto"/>
                <w:sz w:val="24"/>
                <w:szCs w:val="24"/>
                <w:highlight w:val="none"/>
                <w:lang w:val="en-US" w:eastAsia="zh-CN"/>
              </w:rPr>
            </w:pPr>
            <w:r>
              <w:rPr>
                <w:rFonts w:hint="eastAsia"/>
                <w:color w:val="auto"/>
                <w:sz w:val="24"/>
                <w:szCs w:val="24"/>
                <w:highlight w:val="none"/>
                <w:lang w:val="en-US"/>
              </w:rPr>
              <w:t>采购人：</w:t>
            </w:r>
            <w:r>
              <w:rPr>
                <w:rFonts w:hint="eastAsia"/>
                <w:color w:val="auto"/>
                <w:sz w:val="24"/>
                <w:szCs w:val="24"/>
                <w:highlight w:val="none"/>
                <w:lang w:val="en-US" w:eastAsia="zh-CN"/>
              </w:rPr>
              <w:t>卢氏县朱阳关镇人民政府</w:t>
            </w:r>
          </w:p>
          <w:p w14:paraId="39EAE7B6">
            <w:pPr>
              <w:rPr>
                <w:rFonts w:hint="eastAsia"/>
                <w:color w:val="auto"/>
                <w:sz w:val="24"/>
                <w:szCs w:val="24"/>
                <w:highlight w:val="none"/>
                <w:lang w:val="en-US"/>
              </w:rPr>
            </w:pPr>
            <w:r>
              <w:rPr>
                <w:rFonts w:hint="eastAsia"/>
                <w:color w:val="auto"/>
                <w:sz w:val="24"/>
                <w:szCs w:val="24"/>
                <w:highlight w:val="none"/>
                <w:lang w:val="en-US"/>
              </w:rPr>
              <w:t>联系人：贺磊</w:t>
            </w:r>
          </w:p>
          <w:p w14:paraId="614869D2">
            <w:pPr>
              <w:rPr>
                <w:rFonts w:hint="eastAsia"/>
                <w:color w:val="auto"/>
                <w:sz w:val="24"/>
                <w:szCs w:val="24"/>
                <w:highlight w:val="none"/>
                <w:lang w:val="en-US" w:eastAsia="zh-CN"/>
              </w:rPr>
            </w:pPr>
            <w:r>
              <w:rPr>
                <w:rFonts w:hint="eastAsia"/>
                <w:color w:val="auto"/>
                <w:sz w:val="24"/>
                <w:szCs w:val="24"/>
                <w:highlight w:val="none"/>
                <w:lang w:val="en-US"/>
              </w:rPr>
              <w:t>电话：15238915310、0398-</w:t>
            </w:r>
            <w:r>
              <w:rPr>
                <w:rFonts w:hint="eastAsia"/>
                <w:color w:val="auto"/>
                <w:sz w:val="24"/>
                <w:szCs w:val="24"/>
                <w:highlight w:val="none"/>
                <w:lang w:val="en-US" w:eastAsia="zh-CN"/>
              </w:rPr>
              <w:t>7366287</w:t>
            </w:r>
          </w:p>
          <w:p w14:paraId="37E32340">
            <w:pPr>
              <w:rPr>
                <w:rFonts w:hint="eastAsia"/>
                <w:color w:val="auto"/>
                <w:sz w:val="24"/>
                <w:szCs w:val="24"/>
                <w:highlight w:val="none"/>
                <w:lang w:val="en-US"/>
              </w:rPr>
            </w:pPr>
            <w:r>
              <w:rPr>
                <w:rFonts w:hint="eastAsia"/>
                <w:color w:val="auto"/>
                <w:sz w:val="24"/>
                <w:szCs w:val="24"/>
                <w:highlight w:val="none"/>
                <w:lang w:val="en-US"/>
              </w:rPr>
              <w:t>地址：</w:t>
            </w:r>
            <w:r>
              <w:rPr>
                <w:rFonts w:hint="eastAsia"/>
                <w:color w:val="auto"/>
                <w:sz w:val="24"/>
                <w:szCs w:val="24"/>
                <w:highlight w:val="none"/>
                <w:lang w:val="en-US" w:eastAsia="zh-CN"/>
              </w:rPr>
              <w:t>卢氏县朱阳关镇朱阳关街</w:t>
            </w:r>
          </w:p>
        </w:tc>
      </w:tr>
      <w:tr w14:paraId="0E5C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9" w:type="dxa"/>
            <w:noWrap w:val="0"/>
            <w:tcMar>
              <w:left w:w="10" w:type="dxa"/>
              <w:right w:w="10" w:type="dxa"/>
            </w:tcMar>
            <w:vAlign w:val="center"/>
          </w:tcPr>
          <w:p w14:paraId="19FE0A70">
            <w:pPr>
              <w:jc w:val="center"/>
              <w:rPr>
                <w:rFonts w:hint="eastAsia"/>
                <w:color w:val="auto"/>
                <w:sz w:val="24"/>
                <w:szCs w:val="24"/>
                <w:highlight w:val="none"/>
                <w:lang w:val="en-US"/>
              </w:rPr>
            </w:pPr>
            <w:r>
              <w:rPr>
                <w:rFonts w:hint="eastAsia"/>
                <w:color w:val="auto"/>
                <w:sz w:val="24"/>
                <w:szCs w:val="24"/>
                <w:highlight w:val="none"/>
                <w:lang w:val="en-US"/>
              </w:rPr>
              <w:t>2</w:t>
            </w:r>
          </w:p>
        </w:tc>
        <w:tc>
          <w:tcPr>
            <w:tcW w:w="2385" w:type="dxa"/>
            <w:noWrap w:val="0"/>
            <w:tcMar>
              <w:left w:w="10" w:type="dxa"/>
              <w:right w:w="10" w:type="dxa"/>
            </w:tcMar>
            <w:vAlign w:val="center"/>
          </w:tcPr>
          <w:p w14:paraId="09C2AAC9">
            <w:pPr>
              <w:jc w:val="center"/>
              <w:rPr>
                <w:color w:val="auto"/>
                <w:sz w:val="24"/>
                <w:szCs w:val="24"/>
                <w:highlight w:val="none"/>
                <w:lang w:val="en-US"/>
              </w:rPr>
            </w:pPr>
            <w:r>
              <w:rPr>
                <w:rFonts w:hint="eastAsia"/>
                <w:color w:val="auto"/>
                <w:sz w:val="24"/>
                <w:szCs w:val="24"/>
                <w:highlight w:val="none"/>
                <w:lang w:val="en-US"/>
              </w:rPr>
              <w:t>监督单位</w:t>
            </w:r>
          </w:p>
        </w:tc>
        <w:tc>
          <w:tcPr>
            <w:tcW w:w="7450" w:type="dxa"/>
            <w:noWrap w:val="0"/>
            <w:tcMar>
              <w:left w:w="10" w:type="dxa"/>
              <w:right w:w="10" w:type="dxa"/>
            </w:tcMar>
            <w:vAlign w:val="center"/>
          </w:tcPr>
          <w:p w14:paraId="18DD951A">
            <w:pPr>
              <w:rPr>
                <w:rFonts w:hint="eastAsia"/>
                <w:color w:val="auto"/>
                <w:sz w:val="24"/>
                <w:szCs w:val="24"/>
                <w:highlight w:val="none"/>
                <w:lang w:val="en-US"/>
              </w:rPr>
            </w:pPr>
            <w:r>
              <w:rPr>
                <w:rFonts w:hint="eastAsia"/>
                <w:color w:val="auto"/>
                <w:sz w:val="24"/>
                <w:szCs w:val="24"/>
                <w:highlight w:val="none"/>
                <w:lang w:val="en-US" w:eastAsia="zh-CN"/>
              </w:rPr>
              <w:t>监督单</w:t>
            </w:r>
            <w:r>
              <w:rPr>
                <w:rFonts w:hint="eastAsia"/>
                <w:color w:val="auto"/>
                <w:sz w:val="24"/>
                <w:szCs w:val="24"/>
                <w:highlight w:val="none"/>
                <w:lang w:val="en-US"/>
              </w:rPr>
              <w:t>位：卢氏县政府采购办公室</w:t>
            </w:r>
          </w:p>
          <w:p w14:paraId="44A5D388">
            <w:pPr>
              <w:rPr>
                <w:rFonts w:hint="eastAsia"/>
                <w:color w:val="auto"/>
                <w:sz w:val="24"/>
                <w:szCs w:val="24"/>
                <w:highlight w:val="none"/>
                <w:lang w:val="en-US"/>
              </w:rPr>
            </w:pPr>
            <w:r>
              <w:rPr>
                <w:rFonts w:hint="eastAsia"/>
                <w:color w:val="auto"/>
                <w:sz w:val="24"/>
                <w:szCs w:val="24"/>
                <w:highlight w:val="none"/>
                <w:lang w:val="en-US"/>
              </w:rPr>
              <w:t>联系人：郭伟静</w:t>
            </w:r>
          </w:p>
          <w:p w14:paraId="456C30A4">
            <w:pPr>
              <w:rPr>
                <w:rFonts w:hint="eastAsia"/>
                <w:color w:val="auto"/>
                <w:sz w:val="24"/>
                <w:szCs w:val="24"/>
                <w:highlight w:val="none"/>
                <w:lang w:val="en-US" w:eastAsia="zh-CN"/>
              </w:rPr>
            </w:pPr>
            <w:r>
              <w:rPr>
                <w:rFonts w:hint="eastAsia"/>
                <w:color w:val="auto"/>
                <w:sz w:val="24"/>
                <w:szCs w:val="24"/>
                <w:highlight w:val="none"/>
                <w:lang w:val="en-US"/>
              </w:rPr>
              <w:t>电话：0398-78</w:t>
            </w:r>
            <w:r>
              <w:rPr>
                <w:rFonts w:hint="eastAsia"/>
                <w:color w:val="auto"/>
                <w:sz w:val="24"/>
                <w:szCs w:val="24"/>
                <w:highlight w:val="none"/>
                <w:lang w:val="en-US" w:eastAsia="zh-CN"/>
              </w:rPr>
              <w:t>63556   13949795722</w:t>
            </w:r>
          </w:p>
          <w:p w14:paraId="3B9BBADF">
            <w:pPr>
              <w:rPr>
                <w:rFonts w:hint="eastAsia"/>
                <w:color w:val="auto"/>
                <w:sz w:val="24"/>
                <w:szCs w:val="24"/>
                <w:highlight w:val="none"/>
                <w:lang w:val="en-US" w:eastAsia="zh-CN"/>
              </w:rPr>
            </w:pPr>
            <w:r>
              <w:rPr>
                <w:rFonts w:hint="eastAsia"/>
                <w:color w:val="auto"/>
                <w:sz w:val="24"/>
                <w:szCs w:val="24"/>
                <w:highlight w:val="none"/>
                <w:lang w:val="en-US" w:eastAsia="zh-CN"/>
              </w:rPr>
              <w:t>地址：卢氏县城关镇解放路中段</w:t>
            </w:r>
          </w:p>
          <w:p w14:paraId="7D0C87B6">
            <w:pPr>
              <w:rPr>
                <w:rFonts w:hint="eastAsia"/>
                <w:color w:val="auto"/>
                <w:sz w:val="24"/>
                <w:szCs w:val="24"/>
                <w:highlight w:val="none"/>
                <w:lang w:val="en-US" w:eastAsia="zh-CN"/>
              </w:rPr>
            </w:pPr>
            <w:r>
              <w:rPr>
                <w:rFonts w:hint="eastAsia"/>
                <w:color w:val="auto"/>
                <w:sz w:val="24"/>
                <w:szCs w:val="24"/>
                <w:highlight w:val="none"/>
                <w:lang w:val="en-US" w:eastAsia="zh-CN"/>
              </w:rPr>
              <w:t>监督单位：卢氏县朱阳关镇乡村建设办公室</w:t>
            </w:r>
          </w:p>
          <w:p w14:paraId="02E3CBE3">
            <w:pPr>
              <w:rPr>
                <w:rFonts w:hint="eastAsia"/>
                <w:color w:val="auto"/>
                <w:sz w:val="24"/>
                <w:szCs w:val="24"/>
                <w:highlight w:val="none"/>
                <w:lang w:val="en-US" w:eastAsia="zh-CN"/>
              </w:rPr>
            </w:pPr>
            <w:r>
              <w:rPr>
                <w:rFonts w:hint="eastAsia"/>
                <w:color w:val="auto"/>
                <w:sz w:val="24"/>
                <w:szCs w:val="24"/>
                <w:highlight w:val="none"/>
                <w:lang w:val="en-US" w:eastAsia="zh-CN"/>
              </w:rPr>
              <w:t>联系人：温翩</w:t>
            </w:r>
          </w:p>
          <w:p w14:paraId="3FB52FDE">
            <w:pPr>
              <w:rPr>
                <w:rFonts w:hint="eastAsia"/>
                <w:color w:val="auto"/>
                <w:sz w:val="24"/>
                <w:szCs w:val="24"/>
                <w:highlight w:val="none"/>
                <w:lang w:val="en-US" w:eastAsia="zh-CN"/>
              </w:rPr>
            </w:pPr>
            <w:r>
              <w:rPr>
                <w:rFonts w:hint="eastAsia"/>
                <w:color w:val="auto"/>
                <w:sz w:val="24"/>
                <w:szCs w:val="24"/>
                <w:highlight w:val="none"/>
                <w:lang w:val="en-US" w:eastAsia="zh-CN"/>
              </w:rPr>
              <w:t>电话：18639857386、19233981791</w:t>
            </w:r>
          </w:p>
          <w:p w14:paraId="79BD2B7E">
            <w:pPr>
              <w:rPr>
                <w:rFonts w:hint="eastAsia"/>
                <w:color w:val="auto"/>
                <w:sz w:val="24"/>
                <w:szCs w:val="24"/>
                <w:highlight w:val="none"/>
                <w:lang w:val="en-US"/>
              </w:rPr>
            </w:pPr>
            <w:r>
              <w:rPr>
                <w:rFonts w:hint="eastAsia"/>
                <w:color w:val="auto"/>
                <w:sz w:val="24"/>
                <w:szCs w:val="24"/>
                <w:highlight w:val="none"/>
                <w:lang w:val="en-US" w:eastAsia="zh-CN"/>
              </w:rPr>
              <w:t>地址：卢氏县朱阳关镇朱阳关街</w:t>
            </w:r>
          </w:p>
        </w:tc>
      </w:tr>
      <w:tr w14:paraId="7ECD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9" w:type="dxa"/>
            <w:noWrap w:val="0"/>
            <w:tcMar>
              <w:left w:w="10" w:type="dxa"/>
              <w:right w:w="10" w:type="dxa"/>
            </w:tcMar>
            <w:vAlign w:val="center"/>
          </w:tcPr>
          <w:p w14:paraId="076F7B89">
            <w:pPr>
              <w:jc w:val="center"/>
              <w:rPr>
                <w:rFonts w:hint="eastAsia"/>
                <w:color w:val="auto"/>
                <w:sz w:val="24"/>
                <w:szCs w:val="24"/>
                <w:highlight w:val="none"/>
                <w:lang w:val="en-US"/>
              </w:rPr>
            </w:pPr>
            <w:r>
              <w:rPr>
                <w:rFonts w:hint="eastAsia"/>
                <w:color w:val="auto"/>
                <w:sz w:val="24"/>
                <w:szCs w:val="24"/>
                <w:highlight w:val="none"/>
                <w:lang w:val="en-US"/>
              </w:rPr>
              <w:t>3</w:t>
            </w:r>
          </w:p>
        </w:tc>
        <w:tc>
          <w:tcPr>
            <w:tcW w:w="2385" w:type="dxa"/>
            <w:noWrap w:val="0"/>
            <w:tcMar>
              <w:left w:w="10" w:type="dxa"/>
              <w:right w:w="10" w:type="dxa"/>
            </w:tcMar>
            <w:vAlign w:val="center"/>
          </w:tcPr>
          <w:p w14:paraId="2A80FCBF">
            <w:pPr>
              <w:jc w:val="center"/>
              <w:rPr>
                <w:rFonts w:hint="eastAsia"/>
                <w:color w:val="auto"/>
                <w:sz w:val="24"/>
                <w:szCs w:val="24"/>
                <w:highlight w:val="none"/>
                <w:lang w:val="en-US"/>
              </w:rPr>
            </w:pPr>
            <w:r>
              <w:rPr>
                <w:rFonts w:hint="eastAsia"/>
                <w:color w:val="auto"/>
                <w:sz w:val="24"/>
                <w:szCs w:val="24"/>
                <w:highlight w:val="none"/>
                <w:lang w:val="en-US"/>
              </w:rPr>
              <w:t>代理机构</w:t>
            </w:r>
          </w:p>
        </w:tc>
        <w:tc>
          <w:tcPr>
            <w:tcW w:w="7450" w:type="dxa"/>
            <w:noWrap w:val="0"/>
            <w:tcMar>
              <w:left w:w="10" w:type="dxa"/>
              <w:right w:w="10" w:type="dxa"/>
            </w:tcMar>
            <w:vAlign w:val="center"/>
          </w:tcPr>
          <w:p w14:paraId="615F530C">
            <w:pPr>
              <w:rPr>
                <w:rFonts w:hint="eastAsia"/>
                <w:color w:val="auto"/>
                <w:sz w:val="24"/>
                <w:szCs w:val="24"/>
                <w:highlight w:val="none"/>
                <w:lang w:val="en-US" w:eastAsia="zh-CN"/>
              </w:rPr>
            </w:pPr>
            <w:r>
              <w:rPr>
                <w:rFonts w:hint="eastAsia"/>
                <w:color w:val="auto"/>
                <w:sz w:val="24"/>
                <w:szCs w:val="24"/>
                <w:highlight w:val="none"/>
                <w:lang w:val="en-US"/>
              </w:rPr>
              <w:t>代理机构：</w:t>
            </w:r>
            <w:r>
              <w:rPr>
                <w:rFonts w:hint="eastAsia"/>
                <w:color w:val="auto"/>
                <w:sz w:val="24"/>
                <w:szCs w:val="24"/>
                <w:highlight w:val="none"/>
                <w:lang w:val="en-US" w:eastAsia="zh-CN"/>
              </w:rPr>
              <w:t>豫道郑对(河南)工程管理咨询有限公司</w:t>
            </w:r>
          </w:p>
          <w:p w14:paraId="55BCDF7E">
            <w:pPr>
              <w:rPr>
                <w:rFonts w:hint="eastAsia"/>
                <w:color w:val="auto"/>
                <w:sz w:val="24"/>
                <w:szCs w:val="24"/>
                <w:highlight w:val="none"/>
                <w:lang w:val="en-US" w:eastAsia="zh-CN"/>
              </w:rPr>
            </w:pPr>
            <w:r>
              <w:rPr>
                <w:rFonts w:hint="eastAsia"/>
                <w:color w:val="auto"/>
                <w:sz w:val="24"/>
                <w:szCs w:val="24"/>
                <w:highlight w:val="none"/>
                <w:lang w:val="en-US" w:eastAsia="zh-CN"/>
              </w:rPr>
              <w:t>联系人：崔文豪</w:t>
            </w:r>
          </w:p>
          <w:p w14:paraId="6A74B089">
            <w:pPr>
              <w:rPr>
                <w:rFonts w:hint="eastAsia"/>
                <w:color w:val="auto"/>
                <w:sz w:val="24"/>
                <w:szCs w:val="24"/>
                <w:highlight w:val="none"/>
                <w:lang w:val="en-US" w:eastAsia="zh-CN"/>
              </w:rPr>
            </w:pPr>
            <w:r>
              <w:rPr>
                <w:rFonts w:hint="eastAsia"/>
                <w:color w:val="auto"/>
                <w:sz w:val="24"/>
                <w:szCs w:val="24"/>
                <w:highlight w:val="none"/>
                <w:lang w:val="en-US" w:eastAsia="zh-CN"/>
              </w:rPr>
              <w:t>联系方式：15939829092、17503713643</w:t>
            </w:r>
          </w:p>
          <w:p w14:paraId="5D18199E">
            <w:pPr>
              <w:rPr>
                <w:rFonts w:hint="eastAsia"/>
                <w:color w:val="auto"/>
                <w:sz w:val="24"/>
                <w:szCs w:val="24"/>
                <w:highlight w:val="none"/>
                <w:lang w:val="en-US"/>
              </w:rPr>
            </w:pPr>
            <w:r>
              <w:rPr>
                <w:rFonts w:hint="eastAsia"/>
                <w:color w:val="auto"/>
                <w:sz w:val="24"/>
                <w:szCs w:val="24"/>
                <w:highlight w:val="none"/>
                <w:lang w:val="en-US" w:eastAsia="zh-CN"/>
              </w:rPr>
              <w:t>地址：河南省郑州市金水区政七街4号1楼103室</w:t>
            </w:r>
          </w:p>
        </w:tc>
      </w:tr>
      <w:tr w14:paraId="54D3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79" w:type="dxa"/>
            <w:noWrap w:val="0"/>
            <w:tcMar>
              <w:left w:w="10" w:type="dxa"/>
              <w:right w:w="10" w:type="dxa"/>
            </w:tcMar>
            <w:vAlign w:val="center"/>
          </w:tcPr>
          <w:p w14:paraId="08651C5C">
            <w:pPr>
              <w:jc w:val="center"/>
              <w:rPr>
                <w:rFonts w:hint="eastAsia"/>
                <w:color w:val="auto"/>
                <w:sz w:val="24"/>
                <w:szCs w:val="24"/>
                <w:highlight w:val="none"/>
                <w:lang w:val="en-US"/>
              </w:rPr>
            </w:pPr>
            <w:r>
              <w:rPr>
                <w:rFonts w:hint="eastAsia"/>
                <w:color w:val="auto"/>
                <w:sz w:val="24"/>
                <w:szCs w:val="24"/>
                <w:highlight w:val="none"/>
                <w:lang w:val="en-US"/>
              </w:rPr>
              <w:t>4</w:t>
            </w:r>
          </w:p>
        </w:tc>
        <w:tc>
          <w:tcPr>
            <w:tcW w:w="2385" w:type="dxa"/>
            <w:noWrap w:val="0"/>
            <w:tcMar>
              <w:left w:w="10" w:type="dxa"/>
              <w:right w:w="10" w:type="dxa"/>
            </w:tcMar>
            <w:vAlign w:val="center"/>
          </w:tcPr>
          <w:p w14:paraId="30BE88D9">
            <w:pPr>
              <w:jc w:val="center"/>
              <w:rPr>
                <w:color w:val="auto"/>
                <w:sz w:val="24"/>
                <w:szCs w:val="24"/>
                <w:highlight w:val="none"/>
                <w:lang w:val="en-US"/>
              </w:rPr>
            </w:pPr>
            <w:r>
              <w:rPr>
                <w:rFonts w:hint="eastAsia"/>
                <w:color w:val="auto"/>
                <w:sz w:val="24"/>
                <w:szCs w:val="24"/>
                <w:highlight w:val="none"/>
                <w:lang w:val="en-US"/>
              </w:rPr>
              <w:t>项目名称</w:t>
            </w:r>
          </w:p>
        </w:tc>
        <w:tc>
          <w:tcPr>
            <w:tcW w:w="7450" w:type="dxa"/>
            <w:noWrap w:val="0"/>
            <w:tcMar>
              <w:left w:w="10" w:type="dxa"/>
              <w:right w:w="10" w:type="dxa"/>
            </w:tcMar>
            <w:vAlign w:val="center"/>
          </w:tcPr>
          <w:p w14:paraId="64A65B90">
            <w:pPr>
              <w:rPr>
                <w:rFonts w:hint="eastAsia" w:eastAsia="宋体"/>
                <w:color w:val="auto"/>
                <w:sz w:val="24"/>
                <w:szCs w:val="24"/>
                <w:highlight w:val="none"/>
                <w:lang w:val="en-US" w:eastAsia="zh-CN"/>
              </w:rPr>
            </w:pPr>
            <w:r>
              <w:rPr>
                <w:rFonts w:hint="eastAsia"/>
                <w:bCs/>
                <w:color w:val="auto"/>
                <w:sz w:val="24"/>
                <w:szCs w:val="24"/>
                <w:highlight w:val="none"/>
                <w:lang w:eastAsia="zh-CN"/>
              </w:rPr>
              <w:t>2025年卢氏县朱阳关镇河南村、鹳河村香菇烘干加工联建项目</w:t>
            </w:r>
          </w:p>
        </w:tc>
      </w:tr>
      <w:tr w14:paraId="1D8D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9" w:type="dxa"/>
            <w:noWrap w:val="0"/>
            <w:tcMar>
              <w:left w:w="10" w:type="dxa"/>
              <w:right w:w="10" w:type="dxa"/>
            </w:tcMar>
            <w:vAlign w:val="center"/>
          </w:tcPr>
          <w:p w14:paraId="4E1AE4A8">
            <w:pPr>
              <w:jc w:val="center"/>
              <w:rPr>
                <w:rFonts w:hint="eastAsia"/>
                <w:color w:val="auto"/>
                <w:sz w:val="24"/>
                <w:szCs w:val="24"/>
                <w:highlight w:val="none"/>
                <w:lang w:val="en-US"/>
              </w:rPr>
            </w:pPr>
            <w:r>
              <w:rPr>
                <w:rFonts w:hint="eastAsia"/>
                <w:color w:val="auto"/>
                <w:sz w:val="24"/>
                <w:szCs w:val="24"/>
                <w:highlight w:val="none"/>
                <w:lang w:val="en-US"/>
              </w:rPr>
              <w:t>5</w:t>
            </w:r>
          </w:p>
        </w:tc>
        <w:tc>
          <w:tcPr>
            <w:tcW w:w="2385" w:type="dxa"/>
            <w:noWrap w:val="0"/>
            <w:tcMar>
              <w:left w:w="10" w:type="dxa"/>
              <w:right w:w="10" w:type="dxa"/>
            </w:tcMar>
            <w:vAlign w:val="center"/>
          </w:tcPr>
          <w:p w14:paraId="3177EEF7">
            <w:pPr>
              <w:jc w:val="center"/>
              <w:rPr>
                <w:rFonts w:hint="eastAsia"/>
                <w:color w:val="auto"/>
                <w:sz w:val="24"/>
                <w:szCs w:val="24"/>
                <w:highlight w:val="none"/>
                <w:lang w:val="en-US"/>
              </w:rPr>
            </w:pPr>
            <w:r>
              <w:rPr>
                <w:rFonts w:hint="eastAsia"/>
                <w:color w:val="auto"/>
                <w:sz w:val="24"/>
                <w:szCs w:val="24"/>
                <w:highlight w:val="none"/>
                <w:lang w:val="en-US"/>
              </w:rPr>
              <w:t>采购方式</w:t>
            </w:r>
          </w:p>
        </w:tc>
        <w:tc>
          <w:tcPr>
            <w:tcW w:w="7450" w:type="dxa"/>
            <w:noWrap w:val="0"/>
            <w:tcMar>
              <w:left w:w="10" w:type="dxa"/>
              <w:right w:w="10" w:type="dxa"/>
            </w:tcMar>
            <w:vAlign w:val="center"/>
          </w:tcPr>
          <w:p w14:paraId="26711ABE">
            <w:pPr>
              <w:rPr>
                <w:rFonts w:hint="eastAsia"/>
                <w:color w:val="auto"/>
                <w:sz w:val="24"/>
                <w:szCs w:val="24"/>
                <w:highlight w:val="none"/>
                <w:lang w:val="en-US"/>
              </w:rPr>
            </w:pPr>
            <w:r>
              <w:rPr>
                <w:rFonts w:hint="eastAsia"/>
                <w:color w:val="auto"/>
                <w:sz w:val="24"/>
                <w:szCs w:val="24"/>
                <w:highlight w:val="none"/>
                <w:lang w:val="en-US"/>
              </w:rPr>
              <w:t>竞争性磋商</w:t>
            </w:r>
          </w:p>
        </w:tc>
      </w:tr>
      <w:tr w14:paraId="4D35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79" w:type="dxa"/>
            <w:noWrap w:val="0"/>
            <w:tcMar>
              <w:left w:w="10" w:type="dxa"/>
              <w:right w:w="10" w:type="dxa"/>
            </w:tcMar>
            <w:vAlign w:val="center"/>
          </w:tcPr>
          <w:p w14:paraId="03ADEC16">
            <w:pPr>
              <w:jc w:val="center"/>
              <w:rPr>
                <w:rFonts w:hint="eastAsia"/>
                <w:color w:val="auto"/>
                <w:sz w:val="24"/>
                <w:szCs w:val="24"/>
                <w:highlight w:val="none"/>
                <w:lang w:val="en-US"/>
              </w:rPr>
            </w:pPr>
            <w:r>
              <w:rPr>
                <w:rFonts w:hint="eastAsia"/>
                <w:color w:val="auto"/>
                <w:sz w:val="24"/>
                <w:szCs w:val="24"/>
                <w:highlight w:val="none"/>
                <w:lang w:val="en-US"/>
              </w:rPr>
              <w:t>6</w:t>
            </w:r>
          </w:p>
        </w:tc>
        <w:tc>
          <w:tcPr>
            <w:tcW w:w="2385" w:type="dxa"/>
            <w:noWrap w:val="0"/>
            <w:tcMar>
              <w:left w:w="10" w:type="dxa"/>
              <w:right w:w="10" w:type="dxa"/>
            </w:tcMar>
            <w:vAlign w:val="center"/>
          </w:tcPr>
          <w:p w14:paraId="78AE4DE4">
            <w:pPr>
              <w:jc w:val="center"/>
              <w:rPr>
                <w:color w:val="auto"/>
                <w:sz w:val="24"/>
                <w:szCs w:val="24"/>
                <w:highlight w:val="none"/>
                <w:lang w:val="en-US"/>
              </w:rPr>
            </w:pPr>
            <w:r>
              <w:rPr>
                <w:rFonts w:hint="eastAsia"/>
                <w:color w:val="auto"/>
                <w:sz w:val="24"/>
                <w:szCs w:val="24"/>
                <w:highlight w:val="none"/>
                <w:lang w:val="en-US"/>
              </w:rPr>
              <w:t>采购内容</w:t>
            </w:r>
          </w:p>
        </w:tc>
        <w:tc>
          <w:tcPr>
            <w:tcW w:w="7450" w:type="dxa"/>
            <w:noWrap w:val="0"/>
            <w:tcMar>
              <w:left w:w="10" w:type="dxa"/>
              <w:right w:w="10" w:type="dxa"/>
            </w:tcMar>
            <w:vAlign w:val="center"/>
          </w:tcPr>
          <w:p w14:paraId="056C0788">
            <w:pPr>
              <w:rPr>
                <w:rFonts w:hint="eastAsia"/>
                <w:color w:val="auto"/>
                <w:sz w:val="24"/>
                <w:szCs w:val="24"/>
                <w:highlight w:val="none"/>
                <w:lang w:val="en-US"/>
              </w:rPr>
            </w:pPr>
            <w:r>
              <w:rPr>
                <w:rFonts w:hint="eastAsia" w:cs="Times New Roman"/>
                <w:color w:val="auto"/>
                <w:sz w:val="24"/>
                <w:highlight w:val="none"/>
                <w:lang w:val="en-US" w:bidi="ar"/>
              </w:rPr>
              <w:t>202</w:t>
            </w:r>
            <w:r>
              <w:rPr>
                <w:rFonts w:hint="eastAsia" w:eastAsia="宋体"/>
                <w:color w:val="auto"/>
                <w:sz w:val="24"/>
                <w:highlight w:val="none"/>
                <w:lang w:val="en-US" w:eastAsia="zh-CN" w:bidi="ar"/>
              </w:rPr>
              <w:t>5年卢氏县朱阳关镇河南村、鹳河村香菇烘干加工联建项目（详见第三章采购内容及技术参数）</w:t>
            </w:r>
          </w:p>
        </w:tc>
      </w:tr>
      <w:tr w14:paraId="43DC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22C26187">
            <w:pPr>
              <w:jc w:val="center"/>
              <w:rPr>
                <w:rFonts w:hint="eastAsia"/>
                <w:color w:val="auto"/>
                <w:sz w:val="24"/>
                <w:szCs w:val="24"/>
                <w:highlight w:val="none"/>
                <w:lang w:val="en-US"/>
              </w:rPr>
            </w:pPr>
            <w:r>
              <w:rPr>
                <w:rFonts w:hint="eastAsia"/>
                <w:color w:val="auto"/>
                <w:sz w:val="24"/>
                <w:szCs w:val="24"/>
                <w:highlight w:val="none"/>
                <w:lang w:val="en-US"/>
              </w:rPr>
              <w:t>7</w:t>
            </w:r>
          </w:p>
        </w:tc>
        <w:tc>
          <w:tcPr>
            <w:tcW w:w="2385" w:type="dxa"/>
            <w:noWrap w:val="0"/>
            <w:tcMar>
              <w:left w:w="10" w:type="dxa"/>
              <w:right w:w="10" w:type="dxa"/>
            </w:tcMar>
            <w:vAlign w:val="center"/>
          </w:tcPr>
          <w:p w14:paraId="47230B03">
            <w:pPr>
              <w:jc w:val="center"/>
              <w:rPr>
                <w:rFonts w:hint="eastAsia"/>
                <w:color w:val="auto"/>
                <w:sz w:val="24"/>
                <w:szCs w:val="24"/>
                <w:highlight w:val="none"/>
                <w:lang w:val="en-US"/>
              </w:rPr>
            </w:pPr>
            <w:r>
              <w:rPr>
                <w:rFonts w:hint="eastAsia"/>
                <w:color w:val="auto"/>
                <w:sz w:val="24"/>
                <w:szCs w:val="24"/>
                <w:highlight w:val="none"/>
                <w:lang w:val="en-US"/>
              </w:rPr>
              <w:t>资金来源</w:t>
            </w:r>
          </w:p>
        </w:tc>
        <w:tc>
          <w:tcPr>
            <w:tcW w:w="7450" w:type="dxa"/>
            <w:noWrap w:val="0"/>
            <w:tcMar>
              <w:left w:w="10" w:type="dxa"/>
              <w:right w:w="10" w:type="dxa"/>
            </w:tcMar>
            <w:vAlign w:val="center"/>
          </w:tcPr>
          <w:p w14:paraId="4F818BFE">
            <w:pPr>
              <w:rPr>
                <w:rFonts w:hint="eastAsia"/>
                <w:color w:val="auto"/>
                <w:sz w:val="24"/>
                <w:szCs w:val="24"/>
                <w:highlight w:val="none"/>
                <w:lang w:val="en-US"/>
              </w:rPr>
            </w:pPr>
            <w:r>
              <w:rPr>
                <w:rFonts w:hint="eastAsia"/>
                <w:color w:val="auto"/>
                <w:sz w:val="24"/>
                <w:szCs w:val="24"/>
                <w:highlight w:val="none"/>
                <w:lang w:val="en-US"/>
              </w:rPr>
              <w:t>财政资金</w:t>
            </w:r>
          </w:p>
        </w:tc>
      </w:tr>
      <w:tr w14:paraId="3D45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79" w:type="dxa"/>
            <w:noWrap w:val="0"/>
            <w:tcMar>
              <w:left w:w="10" w:type="dxa"/>
              <w:right w:w="10" w:type="dxa"/>
            </w:tcMar>
            <w:vAlign w:val="center"/>
          </w:tcPr>
          <w:p w14:paraId="3D2A7B9E">
            <w:pPr>
              <w:autoSpaceDE/>
              <w:autoSpaceDN/>
              <w:jc w:val="center"/>
              <w:rPr>
                <w:rFonts w:hint="eastAsia"/>
                <w:color w:val="auto"/>
                <w:sz w:val="21"/>
                <w:szCs w:val="21"/>
                <w:highlight w:val="none"/>
              </w:rPr>
            </w:pPr>
            <w:r>
              <w:rPr>
                <w:rFonts w:hint="eastAsia"/>
                <w:color w:val="auto"/>
                <w:sz w:val="21"/>
                <w:szCs w:val="21"/>
                <w:highlight w:val="none"/>
                <w:lang w:val="en-US"/>
              </w:rPr>
              <w:t>8</w:t>
            </w:r>
          </w:p>
        </w:tc>
        <w:tc>
          <w:tcPr>
            <w:tcW w:w="2385" w:type="dxa"/>
            <w:noWrap w:val="0"/>
            <w:tcMar>
              <w:left w:w="10" w:type="dxa"/>
              <w:right w:w="10" w:type="dxa"/>
            </w:tcMar>
            <w:vAlign w:val="center"/>
          </w:tcPr>
          <w:p w14:paraId="0C4526C8">
            <w:pPr>
              <w:jc w:val="center"/>
              <w:rPr>
                <w:rFonts w:hint="eastAsia"/>
                <w:color w:val="auto"/>
                <w:sz w:val="24"/>
                <w:szCs w:val="24"/>
                <w:highlight w:val="none"/>
                <w:lang w:val="en-US"/>
              </w:rPr>
            </w:pPr>
            <w:r>
              <w:rPr>
                <w:rFonts w:hint="eastAsia"/>
                <w:color w:val="auto"/>
                <w:sz w:val="24"/>
                <w:szCs w:val="24"/>
                <w:highlight w:val="none"/>
                <w:lang w:val="en-US"/>
              </w:rPr>
              <w:t>资金落实情况</w:t>
            </w:r>
          </w:p>
        </w:tc>
        <w:tc>
          <w:tcPr>
            <w:tcW w:w="7450" w:type="dxa"/>
            <w:noWrap w:val="0"/>
            <w:tcMar>
              <w:left w:w="10" w:type="dxa"/>
              <w:right w:w="10" w:type="dxa"/>
            </w:tcMar>
            <w:vAlign w:val="center"/>
          </w:tcPr>
          <w:p w14:paraId="50096ADD">
            <w:pPr>
              <w:rPr>
                <w:rFonts w:hint="default" w:eastAsia="宋体"/>
                <w:color w:val="auto"/>
                <w:sz w:val="24"/>
                <w:szCs w:val="24"/>
                <w:highlight w:val="none"/>
                <w:lang w:val="en-US" w:eastAsia="zh-CN"/>
              </w:rPr>
            </w:pPr>
            <w:r>
              <w:rPr>
                <w:rFonts w:hint="eastAsia"/>
                <w:color w:val="auto"/>
                <w:sz w:val="24"/>
                <w:szCs w:val="24"/>
                <w:highlight w:val="none"/>
                <w:lang w:val="en-US"/>
              </w:rPr>
              <w:t>已落实</w:t>
            </w:r>
            <w:r>
              <w:rPr>
                <w:rFonts w:hint="eastAsia"/>
                <w:color w:val="auto"/>
                <w:sz w:val="24"/>
                <w:szCs w:val="24"/>
                <w:highlight w:val="none"/>
                <w:lang w:val="en-US" w:eastAsia="zh-CN"/>
              </w:rPr>
              <w:t xml:space="preserve">  </w:t>
            </w:r>
          </w:p>
        </w:tc>
      </w:tr>
      <w:tr w14:paraId="65D1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9" w:type="dxa"/>
            <w:noWrap w:val="0"/>
            <w:tcMar>
              <w:left w:w="10" w:type="dxa"/>
              <w:right w:w="10" w:type="dxa"/>
            </w:tcMar>
            <w:vAlign w:val="center"/>
          </w:tcPr>
          <w:p w14:paraId="12B7A7F3">
            <w:pPr>
              <w:autoSpaceDE/>
              <w:autoSpaceDN/>
              <w:jc w:val="center"/>
              <w:rPr>
                <w:rFonts w:hint="eastAsia"/>
                <w:color w:val="auto"/>
                <w:sz w:val="21"/>
                <w:szCs w:val="21"/>
                <w:highlight w:val="none"/>
              </w:rPr>
            </w:pPr>
            <w:r>
              <w:rPr>
                <w:rFonts w:hint="eastAsia"/>
                <w:color w:val="auto"/>
                <w:sz w:val="21"/>
                <w:szCs w:val="21"/>
                <w:highlight w:val="none"/>
                <w:lang w:val="en-US"/>
              </w:rPr>
              <w:t>9</w:t>
            </w:r>
          </w:p>
        </w:tc>
        <w:tc>
          <w:tcPr>
            <w:tcW w:w="2385" w:type="dxa"/>
            <w:noWrap w:val="0"/>
            <w:tcMar>
              <w:left w:w="10" w:type="dxa"/>
              <w:right w:w="10" w:type="dxa"/>
            </w:tcMar>
            <w:vAlign w:val="center"/>
          </w:tcPr>
          <w:p w14:paraId="5D2FA72E">
            <w:pPr>
              <w:jc w:val="center"/>
              <w:rPr>
                <w:rFonts w:hint="eastAsia"/>
                <w:color w:val="auto"/>
                <w:sz w:val="24"/>
                <w:szCs w:val="24"/>
                <w:highlight w:val="none"/>
                <w:lang w:val="en-US"/>
              </w:rPr>
            </w:pPr>
            <w:r>
              <w:rPr>
                <w:rFonts w:hint="eastAsia"/>
                <w:color w:val="auto"/>
                <w:sz w:val="24"/>
                <w:szCs w:val="24"/>
                <w:highlight w:val="none"/>
                <w:lang w:val="en-US"/>
              </w:rPr>
              <w:t>供货期限</w:t>
            </w:r>
          </w:p>
        </w:tc>
        <w:tc>
          <w:tcPr>
            <w:tcW w:w="7450" w:type="dxa"/>
            <w:noWrap w:val="0"/>
            <w:tcMar>
              <w:left w:w="10" w:type="dxa"/>
              <w:right w:w="10" w:type="dxa"/>
            </w:tcMar>
            <w:vAlign w:val="center"/>
          </w:tcPr>
          <w:p w14:paraId="7574E0F5">
            <w:pPr>
              <w:rPr>
                <w:color w:val="auto"/>
                <w:sz w:val="24"/>
                <w:szCs w:val="24"/>
                <w:highlight w:val="none"/>
                <w:lang w:val="en-US"/>
              </w:rPr>
            </w:pPr>
            <w:r>
              <w:rPr>
                <w:rFonts w:hint="eastAsia"/>
                <w:color w:val="auto"/>
                <w:sz w:val="24"/>
                <w:szCs w:val="24"/>
                <w:highlight w:val="none"/>
                <w:lang w:val="en-US"/>
              </w:rPr>
              <w:t>合同签订后</w:t>
            </w:r>
            <w:r>
              <w:rPr>
                <w:rFonts w:hint="eastAsia"/>
                <w:color w:val="auto"/>
                <w:sz w:val="24"/>
                <w:szCs w:val="24"/>
                <w:highlight w:val="none"/>
                <w:lang w:val="en-US" w:eastAsia="zh-CN"/>
              </w:rPr>
              <w:t>30</w:t>
            </w:r>
            <w:r>
              <w:rPr>
                <w:rFonts w:hint="eastAsia"/>
                <w:color w:val="auto"/>
                <w:sz w:val="24"/>
                <w:szCs w:val="24"/>
                <w:highlight w:val="none"/>
                <w:lang w:val="en-US"/>
              </w:rPr>
              <w:t>日历天内完成交货、安装及调试；</w:t>
            </w:r>
          </w:p>
        </w:tc>
      </w:tr>
      <w:tr w14:paraId="5B11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79" w:type="dxa"/>
            <w:noWrap w:val="0"/>
            <w:tcMar>
              <w:left w:w="10" w:type="dxa"/>
              <w:right w:w="10" w:type="dxa"/>
            </w:tcMar>
            <w:vAlign w:val="center"/>
          </w:tcPr>
          <w:p w14:paraId="6D879846">
            <w:pPr>
              <w:autoSpaceDE/>
              <w:autoSpaceDN/>
              <w:jc w:val="center"/>
              <w:rPr>
                <w:color w:val="auto"/>
                <w:sz w:val="21"/>
                <w:szCs w:val="21"/>
                <w:highlight w:val="none"/>
                <w:lang w:val="en-US"/>
              </w:rPr>
            </w:pPr>
            <w:r>
              <w:rPr>
                <w:rFonts w:hint="eastAsia"/>
                <w:color w:val="auto"/>
                <w:sz w:val="21"/>
                <w:szCs w:val="21"/>
                <w:highlight w:val="none"/>
                <w:lang w:val="en-US"/>
              </w:rPr>
              <w:t>10</w:t>
            </w:r>
          </w:p>
        </w:tc>
        <w:tc>
          <w:tcPr>
            <w:tcW w:w="2385" w:type="dxa"/>
            <w:noWrap w:val="0"/>
            <w:tcMar>
              <w:left w:w="10" w:type="dxa"/>
              <w:right w:w="10" w:type="dxa"/>
            </w:tcMar>
            <w:vAlign w:val="center"/>
          </w:tcPr>
          <w:p w14:paraId="78AE9B19">
            <w:pPr>
              <w:jc w:val="center"/>
              <w:rPr>
                <w:rFonts w:hint="eastAsia"/>
                <w:color w:val="auto"/>
                <w:sz w:val="24"/>
                <w:szCs w:val="24"/>
                <w:highlight w:val="none"/>
                <w:lang w:val="en-US"/>
              </w:rPr>
            </w:pPr>
            <w:r>
              <w:rPr>
                <w:rFonts w:hint="eastAsia"/>
                <w:color w:val="auto"/>
                <w:sz w:val="24"/>
                <w:szCs w:val="24"/>
                <w:highlight w:val="none"/>
                <w:lang w:val="en-US"/>
              </w:rPr>
              <w:t>供货地点</w:t>
            </w:r>
          </w:p>
        </w:tc>
        <w:tc>
          <w:tcPr>
            <w:tcW w:w="7450" w:type="dxa"/>
            <w:noWrap w:val="0"/>
            <w:tcMar>
              <w:left w:w="10" w:type="dxa"/>
              <w:right w:w="10" w:type="dxa"/>
            </w:tcMar>
            <w:vAlign w:val="center"/>
          </w:tcPr>
          <w:p w14:paraId="6204D0C9">
            <w:pPr>
              <w:rPr>
                <w:rFonts w:hint="eastAsia" w:eastAsia="宋体"/>
                <w:color w:val="auto"/>
                <w:sz w:val="24"/>
                <w:szCs w:val="24"/>
                <w:highlight w:val="none"/>
                <w:lang w:val="en-US" w:eastAsia="zh-CN"/>
              </w:rPr>
            </w:pPr>
            <w:r>
              <w:rPr>
                <w:rFonts w:hint="eastAsia" w:eastAsia="宋体"/>
                <w:color w:val="auto"/>
                <w:sz w:val="24"/>
                <w:highlight w:val="none"/>
                <w:lang w:val="en-US" w:eastAsia="zh-CN" w:bidi="ar"/>
              </w:rPr>
              <w:t>卢氏县朱阳关镇河南村、鹳河村</w:t>
            </w:r>
          </w:p>
        </w:tc>
      </w:tr>
      <w:tr w14:paraId="5EBB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79" w:type="dxa"/>
            <w:noWrap w:val="0"/>
            <w:tcMar>
              <w:left w:w="10" w:type="dxa"/>
              <w:right w:w="10" w:type="dxa"/>
            </w:tcMar>
            <w:vAlign w:val="center"/>
          </w:tcPr>
          <w:p w14:paraId="46F673FA">
            <w:pPr>
              <w:autoSpaceDE/>
              <w:autoSpaceDN/>
              <w:jc w:val="center"/>
              <w:rPr>
                <w:color w:val="auto"/>
                <w:sz w:val="21"/>
                <w:szCs w:val="21"/>
                <w:highlight w:val="none"/>
                <w:lang w:val="en-US"/>
              </w:rPr>
            </w:pPr>
            <w:r>
              <w:rPr>
                <w:rFonts w:hint="eastAsia"/>
                <w:color w:val="auto"/>
                <w:sz w:val="21"/>
                <w:szCs w:val="21"/>
                <w:highlight w:val="none"/>
              </w:rPr>
              <w:t>1</w:t>
            </w:r>
            <w:r>
              <w:rPr>
                <w:rFonts w:hint="eastAsia"/>
                <w:color w:val="auto"/>
                <w:sz w:val="21"/>
                <w:szCs w:val="21"/>
                <w:highlight w:val="none"/>
                <w:lang w:val="en-US"/>
              </w:rPr>
              <w:t>1</w:t>
            </w:r>
          </w:p>
        </w:tc>
        <w:tc>
          <w:tcPr>
            <w:tcW w:w="2385" w:type="dxa"/>
            <w:noWrap w:val="0"/>
            <w:tcMar>
              <w:left w:w="10" w:type="dxa"/>
              <w:right w:w="10" w:type="dxa"/>
            </w:tcMar>
            <w:vAlign w:val="center"/>
          </w:tcPr>
          <w:p w14:paraId="56C5859C">
            <w:pPr>
              <w:jc w:val="center"/>
              <w:rPr>
                <w:rFonts w:hint="eastAsia"/>
                <w:color w:val="auto"/>
                <w:sz w:val="24"/>
                <w:szCs w:val="24"/>
                <w:highlight w:val="none"/>
                <w:lang w:val="en-US"/>
              </w:rPr>
            </w:pPr>
            <w:r>
              <w:rPr>
                <w:rFonts w:hint="eastAsia"/>
                <w:color w:val="auto"/>
                <w:sz w:val="24"/>
                <w:szCs w:val="24"/>
                <w:highlight w:val="none"/>
                <w:lang w:val="en-US"/>
              </w:rPr>
              <w:t>质量要求</w:t>
            </w:r>
          </w:p>
        </w:tc>
        <w:tc>
          <w:tcPr>
            <w:tcW w:w="7450" w:type="dxa"/>
            <w:noWrap w:val="0"/>
            <w:tcMar>
              <w:left w:w="10" w:type="dxa"/>
              <w:right w:w="10" w:type="dxa"/>
            </w:tcMar>
            <w:vAlign w:val="center"/>
          </w:tcPr>
          <w:p w14:paraId="4DA85E1F">
            <w:pPr>
              <w:rPr>
                <w:rFonts w:hint="eastAsia"/>
                <w:color w:val="auto"/>
                <w:sz w:val="24"/>
                <w:szCs w:val="24"/>
                <w:highlight w:val="none"/>
                <w:lang w:val="en-US"/>
              </w:rPr>
            </w:pPr>
            <w:r>
              <w:rPr>
                <w:rFonts w:hint="eastAsia"/>
                <w:color w:val="auto"/>
                <w:sz w:val="24"/>
                <w:szCs w:val="24"/>
                <w:highlight w:val="none"/>
                <w:lang w:val="en-US"/>
              </w:rPr>
              <w:t>合格，且满足采购人使用要求；</w:t>
            </w:r>
          </w:p>
        </w:tc>
      </w:tr>
      <w:tr w14:paraId="41A4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6FF7CD49">
            <w:pPr>
              <w:autoSpaceDE/>
              <w:autoSpaceDN/>
              <w:jc w:val="center"/>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rPr>
              <w:t>2</w:t>
            </w:r>
          </w:p>
        </w:tc>
        <w:tc>
          <w:tcPr>
            <w:tcW w:w="2385" w:type="dxa"/>
            <w:noWrap w:val="0"/>
            <w:tcMar>
              <w:left w:w="10" w:type="dxa"/>
              <w:right w:w="10" w:type="dxa"/>
            </w:tcMar>
            <w:vAlign w:val="center"/>
          </w:tcPr>
          <w:p w14:paraId="1AE2479E">
            <w:pPr>
              <w:jc w:val="center"/>
              <w:rPr>
                <w:rFonts w:hint="eastAsia"/>
                <w:color w:val="auto"/>
                <w:sz w:val="24"/>
                <w:szCs w:val="24"/>
                <w:highlight w:val="none"/>
                <w:lang w:val="en-US"/>
              </w:rPr>
            </w:pPr>
            <w:r>
              <w:rPr>
                <w:rFonts w:hint="eastAsia"/>
                <w:color w:val="auto"/>
                <w:sz w:val="24"/>
                <w:szCs w:val="24"/>
                <w:highlight w:val="none"/>
                <w:lang w:val="en-US"/>
              </w:rPr>
              <w:t>供应商资质条件、能力和信誉</w:t>
            </w:r>
          </w:p>
        </w:tc>
        <w:tc>
          <w:tcPr>
            <w:tcW w:w="7450" w:type="dxa"/>
            <w:noWrap w:val="0"/>
            <w:tcMar>
              <w:left w:w="10" w:type="dxa"/>
              <w:right w:w="10" w:type="dxa"/>
            </w:tcMar>
            <w:vAlign w:val="center"/>
          </w:tcPr>
          <w:p w14:paraId="5CDC40BC">
            <w:pPr>
              <w:spacing w:line="360" w:lineRule="auto"/>
              <w:ind w:firstLine="410" w:firstLineChars="171"/>
              <w:jc w:val="both"/>
              <w:rPr>
                <w:rFonts w:hint="eastAsia" w:cs="新宋体"/>
                <w:color w:val="auto"/>
                <w:sz w:val="28"/>
                <w:szCs w:val="28"/>
                <w:highlight w:val="none"/>
                <w:lang w:val="en-US" w:bidi="ar-SA"/>
              </w:rPr>
            </w:pPr>
            <w:r>
              <w:rPr>
                <w:rFonts w:hint="eastAsia" w:cs="Times New Roman"/>
                <w:color w:val="auto"/>
                <w:sz w:val="24"/>
                <w:highlight w:val="none"/>
                <w:lang w:val="en-US" w:bidi="ar"/>
              </w:rPr>
              <w:t>供应商参加本次政府采购活动必须符合《中华人民共和国政府采购法》第二十二条的规定并同时具备下列条件：</w:t>
            </w:r>
          </w:p>
          <w:p w14:paraId="46C96730">
            <w:pPr>
              <w:spacing w:line="360" w:lineRule="auto"/>
              <w:ind w:firstLine="410" w:firstLineChars="171"/>
              <w:jc w:val="both"/>
              <w:rPr>
                <w:rFonts w:hint="eastAsia" w:cs="Times New Roman"/>
                <w:color w:val="auto"/>
                <w:sz w:val="24"/>
                <w:highlight w:val="none"/>
                <w:lang w:val="en-US" w:bidi="ar"/>
              </w:rPr>
            </w:pPr>
            <w:r>
              <w:rPr>
                <w:rFonts w:hint="eastAsia" w:cs="Times New Roman"/>
                <w:color w:val="auto"/>
                <w:sz w:val="24"/>
                <w:highlight w:val="none"/>
                <w:lang w:val="en-US" w:bidi="ar"/>
              </w:rPr>
              <w:t>1.具有在中华人民共和国境内注册的能够独立承担民事责任的独立法人；具有有效的营业执照、税务登记证、组织机构代码证(或“三证合一”的营业执照)；</w:t>
            </w:r>
          </w:p>
          <w:p w14:paraId="40B36F98">
            <w:pPr>
              <w:spacing w:line="360" w:lineRule="auto"/>
              <w:ind w:firstLine="410" w:firstLineChars="171"/>
              <w:jc w:val="both"/>
              <w:rPr>
                <w:rFonts w:hint="eastAsia" w:cs="Times New Roman"/>
                <w:color w:val="auto"/>
                <w:sz w:val="24"/>
                <w:highlight w:val="none"/>
                <w:lang w:val="en-US" w:bidi="ar"/>
              </w:rPr>
            </w:pPr>
            <w:r>
              <w:rPr>
                <w:rFonts w:hint="eastAsia" w:cs="Times New Roman"/>
                <w:color w:val="auto"/>
                <w:sz w:val="24"/>
                <w:highlight w:val="none"/>
                <w:lang w:val="en-US" w:bidi="ar"/>
              </w:rPr>
              <w:t>2.具有履行本项目采购内容所必须的设备和专业技术服务能力；(提供证明材料或承诺书)；</w:t>
            </w:r>
          </w:p>
          <w:p w14:paraId="12F3E34B">
            <w:pPr>
              <w:spacing w:line="360" w:lineRule="auto"/>
              <w:ind w:firstLine="410" w:firstLineChars="171"/>
              <w:jc w:val="both"/>
              <w:rPr>
                <w:rFonts w:hint="eastAsia" w:cs="Times New Roman"/>
                <w:color w:val="auto"/>
                <w:sz w:val="24"/>
                <w:highlight w:val="none"/>
                <w:lang w:val="en-US" w:bidi="ar"/>
              </w:rPr>
            </w:pPr>
            <w:r>
              <w:rPr>
                <w:rFonts w:hint="eastAsia" w:cs="Times New Roman"/>
                <w:color w:val="auto"/>
                <w:sz w:val="24"/>
                <w:highlight w:val="none"/>
                <w:lang w:val="en-US" w:bidi="ar"/>
              </w:rPr>
              <w:t>3.提供近半年任意连续三个月依法缴纳税收和缴纳社会保障资金，依法免税的供应商，应提供相应文件证明其依法免税；</w:t>
            </w:r>
          </w:p>
          <w:p w14:paraId="49390B37">
            <w:pPr>
              <w:spacing w:line="360" w:lineRule="auto"/>
              <w:ind w:firstLine="410" w:firstLineChars="171"/>
              <w:jc w:val="both"/>
              <w:rPr>
                <w:rFonts w:hint="eastAsia" w:cs="Times New Roman"/>
                <w:color w:val="auto"/>
                <w:sz w:val="24"/>
                <w:highlight w:val="none"/>
                <w:lang w:val="en-US" w:bidi="ar"/>
              </w:rPr>
            </w:pPr>
            <w:r>
              <w:rPr>
                <w:rFonts w:hint="eastAsia" w:cs="Times New Roman"/>
                <w:color w:val="auto"/>
                <w:sz w:val="24"/>
                <w:highlight w:val="none"/>
                <w:lang w:val="en-US" w:bidi="ar"/>
              </w:rPr>
              <w:t>4.具有健全的财务会计制度和良好的财务状况，提供</w:t>
            </w:r>
            <w:r>
              <w:rPr>
                <w:rFonts w:cs="Times New Roman"/>
                <w:color w:val="auto"/>
                <w:sz w:val="24"/>
                <w:highlight w:val="none"/>
                <w:lang w:val="en-US" w:bidi="ar"/>
              </w:rPr>
              <w:t>2024年度财务报表或第三方审计机构出具的财务报告</w:t>
            </w:r>
            <w:r>
              <w:rPr>
                <w:rFonts w:hint="eastAsia" w:cs="Times New Roman"/>
                <w:color w:val="auto"/>
                <w:sz w:val="24"/>
                <w:highlight w:val="none"/>
                <w:lang w:val="en-US" w:bidi="ar"/>
              </w:rPr>
              <w:t>，</w:t>
            </w:r>
            <w:r>
              <w:rPr>
                <w:rFonts w:cs="Times New Roman"/>
                <w:color w:val="auto"/>
                <w:sz w:val="24"/>
                <w:highlight w:val="none"/>
                <w:lang w:val="en-US" w:bidi="ar"/>
              </w:rPr>
              <w:t>2025年新成立公司提供最新的财务报表及说明</w:t>
            </w:r>
            <w:r>
              <w:rPr>
                <w:rFonts w:hint="eastAsia" w:cs="Times New Roman"/>
                <w:color w:val="auto"/>
                <w:sz w:val="24"/>
                <w:highlight w:val="none"/>
                <w:lang w:val="en-US" w:bidi="ar"/>
              </w:rPr>
              <w:t xml:space="preserve">； </w:t>
            </w:r>
          </w:p>
          <w:p w14:paraId="64DE62F3">
            <w:pPr>
              <w:spacing w:line="360" w:lineRule="auto"/>
              <w:ind w:firstLine="410" w:firstLineChars="171"/>
              <w:jc w:val="both"/>
              <w:rPr>
                <w:rFonts w:hint="eastAsia" w:cs="Times New Roman"/>
                <w:color w:val="auto"/>
                <w:sz w:val="24"/>
                <w:highlight w:val="none"/>
                <w:lang w:val="en-US" w:bidi="ar"/>
              </w:rPr>
            </w:pPr>
            <w:r>
              <w:rPr>
                <w:rFonts w:hint="eastAsia" w:cs="Times New Roman"/>
                <w:color w:val="auto"/>
                <w:sz w:val="24"/>
                <w:highlight w:val="none"/>
                <w:lang w:val="en-US" w:bidi="ar"/>
              </w:rPr>
              <w:t>5.参加政府采购活动前3年内无行贿犯罪记录，（开标时提供《中国裁判文书网》查询结果网页截图或企业自行承诺的无行贿犯罪承诺书，查询&lt;承诺&gt;对象为“企业，法定代表人，项目负责人”）；</w:t>
            </w:r>
          </w:p>
          <w:p w14:paraId="7471AD09">
            <w:pPr>
              <w:spacing w:line="360" w:lineRule="auto"/>
              <w:ind w:firstLine="410" w:firstLineChars="171"/>
              <w:jc w:val="both"/>
              <w:rPr>
                <w:rFonts w:hint="eastAsia" w:cs="Times New Roman"/>
                <w:color w:val="auto"/>
                <w:sz w:val="24"/>
                <w:highlight w:val="none"/>
                <w:lang w:val="en-US" w:bidi="ar"/>
              </w:rPr>
            </w:pPr>
            <w:r>
              <w:rPr>
                <w:rFonts w:hint="eastAsia" w:cs="Times New Roman"/>
                <w:color w:val="auto"/>
                <w:sz w:val="24"/>
                <w:highlight w:val="none"/>
                <w:lang w:val="en-US" w:bidi="ar"/>
              </w:rPr>
              <w:t>6.</w:t>
            </w:r>
            <w:r>
              <w:rPr>
                <w:rFonts w:hint="eastAsia"/>
                <w:color w:val="auto"/>
                <w:highlight w:val="none"/>
              </w:rPr>
              <w:t xml:space="preserve"> </w:t>
            </w:r>
            <w:r>
              <w:rPr>
                <w:rFonts w:hint="eastAsia" w:cs="Times New Roman"/>
                <w:color w:val="auto"/>
                <w:sz w:val="24"/>
                <w:highlight w:val="none"/>
                <w:lang w:val="en-US" w:bidi="ar"/>
              </w:rPr>
              <w:t>参加政府采购活动前</w:t>
            </w:r>
            <w:r>
              <w:rPr>
                <w:rFonts w:cs="Times New Roman"/>
                <w:color w:val="auto"/>
                <w:sz w:val="24"/>
                <w:highlight w:val="none"/>
                <w:lang w:val="en-US" w:bidi="ar"/>
              </w:rPr>
              <w:t>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r>
              <w:rPr>
                <w:rFonts w:hint="eastAsia" w:cs="Times New Roman"/>
                <w:color w:val="auto"/>
                <w:sz w:val="24"/>
                <w:highlight w:val="none"/>
                <w:lang w:val="en-US" w:bidi="ar"/>
              </w:rPr>
              <w:t>；</w:t>
            </w:r>
          </w:p>
          <w:p w14:paraId="49B20E29">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7.</w:t>
            </w:r>
            <w:r>
              <w:rPr>
                <w:rFonts w:hint="eastAsia"/>
                <w:color w:val="auto"/>
                <w:highlight w:val="none"/>
              </w:rPr>
              <w:t xml:space="preserve"> </w:t>
            </w:r>
            <w:r>
              <w:rPr>
                <w:rFonts w:hint="eastAsia" w:cs="Times New Roman"/>
                <w:color w:val="auto"/>
                <w:sz w:val="24"/>
                <w:highlight w:val="none"/>
                <w:lang w:val="en-US" w:bidi="ar"/>
              </w:rPr>
              <w:t>根据《关于在政府采购活动中查询及使用信用记录有关问题的通知》</w:t>
            </w:r>
            <w:r>
              <w:rPr>
                <w:rFonts w:cs="Times New Roman"/>
                <w:color w:val="auto"/>
                <w:sz w:val="24"/>
                <w:highlight w:val="none"/>
                <w:lang w:val="en-US" w:bidi="ar"/>
              </w:rPr>
              <w:t>(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6230EA52">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8.本项目不接受联合体投标。</w:t>
            </w:r>
          </w:p>
          <w:p w14:paraId="284A70BB">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注：本次磋商实行资格后审；被列入失信被执行人及重大税收违法失信主体的企业做无效标处理。采购人或采购代理机构有权对投标人信用记录进行甄别和复查。</w:t>
            </w:r>
          </w:p>
        </w:tc>
      </w:tr>
      <w:tr w14:paraId="49E6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tcMar>
              <w:left w:w="10" w:type="dxa"/>
              <w:right w:w="10" w:type="dxa"/>
            </w:tcMar>
            <w:vAlign w:val="center"/>
          </w:tcPr>
          <w:p w14:paraId="4111E655">
            <w:pPr>
              <w:autoSpaceDE/>
              <w:autoSpaceDN/>
              <w:jc w:val="center"/>
              <w:rPr>
                <w:color w:val="auto"/>
                <w:sz w:val="21"/>
                <w:szCs w:val="21"/>
                <w:highlight w:val="none"/>
                <w:lang w:val="en-US"/>
              </w:rPr>
            </w:pPr>
            <w:r>
              <w:rPr>
                <w:rFonts w:hint="eastAsia"/>
                <w:color w:val="auto"/>
                <w:sz w:val="21"/>
                <w:szCs w:val="21"/>
                <w:highlight w:val="none"/>
                <w:lang w:val="en-US"/>
              </w:rPr>
              <w:t>13</w:t>
            </w:r>
          </w:p>
        </w:tc>
        <w:tc>
          <w:tcPr>
            <w:tcW w:w="2385" w:type="dxa"/>
            <w:noWrap w:val="0"/>
            <w:tcMar>
              <w:left w:w="10" w:type="dxa"/>
              <w:right w:w="10" w:type="dxa"/>
            </w:tcMar>
            <w:vAlign w:val="center"/>
          </w:tcPr>
          <w:p w14:paraId="3557F5D3">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是否接受联合体磋商</w:t>
            </w:r>
          </w:p>
        </w:tc>
        <w:tc>
          <w:tcPr>
            <w:tcW w:w="7450" w:type="dxa"/>
            <w:noWrap w:val="0"/>
            <w:tcMar>
              <w:left w:w="10" w:type="dxa"/>
              <w:right w:w="10" w:type="dxa"/>
            </w:tcMar>
            <w:vAlign w:val="center"/>
          </w:tcPr>
          <w:p w14:paraId="1989A213">
            <w:pPr>
              <w:jc w:val="center"/>
              <w:rPr>
                <w:rFonts w:hint="eastAsia"/>
                <w:color w:val="auto"/>
                <w:sz w:val="24"/>
                <w:szCs w:val="24"/>
                <w:highlight w:val="none"/>
                <w:lang w:val="en-US"/>
              </w:rPr>
            </w:pPr>
            <w:r>
              <w:rPr>
                <w:rFonts w:hint="eastAsia"/>
                <w:color w:val="auto"/>
                <w:sz w:val="24"/>
                <w:szCs w:val="24"/>
                <w:highlight w:val="none"/>
                <w:lang w:val="en-US"/>
              </w:rPr>
              <w:t>不接受</w:t>
            </w:r>
          </w:p>
        </w:tc>
      </w:tr>
      <w:tr w14:paraId="06E0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tcMar>
              <w:left w:w="10" w:type="dxa"/>
              <w:right w:w="10" w:type="dxa"/>
            </w:tcMar>
            <w:vAlign w:val="center"/>
          </w:tcPr>
          <w:p w14:paraId="21B237C0">
            <w:pPr>
              <w:autoSpaceDE/>
              <w:autoSpaceDN/>
              <w:jc w:val="center"/>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rPr>
              <w:t>4</w:t>
            </w:r>
          </w:p>
        </w:tc>
        <w:tc>
          <w:tcPr>
            <w:tcW w:w="2385" w:type="dxa"/>
            <w:noWrap w:val="0"/>
            <w:tcMar>
              <w:left w:w="10" w:type="dxa"/>
              <w:right w:w="10" w:type="dxa"/>
            </w:tcMar>
            <w:vAlign w:val="center"/>
          </w:tcPr>
          <w:p w14:paraId="6170C001">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磋商预备会</w:t>
            </w:r>
          </w:p>
        </w:tc>
        <w:tc>
          <w:tcPr>
            <w:tcW w:w="7450" w:type="dxa"/>
            <w:noWrap w:val="0"/>
            <w:tcMar>
              <w:left w:w="10" w:type="dxa"/>
              <w:right w:w="10" w:type="dxa"/>
            </w:tcMar>
            <w:vAlign w:val="center"/>
          </w:tcPr>
          <w:p w14:paraId="1165544C">
            <w:pPr>
              <w:jc w:val="center"/>
              <w:rPr>
                <w:rFonts w:hint="eastAsia"/>
                <w:color w:val="auto"/>
                <w:sz w:val="24"/>
                <w:szCs w:val="24"/>
                <w:highlight w:val="none"/>
                <w:lang w:val="en-US"/>
              </w:rPr>
            </w:pPr>
            <w:r>
              <w:rPr>
                <w:rFonts w:hint="eastAsia"/>
                <w:color w:val="auto"/>
                <w:sz w:val="24"/>
                <w:szCs w:val="24"/>
                <w:highlight w:val="none"/>
                <w:lang w:val="en-US"/>
              </w:rPr>
              <w:t>不召开</w:t>
            </w:r>
          </w:p>
        </w:tc>
      </w:tr>
      <w:tr w14:paraId="066F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tcMar>
              <w:left w:w="10" w:type="dxa"/>
              <w:right w:w="10" w:type="dxa"/>
            </w:tcMar>
            <w:vAlign w:val="center"/>
          </w:tcPr>
          <w:p w14:paraId="09B8108C">
            <w:pPr>
              <w:jc w:val="center"/>
              <w:rPr>
                <w:color w:val="auto"/>
                <w:sz w:val="24"/>
                <w:szCs w:val="24"/>
                <w:highlight w:val="none"/>
                <w:lang w:val="en-US"/>
              </w:rPr>
            </w:pPr>
            <w:r>
              <w:rPr>
                <w:rFonts w:hint="eastAsia"/>
                <w:color w:val="auto"/>
                <w:sz w:val="24"/>
                <w:szCs w:val="24"/>
                <w:highlight w:val="none"/>
                <w:lang w:val="en-US"/>
              </w:rPr>
              <w:t>15</w:t>
            </w:r>
          </w:p>
        </w:tc>
        <w:tc>
          <w:tcPr>
            <w:tcW w:w="2385" w:type="dxa"/>
            <w:noWrap w:val="0"/>
            <w:tcMar>
              <w:left w:w="10" w:type="dxa"/>
              <w:right w:w="10" w:type="dxa"/>
            </w:tcMar>
            <w:vAlign w:val="center"/>
          </w:tcPr>
          <w:p w14:paraId="390803DE">
            <w:pPr>
              <w:jc w:val="center"/>
              <w:rPr>
                <w:rFonts w:hint="eastAsia"/>
                <w:color w:val="auto"/>
                <w:sz w:val="24"/>
                <w:szCs w:val="24"/>
                <w:highlight w:val="none"/>
                <w:lang w:val="en-US"/>
              </w:rPr>
            </w:pPr>
            <w:r>
              <w:rPr>
                <w:rFonts w:hint="eastAsia"/>
                <w:color w:val="auto"/>
                <w:sz w:val="24"/>
                <w:szCs w:val="24"/>
                <w:highlight w:val="none"/>
                <w:lang w:val="en-US"/>
              </w:rPr>
              <w:t>需落实的政府采购政策</w:t>
            </w:r>
          </w:p>
        </w:tc>
        <w:tc>
          <w:tcPr>
            <w:tcW w:w="7450" w:type="dxa"/>
            <w:noWrap w:val="0"/>
            <w:tcMar>
              <w:left w:w="10" w:type="dxa"/>
              <w:right w:w="10" w:type="dxa"/>
            </w:tcMar>
            <w:vAlign w:val="center"/>
          </w:tcPr>
          <w:p w14:paraId="170A4AD2">
            <w:pPr>
              <w:rPr>
                <w:rFonts w:hint="eastAsia"/>
                <w:color w:val="auto"/>
                <w:sz w:val="24"/>
                <w:szCs w:val="24"/>
                <w:highlight w:val="none"/>
                <w:lang w:val="en-US"/>
              </w:rPr>
            </w:pPr>
            <w:r>
              <w:rPr>
                <w:rFonts w:hint="eastAsia"/>
                <w:color w:val="auto"/>
                <w:sz w:val="24"/>
                <w:szCs w:val="24"/>
                <w:highlight w:val="none"/>
                <w:lang w:val="en-US"/>
              </w:rPr>
              <w:t>落实政府采购政策满足的资格要求：根据《政府采购促进中小企业发展管理办法》（财库〔2020〕46号）规定，本项目专门面向中小企业采购,同时供应商须提供《中小企业声明函》</w:t>
            </w:r>
          </w:p>
        </w:tc>
      </w:tr>
      <w:tr w14:paraId="7AF2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79" w:type="dxa"/>
            <w:noWrap w:val="0"/>
            <w:tcMar>
              <w:left w:w="10" w:type="dxa"/>
              <w:right w:w="10" w:type="dxa"/>
            </w:tcMar>
            <w:vAlign w:val="center"/>
          </w:tcPr>
          <w:p w14:paraId="2208A107">
            <w:pPr>
              <w:jc w:val="center"/>
              <w:rPr>
                <w:color w:val="auto"/>
                <w:sz w:val="24"/>
                <w:szCs w:val="24"/>
                <w:highlight w:val="none"/>
                <w:lang w:val="en-US"/>
              </w:rPr>
            </w:pPr>
            <w:r>
              <w:rPr>
                <w:rFonts w:hint="eastAsia"/>
                <w:color w:val="auto"/>
                <w:sz w:val="24"/>
                <w:szCs w:val="24"/>
                <w:highlight w:val="none"/>
                <w:lang w:val="en-US"/>
              </w:rPr>
              <w:t>16</w:t>
            </w:r>
          </w:p>
        </w:tc>
        <w:tc>
          <w:tcPr>
            <w:tcW w:w="2385" w:type="dxa"/>
            <w:noWrap w:val="0"/>
            <w:tcMar>
              <w:left w:w="10" w:type="dxa"/>
              <w:right w:w="10" w:type="dxa"/>
            </w:tcMar>
            <w:vAlign w:val="center"/>
          </w:tcPr>
          <w:p w14:paraId="452D6C2C">
            <w:pPr>
              <w:jc w:val="center"/>
              <w:rPr>
                <w:rFonts w:hint="eastAsia"/>
                <w:color w:val="auto"/>
                <w:sz w:val="24"/>
                <w:szCs w:val="24"/>
                <w:highlight w:val="none"/>
                <w:lang w:val="en-US"/>
              </w:rPr>
            </w:pPr>
            <w:r>
              <w:rPr>
                <w:rFonts w:hint="eastAsia"/>
                <w:color w:val="auto"/>
                <w:sz w:val="24"/>
                <w:szCs w:val="24"/>
                <w:highlight w:val="none"/>
                <w:lang w:val="en-US"/>
              </w:rPr>
              <w:t>分包</w:t>
            </w:r>
          </w:p>
        </w:tc>
        <w:tc>
          <w:tcPr>
            <w:tcW w:w="7450" w:type="dxa"/>
            <w:noWrap w:val="0"/>
            <w:tcMar>
              <w:left w:w="10" w:type="dxa"/>
              <w:right w:w="10" w:type="dxa"/>
            </w:tcMar>
            <w:vAlign w:val="center"/>
          </w:tcPr>
          <w:p w14:paraId="5EBD7273">
            <w:pPr>
              <w:rPr>
                <w:rFonts w:hint="eastAsia"/>
                <w:color w:val="auto"/>
                <w:sz w:val="24"/>
                <w:szCs w:val="24"/>
                <w:highlight w:val="none"/>
                <w:lang w:val="en-US"/>
              </w:rPr>
            </w:pPr>
            <w:r>
              <w:rPr>
                <w:rFonts w:hint="eastAsia"/>
                <w:color w:val="auto"/>
                <w:sz w:val="24"/>
                <w:szCs w:val="24"/>
                <w:highlight w:val="none"/>
                <w:lang w:val="en-US"/>
              </w:rPr>
              <w:t>不允许</w:t>
            </w:r>
          </w:p>
        </w:tc>
      </w:tr>
      <w:tr w14:paraId="28EC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5BB4146A">
            <w:pPr>
              <w:jc w:val="center"/>
              <w:rPr>
                <w:color w:val="auto"/>
                <w:sz w:val="24"/>
                <w:szCs w:val="24"/>
                <w:highlight w:val="none"/>
                <w:lang w:val="en-US"/>
              </w:rPr>
            </w:pPr>
            <w:r>
              <w:rPr>
                <w:rFonts w:hint="eastAsia"/>
                <w:color w:val="auto"/>
                <w:sz w:val="24"/>
                <w:szCs w:val="24"/>
                <w:highlight w:val="none"/>
                <w:lang w:val="en-US"/>
              </w:rPr>
              <w:t>17</w:t>
            </w:r>
          </w:p>
        </w:tc>
        <w:tc>
          <w:tcPr>
            <w:tcW w:w="2385" w:type="dxa"/>
            <w:noWrap w:val="0"/>
            <w:tcMar>
              <w:left w:w="10" w:type="dxa"/>
              <w:right w:w="10" w:type="dxa"/>
            </w:tcMar>
            <w:vAlign w:val="center"/>
          </w:tcPr>
          <w:p w14:paraId="7AB029ED">
            <w:pPr>
              <w:jc w:val="center"/>
              <w:rPr>
                <w:rFonts w:hint="eastAsia"/>
                <w:color w:val="auto"/>
                <w:sz w:val="24"/>
                <w:szCs w:val="24"/>
                <w:highlight w:val="none"/>
                <w:lang w:val="en-US"/>
              </w:rPr>
            </w:pPr>
            <w:r>
              <w:rPr>
                <w:rFonts w:hint="eastAsia"/>
                <w:color w:val="auto"/>
                <w:sz w:val="24"/>
                <w:szCs w:val="24"/>
                <w:highlight w:val="none"/>
                <w:lang w:val="en-US"/>
              </w:rPr>
              <w:t>偏离</w:t>
            </w:r>
          </w:p>
        </w:tc>
        <w:tc>
          <w:tcPr>
            <w:tcW w:w="7450" w:type="dxa"/>
            <w:noWrap w:val="0"/>
            <w:tcMar>
              <w:left w:w="10" w:type="dxa"/>
              <w:right w:w="10" w:type="dxa"/>
            </w:tcMar>
            <w:vAlign w:val="center"/>
          </w:tcPr>
          <w:p w14:paraId="3513914E">
            <w:pPr>
              <w:rPr>
                <w:rFonts w:hint="eastAsia"/>
                <w:color w:val="auto"/>
                <w:sz w:val="24"/>
                <w:szCs w:val="24"/>
                <w:highlight w:val="none"/>
                <w:lang w:val="en-US"/>
              </w:rPr>
            </w:pPr>
            <w:r>
              <w:rPr>
                <w:rFonts w:hint="eastAsia"/>
                <w:color w:val="auto"/>
                <w:sz w:val="24"/>
                <w:szCs w:val="24"/>
                <w:highlight w:val="none"/>
                <w:lang w:val="en-US"/>
              </w:rPr>
              <w:t>允许（正偏离）</w:t>
            </w:r>
          </w:p>
        </w:tc>
      </w:tr>
      <w:tr w14:paraId="3B1E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75DFC9B6">
            <w:pPr>
              <w:jc w:val="center"/>
              <w:rPr>
                <w:color w:val="auto"/>
                <w:sz w:val="24"/>
                <w:szCs w:val="24"/>
                <w:highlight w:val="none"/>
                <w:lang w:val="en-US"/>
              </w:rPr>
            </w:pPr>
            <w:r>
              <w:rPr>
                <w:rFonts w:hint="eastAsia"/>
                <w:color w:val="auto"/>
                <w:sz w:val="24"/>
                <w:szCs w:val="24"/>
                <w:highlight w:val="none"/>
                <w:lang w:val="en-US"/>
              </w:rPr>
              <w:t>18</w:t>
            </w:r>
          </w:p>
        </w:tc>
        <w:tc>
          <w:tcPr>
            <w:tcW w:w="2385" w:type="dxa"/>
            <w:noWrap w:val="0"/>
            <w:tcMar>
              <w:left w:w="10" w:type="dxa"/>
              <w:right w:w="10" w:type="dxa"/>
            </w:tcMar>
            <w:vAlign w:val="center"/>
          </w:tcPr>
          <w:p w14:paraId="205CF320">
            <w:pPr>
              <w:jc w:val="center"/>
              <w:rPr>
                <w:color w:val="auto"/>
                <w:sz w:val="24"/>
                <w:szCs w:val="24"/>
                <w:highlight w:val="none"/>
                <w:lang w:val="en-US"/>
              </w:rPr>
            </w:pPr>
            <w:r>
              <w:rPr>
                <w:rFonts w:hint="eastAsia"/>
                <w:color w:val="auto"/>
                <w:sz w:val="24"/>
                <w:szCs w:val="24"/>
                <w:highlight w:val="none"/>
                <w:lang w:val="en-US"/>
              </w:rPr>
              <w:t>供应商提出问题的截止时间</w:t>
            </w:r>
          </w:p>
        </w:tc>
        <w:tc>
          <w:tcPr>
            <w:tcW w:w="7450" w:type="dxa"/>
            <w:noWrap w:val="0"/>
            <w:tcMar>
              <w:left w:w="10" w:type="dxa"/>
              <w:right w:w="10" w:type="dxa"/>
            </w:tcMar>
            <w:vAlign w:val="center"/>
          </w:tcPr>
          <w:p w14:paraId="524000DF">
            <w:pPr>
              <w:rPr>
                <w:rFonts w:hint="eastAsia"/>
                <w:color w:val="auto"/>
                <w:sz w:val="24"/>
                <w:szCs w:val="24"/>
                <w:highlight w:val="none"/>
                <w:lang w:val="en-US"/>
              </w:rPr>
            </w:pPr>
            <w:r>
              <w:rPr>
                <w:rFonts w:hint="eastAsia"/>
                <w:color w:val="auto"/>
                <w:sz w:val="24"/>
                <w:szCs w:val="24"/>
                <w:highlight w:val="none"/>
                <w:lang w:val="en-US"/>
              </w:rPr>
              <w:t>递交磋商文件的截止之日5日前</w:t>
            </w:r>
          </w:p>
        </w:tc>
      </w:tr>
      <w:tr w14:paraId="3ACC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top"/>
          </w:tcPr>
          <w:p w14:paraId="6FBF4A78">
            <w:pPr>
              <w:jc w:val="center"/>
              <w:rPr>
                <w:color w:val="auto"/>
                <w:sz w:val="24"/>
                <w:szCs w:val="24"/>
                <w:highlight w:val="none"/>
                <w:lang w:val="en-US"/>
              </w:rPr>
            </w:pPr>
            <w:r>
              <w:rPr>
                <w:rFonts w:hint="eastAsia"/>
                <w:color w:val="auto"/>
                <w:sz w:val="24"/>
                <w:szCs w:val="24"/>
                <w:highlight w:val="none"/>
                <w:lang w:val="en-US"/>
              </w:rPr>
              <w:t>19</w:t>
            </w:r>
          </w:p>
        </w:tc>
        <w:tc>
          <w:tcPr>
            <w:tcW w:w="2385" w:type="dxa"/>
            <w:noWrap w:val="0"/>
            <w:tcMar>
              <w:left w:w="10" w:type="dxa"/>
              <w:right w:w="10" w:type="dxa"/>
            </w:tcMar>
            <w:vAlign w:val="center"/>
          </w:tcPr>
          <w:p w14:paraId="7AE2FCAD">
            <w:pPr>
              <w:jc w:val="center"/>
              <w:rPr>
                <w:rFonts w:hint="eastAsia"/>
                <w:color w:val="auto"/>
                <w:sz w:val="24"/>
                <w:szCs w:val="24"/>
                <w:highlight w:val="none"/>
                <w:lang w:val="en-US"/>
              </w:rPr>
            </w:pPr>
            <w:r>
              <w:rPr>
                <w:rFonts w:hint="eastAsia"/>
                <w:color w:val="auto"/>
                <w:sz w:val="24"/>
                <w:szCs w:val="24"/>
                <w:highlight w:val="none"/>
                <w:lang w:val="en-US"/>
              </w:rPr>
              <w:t>招标人书面澄清的时间</w:t>
            </w:r>
          </w:p>
        </w:tc>
        <w:tc>
          <w:tcPr>
            <w:tcW w:w="7450" w:type="dxa"/>
            <w:noWrap w:val="0"/>
            <w:tcMar>
              <w:left w:w="10" w:type="dxa"/>
              <w:right w:w="10" w:type="dxa"/>
            </w:tcMar>
            <w:vAlign w:val="center"/>
          </w:tcPr>
          <w:p w14:paraId="4EDCE5BA">
            <w:pPr>
              <w:rPr>
                <w:rFonts w:hint="eastAsia"/>
                <w:color w:val="auto"/>
                <w:sz w:val="24"/>
                <w:szCs w:val="24"/>
                <w:highlight w:val="none"/>
                <w:lang w:val="en-US"/>
              </w:rPr>
            </w:pPr>
            <w:r>
              <w:rPr>
                <w:rFonts w:hint="eastAsia"/>
                <w:color w:val="auto"/>
                <w:sz w:val="24"/>
                <w:szCs w:val="24"/>
                <w:highlight w:val="none"/>
                <w:lang w:val="en-US"/>
              </w:rPr>
              <w:t>递交磋商文件的截止之日5日前</w:t>
            </w:r>
          </w:p>
        </w:tc>
      </w:tr>
      <w:tr w14:paraId="757E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9" w:type="dxa"/>
            <w:noWrap w:val="0"/>
            <w:tcMar>
              <w:left w:w="10" w:type="dxa"/>
              <w:right w:w="10" w:type="dxa"/>
            </w:tcMar>
            <w:vAlign w:val="top"/>
          </w:tcPr>
          <w:p w14:paraId="39FBE1E0">
            <w:pPr>
              <w:jc w:val="center"/>
              <w:rPr>
                <w:color w:val="auto"/>
                <w:sz w:val="24"/>
                <w:szCs w:val="24"/>
                <w:highlight w:val="none"/>
                <w:lang w:val="en-US"/>
              </w:rPr>
            </w:pPr>
            <w:r>
              <w:rPr>
                <w:rFonts w:hint="eastAsia"/>
                <w:color w:val="auto"/>
                <w:sz w:val="24"/>
                <w:szCs w:val="24"/>
                <w:highlight w:val="none"/>
                <w:lang w:val="en-US"/>
              </w:rPr>
              <w:t>20</w:t>
            </w:r>
          </w:p>
        </w:tc>
        <w:tc>
          <w:tcPr>
            <w:tcW w:w="2385" w:type="dxa"/>
            <w:noWrap w:val="0"/>
            <w:tcMar>
              <w:left w:w="10" w:type="dxa"/>
              <w:right w:w="10" w:type="dxa"/>
            </w:tcMar>
            <w:vAlign w:val="top"/>
          </w:tcPr>
          <w:p w14:paraId="7467B132">
            <w:pPr>
              <w:jc w:val="center"/>
              <w:rPr>
                <w:rFonts w:hint="eastAsia"/>
                <w:color w:val="auto"/>
                <w:sz w:val="24"/>
                <w:szCs w:val="24"/>
                <w:highlight w:val="none"/>
                <w:lang w:val="en-US"/>
              </w:rPr>
            </w:pPr>
            <w:r>
              <w:rPr>
                <w:rFonts w:hint="eastAsia"/>
                <w:color w:val="auto"/>
                <w:sz w:val="24"/>
                <w:szCs w:val="24"/>
                <w:highlight w:val="none"/>
                <w:lang w:val="en-US"/>
              </w:rPr>
              <w:t>构成竞争性磋商文件的其他资料</w:t>
            </w:r>
          </w:p>
        </w:tc>
        <w:tc>
          <w:tcPr>
            <w:tcW w:w="7450" w:type="dxa"/>
            <w:noWrap w:val="0"/>
            <w:tcMar>
              <w:left w:w="10" w:type="dxa"/>
              <w:right w:w="10" w:type="dxa"/>
            </w:tcMar>
            <w:vAlign w:val="top"/>
          </w:tcPr>
          <w:p w14:paraId="703E26A5">
            <w:pPr>
              <w:rPr>
                <w:rFonts w:hint="eastAsia"/>
                <w:color w:val="auto"/>
                <w:sz w:val="24"/>
                <w:szCs w:val="24"/>
                <w:highlight w:val="none"/>
                <w:lang w:val="en-US"/>
              </w:rPr>
            </w:pPr>
          </w:p>
          <w:p w14:paraId="6C8B6013">
            <w:pPr>
              <w:rPr>
                <w:rFonts w:hint="eastAsia"/>
                <w:color w:val="auto"/>
                <w:sz w:val="24"/>
                <w:szCs w:val="24"/>
                <w:highlight w:val="none"/>
                <w:lang w:val="en-US"/>
              </w:rPr>
            </w:pPr>
            <w:r>
              <w:rPr>
                <w:rFonts w:hint="eastAsia"/>
                <w:color w:val="auto"/>
                <w:sz w:val="24"/>
                <w:szCs w:val="24"/>
                <w:highlight w:val="none"/>
                <w:lang w:val="en-US"/>
              </w:rPr>
              <w:t>按竞争性磋商文件要求</w:t>
            </w:r>
          </w:p>
        </w:tc>
      </w:tr>
      <w:tr w14:paraId="147A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487D8E41">
            <w:pPr>
              <w:jc w:val="center"/>
              <w:rPr>
                <w:color w:val="auto"/>
                <w:sz w:val="24"/>
                <w:szCs w:val="24"/>
                <w:highlight w:val="none"/>
                <w:lang w:val="en-US"/>
              </w:rPr>
            </w:pPr>
            <w:r>
              <w:rPr>
                <w:rFonts w:hint="eastAsia"/>
                <w:color w:val="auto"/>
                <w:sz w:val="24"/>
                <w:szCs w:val="24"/>
                <w:highlight w:val="none"/>
                <w:lang w:val="en-US"/>
              </w:rPr>
              <w:t>21</w:t>
            </w:r>
          </w:p>
        </w:tc>
        <w:tc>
          <w:tcPr>
            <w:tcW w:w="2385" w:type="dxa"/>
            <w:noWrap w:val="0"/>
            <w:tcMar>
              <w:left w:w="10" w:type="dxa"/>
              <w:right w:w="10" w:type="dxa"/>
            </w:tcMar>
            <w:vAlign w:val="center"/>
          </w:tcPr>
          <w:p w14:paraId="33F3D660">
            <w:pPr>
              <w:jc w:val="center"/>
              <w:rPr>
                <w:rFonts w:hint="eastAsia"/>
                <w:color w:val="auto"/>
                <w:sz w:val="24"/>
                <w:szCs w:val="24"/>
                <w:highlight w:val="none"/>
                <w:lang w:val="en-US"/>
              </w:rPr>
            </w:pPr>
            <w:r>
              <w:rPr>
                <w:rFonts w:hint="eastAsia"/>
                <w:color w:val="auto"/>
                <w:sz w:val="24"/>
                <w:szCs w:val="24"/>
                <w:highlight w:val="none"/>
                <w:lang w:val="en-US"/>
              </w:rPr>
              <w:t>最高限价</w:t>
            </w:r>
          </w:p>
        </w:tc>
        <w:tc>
          <w:tcPr>
            <w:tcW w:w="7450" w:type="dxa"/>
            <w:noWrap w:val="0"/>
            <w:tcMar>
              <w:left w:w="10" w:type="dxa"/>
              <w:right w:w="10" w:type="dxa"/>
            </w:tcMar>
            <w:vAlign w:val="center"/>
          </w:tcPr>
          <w:p w14:paraId="4869ACA1">
            <w:pPr>
              <w:rPr>
                <w:rFonts w:hint="eastAsia"/>
                <w:color w:val="auto"/>
                <w:sz w:val="24"/>
                <w:szCs w:val="24"/>
                <w:highlight w:val="none"/>
                <w:lang w:val="en-US"/>
              </w:rPr>
            </w:pPr>
            <w:r>
              <w:rPr>
                <w:rFonts w:hint="eastAsia"/>
                <w:color w:val="auto"/>
                <w:sz w:val="24"/>
                <w:szCs w:val="24"/>
                <w:highlight w:val="none"/>
                <w:lang w:val="en-US"/>
              </w:rPr>
              <w:t>预算金额：</w:t>
            </w:r>
            <w:r>
              <w:rPr>
                <w:rFonts w:hint="eastAsia"/>
                <w:color w:val="auto"/>
                <w:sz w:val="24"/>
                <w:highlight w:val="none"/>
                <w:lang w:val="en-US" w:bidi="ar"/>
              </w:rPr>
              <w:t>¥911020.01</w:t>
            </w:r>
            <w:r>
              <w:rPr>
                <w:rFonts w:hint="eastAsia"/>
                <w:color w:val="auto"/>
                <w:sz w:val="24"/>
                <w:szCs w:val="24"/>
                <w:highlight w:val="none"/>
                <w:lang w:val="en-US"/>
              </w:rPr>
              <w:t>元；</w:t>
            </w:r>
          </w:p>
          <w:p w14:paraId="3EE5B4B9">
            <w:pPr>
              <w:rPr>
                <w:rFonts w:hint="eastAsia"/>
                <w:color w:val="auto"/>
                <w:sz w:val="24"/>
                <w:szCs w:val="24"/>
                <w:highlight w:val="none"/>
                <w:lang w:val="en-US"/>
              </w:rPr>
            </w:pPr>
            <w:r>
              <w:rPr>
                <w:rFonts w:hint="eastAsia"/>
                <w:color w:val="auto"/>
                <w:sz w:val="24"/>
                <w:szCs w:val="24"/>
                <w:highlight w:val="none"/>
                <w:lang w:val="en-US"/>
              </w:rPr>
              <w:t>供应商的磋商报价不得超过最高限价，否则视为无效报价</w:t>
            </w:r>
          </w:p>
        </w:tc>
      </w:tr>
      <w:tr w14:paraId="4CC9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55411BC2">
            <w:pPr>
              <w:jc w:val="center"/>
              <w:rPr>
                <w:color w:val="auto"/>
                <w:sz w:val="24"/>
                <w:szCs w:val="24"/>
                <w:highlight w:val="none"/>
                <w:lang w:val="en-US"/>
              </w:rPr>
            </w:pPr>
            <w:r>
              <w:rPr>
                <w:rFonts w:hint="eastAsia"/>
                <w:color w:val="auto"/>
                <w:sz w:val="24"/>
                <w:szCs w:val="24"/>
                <w:highlight w:val="none"/>
                <w:lang w:val="en-US"/>
              </w:rPr>
              <w:t>22</w:t>
            </w:r>
          </w:p>
        </w:tc>
        <w:tc>
          <w:tcPr>
            <w:tcW w:w="2385" w:type="dxa"/>
            <w:noWrap w:val="0"/>
            <w:tcMar>
              <w:left w:w="10" w:type="dxa"/>
              <w:right w:w="10" w:type="dxa"/>
            </w:tcMar>
            <w:vAlign w:val="center"/>
          </w:tcPr>
          <w:p w14:paraId="577B8C41">
            <w:pPr>
              <w:jc w:val="center"/>
              <w:rPr>
                <w:rFonts w:hint="eastAsia"/>
                <w:color w:val="auto"/>
                <w:sz w:val="24"/>
                <w:szCs w:val="24"/>
                <w:highlight w:val="none"/>
                <w:lang w:val="en-US"/>
              </w:rPr>
            </w:pPr>
            <w:r>
              <w:rPr>
                <w:rFonts w:hint="eastAsia"/>
                <w:color w:val="auto"/>
                <w:sz w:val="24"/>
                <w:szCs w:val="24"/>
                <w:highlight w:val="none"/>
              </w:rPr>
              <w:t>竞争性磋商时间和地点</w:t>
            </w:r>
          </w:p>
        </w:tc>
        <w:tc>
          <w:tcPr>
            <w:tcW w:w="7450" w:type="dxa"/>
            <w:noWrap w:val="0"/>
            <w:tcMar>
              <w:left w:w="10" w:type="dxa"/>
              <w:right w:w="10" w:type="dxa"/>
            </w:tcMar>
            <w:vAlign w:val="top"/>
          </w:tcPr>
          <w:p w14:paraId="6342D6B9">
            <w:pPr>
              <w:rPr>
                <w:rFonts w:hint="eastAsia"/>
                <w:color w:val="auto"/>
                <w:sz w:val="24"/>
                <w:szCs w:val="24"/>
                <w:highlight w:val="none"/>
                <w:lang w:val="en-US"/>
              </w:rPr>
            </w:pPr>
            <w:r>
              <w:rPr>
                <w:rFonts w:hint="eastAsia" w:cs="Times New Roman"/>
                <w:color w:val="auto"/>
                <w:sz w:val="24"/>
                <w:highlight w:val="none"/>
                <w:lang w:val="en-US" w:eastAsia="zh-CN" w:bidi="ar"/>
              </w:rPr>
              <w:t>详见公告部分</w:t>
            </w:r>
          </w:p>
        </w:tc>
      </w:tr>
      <w:tr w14:paraId="26AF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23317742">
            <w:pPr>
              <w:jc w:val="center"/>
              <w:rPr>
                <w:color w:val="auto"/>
                <w:sz w:val="24"/>
                <w:szCs w:val="24"/>
                <w:highlight w:val="none"/>
                <w:lang w:val="en-US"/>
              </w:rPr>
            </w:pPr>
            <w:r>
              <w:rPr>
                <w:rFonts w:hint="eastAsia"/>
                <w:color w:val="auto"/>
                <w:sz w:val="24"/>
                <w:szCs w:val="24"/>
                <w:highlight w:val="none"/>
                <w:lang w:val="en-US"/>
              </w:rPr>
              <w:t>23</w:t>
            </w:r>
          </w:p>
        </w:tc>
        <w:tc>
          <w:tcPr>
            <w:tcW w:w="2385" w:type="dxa"/>
            <w:noWrap w:val="0"/>
            <w:tcMar>
              <w:left w:w="10" w:type="dxa"/>
              <w:right w:w="10" w:type="dxa"/>
            </w:tcMar>
            <w:vAlign w:val="center"/>
          </w:tcPr>
          <w:p w14:paraId="0234EF16">
            <w:pPr>
              <w:jc w:val="center"/>
              <w:rPr>
                <w:rFonts w:hint="eastAsia"/>
                <w:color w:val="auto"/>
                <w:sz w:val="24"/>
                <w:szCs w:val="24"/>
                <w:highlight w:val="none"/>
                <w:lang w:val="en-US"/>
              </w:rPr>
            </w:pPr>
            <w:r>
              <w:rPr>
                <w:rFonts w:hint="eastAsia"/>
                <w:color w:val="auto"/>
                <w:sz w:val="24"/>
                <w:szCs w:val="24"/>
                <w:highlight w:val="none"/>
                <w:lang w:val="en-US"/>
              </w:rPr>
              <w:t>磋商有效期</w:t>
            </w:r>
          </w:p>
        </w:tc>
        <w:tc>
          <w:tcPr>
            <w:tcW w:w="7450" w:type="dxa"/>
            <w:noWrap w:val="0"/>
            <w:tcMar>
              <w:left w:w="10" w:type="dxa"/>
              <w:right w:w="10" w:type="dxa"/>
            </w:tcMar>
            <w:vAlign w:val="center"/>
          </w:tcPr>
          <w:p w14:paraId="1230A780">
            <w:pPr>
              <w:rPr>
                <w:rFonts w:hint="eastAsia"/>
                <w:color w:val="auto"/>
                <w:sz w:val="24"/>
                <w:szCs w:val="24"/>
                <w:highlight w:val="none"/>
                <w:lang w:val="en-US"/>
              </w:rPr>
            </w:pPr>
            <w:r>
              <w:rPr>
                <w:rFonts w:hint="eastAsia"/>
                <w:color w:val="auto"/>
                <w:sz w:val="24"/>
                <w:szCs w:val="24"/>
                <w:highlight w:val="none"/>
                <w:lang w:val="en-US"/>
              </w:rPr>
              <w:t>60日历天（自磋商截止之日起）</w:t>
            </w:r>
          </w:p>
        </w:tc>
      </w:tr>
      <w:tr w14:paraId="2328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5DDAD4D3">
            <w:pPr>
              <w:jc w:val="center"/>
              <w:rPr>
                <w:color w:val="auto"/>
                <w:sz w:val="24"/>
                <w:szCs w:val="24"/>
                <w:highlight w:val="none"/>
                <w:lang w:val="en-US"/>
              </w:rPr>
            </w:pPr>
            <w:r>
              <w:rPr>
                <w:rFonts w:hint="eastAsia"/>
                <w:color w:val="auto"/>
                <w:sz w:val="24"/>
                <w:szCs w:val="24"/>
                <w:highlight w:val="none"/>
                <w:lang w:val="en-US"/>
              </w:rPr>
              <w:t>24</w:t>
            </w:r>
          </w:p>
        </w:tc>
        <w:tc>
          <w:tcPr>
            <w:tcW w:w="2385" w:type="dxa"/>
            <w:noWrap w:val="0"/>
            <w:tcMar>
              <w:left w:w="10" w:type="dxa"/>
              <w:right w:w="10" w:type="dxa"/>
            </w:tcMar>
            <w:vAlign w:val="center"/>
          </w:tcPr>
          <w:p w14:paraId="53DCF5DE">
            <w:pPr>
              <w:jc w:val="center"/>
              <w:rPr>
                <w:rFonts w:hint="eastAsia"/>
                <w:color w:val="auto"/>
                <w:sz w:val="24"/>
                <w:szCs w:val="24"/>
                <w:highlight w:val="none"/>
                <w:lang w:val="en-US"/>
              </w:rPr>
            </w:pPr>
            <w:r>
              <w:rPr>
                <w:rFonts w:hint="eastAsia"/>
                <w:color w:val="auto"/>
                <w:sz w:val="24"/>
                <w:szCs w:val="24"/>
                <w:highlight w:val="none"/>
                <w:lang w:val="en-US"/>
              </w:rPr>
              <w:t>是否需要缴纳磋商保证金</w:t>
            </w:r>
          </w:p>
        </w:tc>
        <w:tc>
          <w:tcPr>
            <w:tcW w:w="7450" w:type="dxa"/>
            <w:noWrap w:val="0"/>
            <w:tcMar>
              <w:left w:w="10" w:type="dxa"/>
              <w:right w:w="10" w:type="dxa"/>
            </w:tcMar>
            <w:vAlign w:val="center"/>
          </w:tcPr>
          <w:p w14:paraId="764F35DE">
            <w:pPr>
              <w:rPr>
                <w:rFonts w:hint="eastAsia"/>
                <w:color w:val="auto"/>
                <w:sz w:val="24"/>
                <w:szCs w:val="24"/>
                <w:highlight w:val="none"/>
                <w:lang w:val="en-US"/>
              </w:rPr>
            </w:pPr>
            <w:r>
              <w:rPr>
                <w:rFonts w:hint="eastAsia"/>
                <w:color w:val="auto"/>
                <w:sz w:val="24"/>
                <w:szCs w:val="24"/>
                <w:highlight w:val="none"/>
                <w:lang w:val="en-US"/>
              </w:rPr>
              <w:t>否</w:t>
            </w:r>
          </w:p>
        </w:tc>
      </w:tr>
      <w:tr w14:paraId="70CC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44E8988A">
            <w:pPr>
              <w:jc w:val="center"/>
              <w:rPr>
                <w:color w:val="auto"/>
                <w:sz w:val="24"/>
                <w:szCs w:val="24"/>
                <w:highlight w:val="none"/>
                <w:lang w:val="en-US"/>
              </w:rPr>
            </w:pPr>
            <w:r>
              <w:rPr>
                <w:rFonts w:hint="eastAsia"/>
                <w:color w:val="auto"/>
                <w:sz w:val="24"/>
                <w:szCs w:val="24"/>
                <w:highlight w:val="none"/>
                <w:lang w:val="en-US"/>
              </w:rPr>
              <w:t>25</w:t>
            </w:r>
          </w:p>
        </w:tc>
        <w:tc>
          <w:tcPr>
            <w:tcW w:w="2385" w:type="dxa"/>
            <w:noWrap w:val="0"/>
            <w:tcMar>
              <w:left w:w="10" w:type="dxa"/>
              <w:right w:w="10" w:type="dxa"/>
            </w:tcMar>
            <w:vAlign w:val="center"/>
          </w:tcPr>
          <w:p w14:paraId="0717A57D">
            <w:pPr>
              <w:jc w:val="center"/>
              <w:rPr>
                <w:rFonts w:hint="eastAsia"/>
                <w:color w:val="auto"/>
                <w:sz w:val="24"/>
                <w:szCs w:val="24"/>
                <w:highlight w:val="none"/>
                <w:lang w:val="en-US"/>
              </w:rPr>
            </w:pPr>
            <w:r>
              <w:rPr>
                <w:rFonts w:hint="eastAsia"/>
                <w:color w:val="auto"/>
                <w:sz w:val="24"/>
                <w:szCs w:val="24"/>
                <w:highlight w:val="none"/>
                <w:lang w:val="en-US"/>
              </w:rPr>
              <w:t>近年财务状况的年份要求</w:t>
            </w:r>
          </w:p>
        </w:tc>
        <w:tc>
          <w:tcPr>
            <w:tcW w:w="7450" w:type="dxa"/>
            <w:noWrap w:val="0"/>
            <w:tcMar>
              <w:left w:w="10" w:type="dxa"/>
              <w:right w:w="10" w:type="dxa"/>
            </w:tcMar>
            <w:vAlign w:val="center"/>
          </w:tcPr>
          <w:p w14:paraId="6FB677D2">
            <w:pPr>
              <w:rPr>
                <w:rFonts w:hint="eastAsia"/>
                <w:color w:val="auto"/>
                <w:sz w:val="24"/>
                <w:szCs w:val="24"/>
                <w:highlight w:val="none"/>
                <w:lang w:val="en-US"/>
              </w:rPr>
            </w:pPr>
            <w:r>
              <w:rPr>
                <w:rFonts w:hint="eastAsia"/>
                <w:color w:val="auto"/>
                <w:sz w:val="24"/>
                <w:szCs w:val="24"/>
                <w:highlight w:val="none"/>
                <w:lang w:val="en-US"/>
              </w:rPr>
              <w:t>近三年（新注册企业从注册之日起至今）</w:t>
            </w:r>
          </w:p>
        </w:tc>
      </w:tr>
      <w:tr w14:paraId="146D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vMerge w:val="restart"/>
            <w:noWrap w:val="0"/>
            <w:tcMar>
              <w:left w:w="10" w:type="dxa"/>
              <w:right w:w="10" w:type="dxa"/>
            </w:tcMar>
            <w:vAlign w:val="center"/>
          </w:tcPr>
          <w:p w14:paraId="054AD741">
            <w:pPr>
              <w:jc w:val="center"/>
              <w:rPr>
                <w:color w:val="auto"/>
                <w:sz w:val="24"/>
                <w:szCs w:val="24"/>
                <w:highlight w:val="none"/>
                <w:lang w:val="en-US"/>
              </w:rPr>
            </w:pPr>
            <w:r>
              <w:rPr>
                <w:rFonts w:hint="eastAsia"/>
                <w:color w:val="auto"/>
                <w:sz w:val="24"/>
                <w:szCs w:val="24"/>
                <w:highlight w:val="none"/>
                <w:lang w:val="en-US"/>
              </w:rPr>
              <w:t>26</w:t>
            </w:r>
          </w:p>
        </w:tc>
        <w:tc>
          <w:tcPr>
            <w:tcW w:w="2385" w:type="dxa"/>
            <w:vMerge w:val="restart"/>
            <w:noWrap w:val="0"/>
            <w:tcMar>
              <w:left w:w="10" w:type="dxa"/>
              <w:right w:w="10" w:type="dxa"/>
            </w:tcMar>
            <w:vAlign w:val="center"/>
          </w:tcPr>
          <w:p w14:paraId="3F694D92">
            <w:pPr>
              <w:jc w:val="center"/>
              <w:rPr>
                <w:rFonts w:hint="eastAsia"/>
                <w:color w:val="auto"/>
                <w:sz w:val="24"/>
                <w:szCs w:val="24"/>
                <w:highlight w:val="none"/>
                <w:lang w:val="en-US"/>
              </w:rPr>
            </w:pPr>
            <w:r>
              <w:rPr>
                <w:rFonts w:hint="eastAsia"/>
                <w:color w:val="auto"/>
                <w:sz w:val="24"/>
                <w:szCs w:val="24"/>
                <w:highlight w:val="none"/>
                <w:lang w:val="en-US"/>
              </w:rPr>
              <w:t>供应商要求澄清竞争性磋商文件</w:t>
            </w:r>
          </w:p>
        </w:tc>
        <w:tc>
          <w:tcPr>
            <w:tcW w:w="7450" w:type="dxa"/>
            <w:noWrap w:val="0"/>
            <w:tcMar>
              <w:left w:w="10" w:type="dxa"/>
              <w:right w:w="10" w:type="dxa"/>
            </w:tcMar>
            <w:vAlign w:val="center"/>
          </w:tcPr>
          <w:p w14:paraId="3511E50B">
            <w:pPr>
              <w:rPr>
                <w:rFonts w:hint="eastAsia"/>
                <w:color w:val="auto"/>
                <w:sz w:val="24"/>
                <w:szCs w:val="24"/>
                <w:highlight w:val="none"/>
                <w:lang w:val="en-US"/>
              </w:rPr>
            </w:pPr>
            <w:r>
              <w:rPr>
                <w:rFonts w:hint="eastAsia"/>
                <w:color w:val="auto"/>
                <w:sz w:val="24"/>
                <w:szCs w:val="24"/>
                <w:highlight w:val="none"/>
                <w:lang w:val="en-US"/>
              </w:rPr>
              <w:t>时间：提交首次响应文件截止时间前5日</w:t>
            </w:r>
          </w:p>
        </w:tc>
      </w:tr>
      <w:tr w14:paraId="01CC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vMerge w:val="continue"/>
            <w:noWrap w:val="0"/>
            <w:tcMar>
              <w:left w:w="10" w:type="dxa"/>
              <w:right w:w="10" w:type="dxa"/>
            </w:tcMar>
            <w:vAlign w:val="center"/>
          </w:tcPr>
          <w:p w14:paraId="4A7C3F43">
            <w:pPr>
              <w:jc w:val="center"/>
              <w:rPr>
                <w:rFonts w:hint="eastAsia"/>
                <w:color w:val="auto"/>
                <w:sz w:val="24"/>
                <w:szCs w:val="24"/>
                <w:highlight w:val="none"/>
                <w:lang w:val="en-US"/>
              </w:rPr>
            </w:pPr>
          </w:p>
        </w:tc>
        <w:tc>
          <w:tcPr>
            <w:tcW w:w="2385" w:type="dxa"/>
            <w:vMerge w:val="continue"/>
            <w:noWrap w:val="0"/>
            <w:tcMar>
              <w:left w:w="10" w:type="dxa"/>
              <w:right w:w="10" w:type="dxa"/>
            </w:tcMar>
            <w:vAlign w:val="center"/>
          </w:tcPr>
          <w:p w14:paraId="31004A68">
            <w:pPr>
              <w:jc w:val="center"/>
              <w:rPr>
                <w:rFonts w:hint="eastAsia"/>
                <w:color w:val="auto"/>
                <w:sz w:val="24"/>
                <w:szCs w:val="24"/>
                <w:highlight w:val="none"/>
                <w:lang w:val="en-US"/>
              </w:rPr>
            </w:pPr>
          </w:p>
        </w:tc>
        <w:tc>
          <w:tcPr>
            <w:tcW w:w="7450" w:type="dxa"/>
            <w:noWrap w:val="0"/>
            <w:tcMar>
              <w:left w:w="10" w:type="dxa"/>
              <w:right w:w="10" w:type="dxa"/>
            </w:tcMar>
            <w:vAlign w:val="center"/>
          </w:tcPr>
          <w:p w14:paraId="7B731C8C">
            <w:pPr>
              <w:rPr>
                <w:rFonts w:hint="eastAsia"/>
                <w:color w:val="auto"/>
                <w:sz w:val="24"/>
                <w:szCs w:val="24"/>
                <w:highlight w:val="none"/>
                <w:lang w:val="en-US"/>
              </w:rPr>
            </w:pPr>
            <w:r>
              <w:rPr>
                <w:rFonts w:hint="eastAsia"/>
                <w:color w:val="auto"/>
                <w:sz w:val="24"/>
                <w:szCs w:val="24"/>
                <w:highlight w:val="none"/>
                <w:lang w:val="en-US"/>
              </w:rPr>
              <w:t>形式：在三门峡市公共资源电子招标投标交易平台提出</w:t>
            </w:r>
          </w:p>
        </w:tc>
      </w:tr>
      <w:tr w14:paraId="3890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59126A80">
            <w:pPr>
              <w:jc w:val="center"/>
              <w:rPr>
                <w:color w:val="auto"/>
                <w:sz w:val="24"/>
                <w:szCs w:val="24"/>
                <w:highlight w:val="none"/>
                <w:lang w:val="en-US"/>
              </w:rPr>
            </w:pPr>
            <w:r>
              <w:rPr>
                <w:rFonts w:hint="eastAsia"/>
                <w:color w:val="auto"/>
                <w:sz w:val="24"/>
                <w:szCs w:val="24"/>
                <w:highlight w:val="none"/>
                <w:lang w:val="en-US"/>
              </w:rPr>
              <w:t>27</w:t>
            </w:r>
          </w:p>
        </w:tc>
        <w:tc>
          <w:tcPr>
            <w:tcW w:w="2385" w:type="dxa"/>
            <w:noWrap w:val="0"/>
            <w:tcMar>
              <w:left w:w="10" w:type="dxa"/>
              <w:right w:w="10" w:type="dxa"/>
            </w:tcMar>
            <w:vAlign w:val="center"/>
          </w:tcPr>
          <w:p w14:paraId="46600197">
            <w:pPr>
              <w:jc w:val="center"/>
              <w:rPr>
                <w:rFonts w:hint="eastAsia"/>
                <w:color w:val="auto"/>
                <w:sz w:val="24"/>
                <w:szCs w:val="24"/>
                <w:highlight w:val="none"/>
                <w:lang w:val="en-US"/>
              </w:rPr>
            </w:pPr>
            <w:r>
              <w:rPr>
                <w:rFonts w:hint="eastAsia"/>
                <w:color w:val="auto"/>
                <w:sz w:val="24"/>
                <w:szCs w:val="24"/>
                <w:highlight w:val="none"/>
                <w:lang w:val="en-US"/>
              </w:rPr>
              <w:t>竞争性磋商文件澄清发出的形式</w:t>
            </w:r>
          </w:p>
        </w:tc>
        <w:tc>
          <w:tcPr>
            <w:tcW w:w="7450" w:type="dxa"/>
            <w:noWrap w:val="0"/>
            <w:tcMar>
              <w:left w:w="10" w:type="dxa"/>
              <w:right w:w="10" w:type="dxa"/>
            </w:tcMar>
            <w:vAlign w:val="center"/>
          </w:tcPr>
          <w:p w14:paraId="13D6A861">
            <w:pPr>
              <w:rPr>
                <w:rFonts w:hint="eastAsia"/>
                <w:color w:val="auto"/>
                <w:sz w:val="24"/>
                <w:szCs w:val="24"/>
                <w:highlight w:val="none"/>
                <w:lang w:val="en-US"/>
              </w:rPr>
            </w:pPr>
            <w:r>
              <w:rPr>
                <w:rFonts w:hint="eastAsia"/>
                <w:color w:val="auto"/>
                <w:sz w:val="24"/>
                <w:szCs w:val="24"/>
                <w:highlight w:val="none"/>
                <w:lang w:val="en-US"/>
              </w:rPr>
              <w:t>通过三门峡市公共资源电子招标投标交易平台发布且同时在原公告媒体发布澄清公告</w:t>
            </w:r>
          </w:p>
        </w:tc>
      </w:tr>
      <w:tr w14:paraId="77C2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79" w:type="dxa"/>
            <w:vMerge w:val="restart"/>
            <w:noWrap w:val="0"/>
            <w:tcMar>
              <w:left w:w="10" w:type="dxa"/>
              <w:right w:w="10" w:type="dxa"/>
            </w:tcMar>
            <w:vAlign w:val="center"/>
          </w:tcPr>
          <w:p w14:paraId="425F6A22">
            <w:pPr>
              <w:jc w:val="center"/>
              <w:rPr>
                <w:color w:val="auto"/>
                <w:sz w:val="24"/>
                <w:szCs w:val="24"/>
                <w:highlight w:val="none"/>
                <w:lang w:val="en-US"/>
              </w:rPr>
            </w:pPr>
            <w:r>
              <w:rPr>
                <w:rFonts w:hint="eastAsia"/>
                <w:color w:val="auto"/>
                <w:sz w:val="24"/>
                <w:szCs w:val="24"/>
                <w:highlight w:val="none"/>
                <w:lang w:val="en-US"/>
              </w:rPr>
              <w:t>28</w:t>
            </w:r>
          </w:p>
        </w:tc>
        <w:tc>
          <w:tcPr>
            <w:tcW w:w="2385" w:type="dxa"/>
            <w:vMerge w:val="restart"/>
            <w:noWrap w:val="0"/>
            <w:tcMar>
              <w:left w:w="10" w:type="dxa"/>
              <w:right w:w="10" w:type="dxa"/>
            </w:tcMar>
            <w:vAlign w:val="center"/>
          </w:tcPr>
          <w:p w14:paraId="7FD4580D">
            <w:pPr>
              <w:jc w:val="center"/>
              <w:rPr>
                <w:rFonts w:hint="eastAsia"/>
                <w:color w:val="auto"/>
                <w:sz w:val="24"/>
                <w:szCs w:val="24"/>
                <w:highlight w:val="none"/>
                <w:lang w:val="en-US"/>
              </w:rPr>
            </w:pPr>
            <w:r>
              <w:rPr>
                <w:rFonts w:hint="eastAsia"/>
                <w:color w:val="auto"/>
                <w:sz w:val="24"/>
                <w:szCs w:val="24"/>
                <w:highlight w:val="none"/>
                <w:lang w:val="en-US"/>
              </w:rPr>
              <w:t>供应商确认收到竞争性磋商文件澄清</w:t>
            </w:r>
          </w:p>
        </w:tc>
        <w:tc>
          <w:tcPr>
            <w:tcW w:w="7450" w:type="dxa"/>
            <w:noWrap w:val="0"/>
            <w:tcMar>
              <w:left w:w="10" w:type="dxa"/>
              <w:right w:w="10" w:type="dxa"/>
            </w:tcMar>
            <w:vAlign w:val="center"/>
          </w:tcPr>
          <w:p w14:paraId="10B73DF2">
            <w:pPr>
              <w:rPr>
                <w:rFonts w:hint="eastAsia"/>
                <w:color w:val="auto"/>
                <w:sz w:val="24"/>
                <w:szCs w:val="24"/>
                <w:highlight w:val="none"/>
                <w:lang w:val="en-US"/>
              </w:rPr>
            </w:pPr>
            <w:r>
              <w:rPr>
                <w:rFonts w:hint="eastAsia"/>
                <w:color w:val="auto"/>
                <w:sz w:val="24"/>
                <w:szCs w:val="24"/>
                <w:highlight w:val="none"/>
                <w:lang w:val="en-US"/>
              </w:rPr>
              <w:t>时间：在收到相应澄清文件后24小时内</w:t>
            </w:r>
          </w:p>
        </w:tc>
      </w:tr>
      <w:tr w14:paraId="52EA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79" w:type="dxa"/>
            <w:vMerge w:val="continue"/>
            <w:noWrap w:val="0"/>
            <w:tcMar>
              <w:left w:w="10" w:type="dxa"/>
              <w:right w:w="10" w:type="dxa"/>
            </w:tcMar>
            <w:vAlign w:val="center"/>
          </w:tcPr>
          <w:p w14:paraId="11C5C761">
            <w:pPr>
              <w:jc w:val="center"/>
              <w:rPr>
                <w:rFonts w:hint="eastAsia"/>
                <w:color w:val="auto"/>
                <w:sz w:val="24"/>
                <w:szCs w:val="24"/>
                <w:highlight w:val="none"/>
                <w:lang w:val="en-US"/>
              </w:rPr>
            </w:pPr>
          </w:p>
        </w:tc>
        <w:tc>
          <w:tcPr>
            <w:tcW w:w="2385" w:type="dxa"/>
            <w:vMerge w:val="continue"/>
            <w:noWrap w:val="0"/>
            <w:tcMar>
              <w:left w:w="10" w:type="dxa"/>
              <w:right w:w="10" w:type="dxa"/>
            </w:tcMar>
            <w:vAlign w:val="center"/>
          </w:tcPr>
          <w:p w14:paraId="6FBBB145">
            <w:pPr>
              <w:jc w:val="center"/>
              <w:rPr>
                <w:rFonts w:hint="eastAsia"/>
                <w:color w:val="auto"/>
                <w:sz w:val="24"/>
                <w:szCs w:val="24"/>
                <w:highlight w:val="none"/>
                <w:lang w:val="en-US"/>
              </w:rPr>
            </w:pPr>
          </w:p>
        </w:tc>
        <w:tc>
          <w:tcPr>
            <w:tcW w:w="7450" w:type="dxa"/>
            <w:noWrap w:val="0"/>
            <w:tcMar>
              <w:left w:w="10" w:type="dxa"/>
              <w:right w:w="10" w:type="dxa"/>
            </w:tcMar>
            <w:vAlign w:val="center"/>
          </w:tcPr>
          <w:p w14:paraId="6B59D8EE">
            <w:pPr>
              <w:rPr>
                <w:rFonts w:hint="eastAsia"/>
                <w:color w:val="auto"/>
                <w:sz w:val="24"/>
                <w:szCs w:val="24"/>
                <w:highlight w:val="none"/>
                <w:lang w:val="en-US"/>
              </w:rPr>
            </w:pPr>
            <w:r>
              <w:rPr>
                <w:rFonts w:hint="eastAsia"/>
                <w:color w:val="auto"/>
                <w:sz w:val="24"/>
                <w:szCs w:val="24"/>
                <w:highlight w:val="none"/>
                <w:lang w:val="en-US"/>
              </w:rPr>
              <w:t>形式：在三门峡市公共资源电子招标投标交易平台进行回复确认</w:t>
            </w:r>
          </w:p>
        </w:tc>
      </w:tr>
      <w:tr w14:paraId="0FE0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79" w:type="dxa"/>
            <w:noWrap w:val="0"/>
            <w:tcMar>
              <w:left w:w="10" w:type="dxa"/>
              <w:right w:w="10" w:type="dxa"/>
            </w:tcMar>
            <w:vAlign w:val="center"/>
          </w:tcPr>
          <w:p w14:paraId="3D2C1B31">
            <w:pPr>
              <w:jc w:val="center"/>
              <w:rPr>
                <w:color w:val="auto"/>
                <w:sz w:val="24"/>
                <w:szCs w:val="24"/>
                <w:highlight w:val="none"/>
                <w:lang w:val="en-US"/>
              </w:rPr>
            </w:pPr>
            <w:r>
              <w:rPr>
                <w:rFonts w:hint="eastAsia"/>
                <w:color w:val="auto"/>
                <w:sz w:val="24"/>
                <w:szCs w:val="24"/>
                <w:highlight w:val="none"/>
                <w:lang w:val="en-US"/>
              </w:rPr>
              <w:t>29</w:t>
            </w:r>
          </w:p>
        </w:tc>
        <w:tc>
          <w:tcPr>
            <w:tcW w:w="2385" w:type="dxa"/>
            <w:noWrap w:val="0"/>
            <w:tcMar>
              <w:left w:w="10" w:type="dxa"/>
              <w:right w:w="10" w:type="dxa"/>
            </w:tcMar>
            <w:vAlign w:val="center"/>
          </w:tcPr>
          <w:p w14:paraId="2E5B4E38">
            <w:pPr>
              <w:jc w:val="center"/>
              <w:rPr>
                <w:rFonts w:hint="eastAsia"/>
                <w:color w:val="auto"/>
                <w:sz w:val="24"/>
                <w:szCs w:val="24"/>
                <w:highlight w:val="none"/>
              </w:rPr>
            </w:pPr>
            <w:r>
              <w:rPr>
                <w:rFonts w:hint="eastAsia"/>
                <w:color w:val="auto"/>
                <w:sz w:val="24"/>
                <w:szCs w:val="24"/>
                <w:highlight w:val="none"/>
                <w:lang w:val="en-US"/>
              </w:rPr>
              <w:t>竞争性磋商文件修改发出的形式</w:t>
            </w:r>
          </w:p>
        </w:tc>
        <w:tc>
          <w:tcPr>
            <w:tcW w:w="7450" w:type="dxa"/>
            <w:noWrap w:val="0"/>
            <w:tcMar>
              <w:left w:w="10" w:type="dxa"/>
              <w:right w:w="10" w:type="dxa"/>
            </w:tcMar>
            <w:vAlign w:val="center"/>
          </w:tcPr>
          <w:p w14:paraId="4E7F43C7">
            <w:pPr>
              <w:rPr>
                <w:rFonts w:hint="eastAsia"/>
                <w:color w:val="auto"/>
                <w:sz w:val="24"/>
                <w:szCs w:val="24"/>
                <w:highlight w:val="none"/>
              </w:rPr>
            </w:pPr>
            <w:r>
              <w:rPr>
                <w:rFonts w:hint="eastAsia"/>
                <w:color w:val="auto"/>
                <w:sz w:val="24"/>
                <w:szCs w:val="24"/>
                <w:highlight w:val="none"/>
                <w:lang w:val="en-US"/>
              </w:rPr>
              <w:t>通过三门峡市公共资源电子招标投标交易平台发布且同时在原公告媒体发布变更公告</w:t>
            </w:r>
          </w:p>
        </w:tc>
      </w:tr>
      <w:tr w14:paraId="18B0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79" w:type="dxa"/>
            <w:vMerge w:val="restart"/>
            <w:noWrap w:val="0"/>
            <w:tcMar>
              <w:left w:w="10" w:type="dxa"/>
              <w:right w:w="10" w:type="dxa"/>
            </w:tcMar>
            <w:vAlign w:val="center"/>
          </w:tcPr>
          <w:p w14:paraId="1FDF61AB">
            <w:pPr>
              <w:jc w:val="center"/>
              <w:rPr>
                <w:color w:val="auto"/>
                <w:sz w:val="24"/>
                <w:szCs w:val="24"/>
                <w:highlight w:val="none"/>
                <w:lang w:val="en-US"/>
              </w:rPr>
            </w:pPr>
            <w:r>
              <w:rPr>
                <w:rFonts w:hint="eastAsia"/>
                <w:color w:val="auto"/>
                <w:sz w:val="24"/>
                <w:szCs w:val="24"/>
                <w:highlight w:val="none"/>
                <w:lang w:val="en-US"/>
              </w:rPr>
              <w:t>30</w:t>
            </w:r>
          </w:p>
        </w:tc>
        <w:tc>
          <w:tcPr>
            <w:tcW w:w="2385" w:type="dxa"/>
            <w:vMerge w:val="restart"/>
            <w:noWrap w:val="0"/>
            <w:tcMar>
              <w:left w:w="10" w:type="dxa"/>
              <w:right w:w="10" w:type="dxa"/>
            </w:tcMar>
            <w:vAlign w:val="center"/>
          </w:tcPr>
          <w:p w14:paraId="536A5A4F">
            <w:pPr>
              <w:jc w:val="center"/>
              <w:rPr>
                <w:rFonts w:hint="eastAsia"/>
                <w:color w:val="auto"/>
                <w:sz w:val="24"/>
                <w:szCs w:val="24"/>
                <w:highlight w:val="none"/>
              </w:rPr>
            </w:pPr>
            <w:r>
              <w:rPr>
                <w:rFonts w:hint="eastAsia"/>
                <w:color w:val="auto"/>
                <w:sz w:val="24"/>
                <w:szCs w:val="24"/>
                <w:highlight w:val="none"/>
                <w:lang w:val="en-US"/>
              </w:rPr>
              <w:t>供应商确认收到竞争性磋商文件修改</w:t>
            </w:r>
          </w:p>
          <w:p w14:paraId="632BA83D">
            <w:pPr>
              <w:jc w:val="center"/>
              <w:rPr>
                <w:rFonts w:hint="eastAsia"/>
                <w:color w:val="auto"/>
                <w:sz w:val="24"/>
                <w:szCs w:val="24"/>
                <w:highlight w:val="none"/>
                <w:lang w:val="en-US"/>
              </w:rPr>
            </w:pPr>
          </w:p>
        </w:tc>
        <w:tc>
          <w:tcPr>
            <w:tcW w:w="7450" w:type="dxa"/>
            <w:noWrap w:val="0"/>
            <w:tcMar>
              <w:left w:w="10" w:type="dxa"/>
              <w:right w:w="10" w:type="dxa"/>
            </w:tcMar>
            <w:vAlign w:val="center"/>
          </w:tcPr>
          <w:p w14:paraId="2FEB37BE">
            <w:pPr>
              <w:rPr>
                <w:rFonts w:hint="eastAsia"/>
                <w:color w:val="auto"/>
                <w:sz w:val="24"/>
                <w:szCs w:val="24"/>
                <w:highlight w:val="none"/>
                <w:lang w:val="en-US" w:eastAsia="en-US"/>
              </w:rPr>
            </w:pPr>
            <w:r>
              <w:rPr>
                <w:rFonts w:hint="eastAsia"/>
                <w:color w:val="auto"/>
                <w:sz w:val="24"/>
                <w:szCs w:val="24"/>
                <w:highlight w:val="none"/>
                <w:lang w:val="en-US"/>
              </w:rPr>
              <w:t>时间：在收到相应修改文件后 24 小时内</w:t>
            </w:r>
          </w:p>
        </w:tc>
      </w:tr>
      <w:tr w14:paraId="6412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79" w:type="dxa"/>
            <w:vMerge w:val="continue"/>
            <w:noWrap w:val="0"/>
            <w:tcMar>
              <w:left w:w="10" w:type="dxa"/>
              <w:right w:w="10" w:type="dxa"/>
            </w:tcMar>
            <w:vAlign w:val="center"/>
          </w:tcPr>
          <w:p w14:paraId="2154F859">
            <w:pPr>
              <w:jc w:val="center"/>
              <w:rPr>
                <w:rFonts w:hint="eastAsia"/>
                <w:color w:val="auto"/>
                <w:sz w:val="24"/>
                <w:szCs w:val="24"/>
                <w:highlight w:val="none"/>
                <w:lang w:val="en-US"/>
              </w:rPr>
            </w:pPr>
          </w:p>
        </w:tc>
        <w:tc>
          <w:tcPr>
            <w:tcW w:w="2385" w:type="dxa"/>
            <w:vMerge w:val="continue"/>
            <w:noWrap w:val="0"/>
            <w:tcMar>
              <w:left w:w="10" w:type="dxa"/>
              <w:right w:w="10" w:type="dxa"/>
            </w:tcMar>
            <w:vAlign w:val="center"/>
          </w:tcPr>
          <w:p w14:paraId="4EB76CC0">
            <w:pPr>
              <w:rPr>
                <w:rFonts w:hint="eastAsia"/>
                <w:color w:val="auto"/>
                <w:sz w:val="24"/>
                <w:szCs w:val="24"/>
                <w:highlight w:val="none"/>
                <w:lang w:val="en-US"/>
              </w:rPr>
            </w:pPr>
          </w:p>
        </w:tc>
        <w:tc>
          <w:tcPr>
            <w:tcW w:w="7450" w:type="dxa"/>
            <w:noWrap w:val="0"/>
            <w:tcMar>
              <w:left w:w="10" w:type="dxa"/>
              <w:right w:w="10" w:type="dxa"/>
            </w:tcMar>
            <w:vAlign w:val="center"/>
          </w:tcPr>
          <w:p w14:paraId="78A450EE">
            <w:pPr>
              <w:rPr>
                <w:rFonts w:hint="eastAsia"/>
                <w:color w:val="auto"/>
                <w:sz w:val="24"/>
                <w:szCs w:val="24"/>
                <w:highlight w:val="none"/>
                <w:lang w:val="en-US" w:eastAsia="en-US"/>
              </w:rPr>
            </w:pPr>
            <w:r>
              <w:rPr>
                <w:rFonts w:hint="eastAsia"/>
                <w:color w:val="auto"/>
                <w:sz w:val="24"/>
                <w:szCs w:val="24"/>
                <w:highlight w:val="none"/>
                <w:lang w:val="en-US"/>
              </w:rPr>
              <w:t>形式：在三门峡市公共资源电子招标投标交易平台进行回复确认</w:t>
            </w:r>
          </w:p>
        </w:tc>
      </w:tr>
      <w:tr w14:paraId="47F6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342C2A3E">
            <w:pPr>
              <w:jc w:val="center"/>
              <w:rPr>
                <w:color w:val="auto"/>
                <w:sz w:val="24"/>
                <w:szCs w:val="24"/>
                <w:highlight w:val="none"/>
                <w:lang w:val="en-US"/>
              </w:rPr>
            </w:pPr>
            <w:r>
              <w:rPr>
                <w:rFonts w:hint="eastAsia"/>
                <w:color w:val="auto"/>
                <w:sz w:val="24"/>
                <w:szCs w:val="24"/>
                <w:highlight w:val="none"/>
                <w:lang w:val="en-US"/>
              </w:rPr>
              <w:t>31</w:t>
            </w:r>
          </w:p>
        </w:tc>
        <w:tc>
          <w:tcPr>
            <w:tcW w:w="2385" w:type="dxa"/>
            <w:noWrap w:val="0"/>
            <w:tcMar>
              <w:left w:w="10" w:type="dxa"/>
              <w:right w:w="10" w:type="dxa"/>
            </w:tcMar>
            <w:vAlign w:val="center"/>
          </w:tcPr>
          <w:p w14:paraId="1230DF82">
            <w:pPr>
              <w:jc w:val="center"/>
              <w:rPr>
                <w:rFonts w:hint="eastAsia"/>
                <w:color w:val="auto"/>
                <w:sz w:val="24"/>
                <w:szCs w:val="24"/>
                <w:highlight w:val="none"/>
                <w:lang w:val="en-US"/>
              </w:rPr>
            </w:pPr>
            <w:r>
              <w:rPr>
                <w:rFonts w:hint="eastAsia"/>
                <w:color w:val="auto"/>
                <w:sz w:val="24"/>
                <w:szCs w:val="24"/>
                <w:highlight w:val="none"/>
                <w:lang w:val="en-US"/>
              </w:rPr>
              <w:t>电子磋商文件上传</w:t>
            </w:r>
          </w:p>
        </w:tc>
        <w:tc>
          <w:tcPr>
            <w:tcW w:w="7450" w:type="dxa"/>
            <w:noWrap w:val="0"/>
            <w:tcMar>
              <w:left w:w="10" w:type="dxa"/>
              <w:right w:w="10" w:type="dxa"/>
            </w:tcMar>
            <w:vAlign w:val="center"/>
          </w:tcPr>
          <w:p w14:paraId="39357959">
            <w:pPr>
              <w:wordWrap w:val="0"/>
              <w:rPr>
                <w:rFonts w:hint="eastAsia"/>
                <w:color w:val="auto"/>
                <w:sz w:val="24"/>
                <w:szCs w:val="24"/>
                <w:highlight w:val="none"/>
                <w:lang w:val="en-US"/>
              </w:rPr>
            </w:pPr>
            <w:r>
              <w:rPr>
                <w:rFonts w:hint="eastAsia"/>
                <w:color w:val="auto"/>
                <w:sz w:val="24"/>
                <w:szCs w:val="24"/>
                <w:highlight w:val="none"/>
                <w:lang w:val="en-US"/>
              </w:rPr>
              <w:t>供应商所上传的电子化响应文件，应是通过中心响应文件制作系统制作的（响应文件制作工具下载地址：https://download.bqpoint.com/download/downloadlist.html?WD=%E6%B2%B3%E5%8D%97%E7%9C%81）。</w:t>
            </w:r>
          </w:p>
        </w:tc>
      </w:tr>
      <w:tr w14:paraId="54DB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3EFD123F">
            <w:pPr>
              <w:jc w:val="center"/>
              <w:rPr>
                <w:color w:val="auto"/>
                <w:sz w:val="24"/>
                <w:szCs w:val="24"/>
                <w:highlight w:val="none"/>
                <w:lang w:val="en-US"/>
              </w:rPr>
            </w:pPr>
            <w:r>
              <w:rPr>
                <w:rFonts w:hint="eastAsia"/>
                <w:color w:val="auto"/>
                <w:sz w:val="24"/>
                <w:szCs w:val="24"/>
                <w:highlight w:val="none"/>
                <w:lang w:val="en-US"/>
              </w:rPr>
              <w:t>32</w:t>
            </w:r>
          </w:p>
        </w:tc>
        <w:tc>
          <w:tcPr>
            <w:tcW w:w="2385" w:type="dxa"/>
            <w:noWrap w:val="0"/>
            <w:tcMar>
              <w:left w:w="10" w:type="dxa"/>
              <w:right w:w="10" w:type="dxa"/>
            </w:tcMar>
            <w:vAlign w:val="center"/>
          </w:tcPr>
          <w:p w14:paraId="48856171">
            <w:pPr>
              <w:jc w:val="center"/>
              <w:rPr>
                <w:rFonts w:hint="eastAsia"/>
                <w:color w:val="auto"/>
                <w:sz w:val="24"/>
                <w:szCs w:val="24"/>
                <w:highlight w:val="none"/>
                <w:lang w:val="en-US"/>
              </w:rPr>
            </w:pPr>
            <w:r>
              <w:rPr>
                <w:rFonts w:hint="eastAsia"/>
                <w:color w:val="auto"/>
                <w:sz w:val="24"/>
                <w:szCs w:val="24"/>
                <w:highlight w:val="none"/>
                <w:lang w:val="en-US"/>
              </w:rPr>
              <w:t>电子投标文件签章</w:t>
            </w:r>
          </w:p>
        </w:tc>
        <w:tc>
          <w:tcPr>
            <w:tcW w:w="7450" w:type="dxa"/>
            <w:noWrap w:val="0"/>
            <w:tcMar>
              <w:left w:w="10" w:type="dxa"/>
              <w:right w:w="10" w:type="dxa"/>
            </w:tcMar>
            <w:vAlign w:val="center"/>
          </w:tcPr>
          <w:p w14:paraId="0E64A5EC">
            <w:pPr>
              <w:rPr>
                <w:rFonts w:hint="eastAsia"/>
                <w:color w:val="auto"/>
                <w:sz w:val="24"/>
                <w:szCs w:val="24"/>
                <w:highlight w:val="none"/>
                <w:lang w:val="en-US"/>
              </w:rPr>
            </w:pPr>
            <w:r>
              <w:rPr>
                <w:rFonts w:hint="eastAsia"/>
                <w:color w:val="auto"/>
                <w:sz w:val="24"/>
                <w:szCs w:val="24"/>
                <w:highlight w:val="none"/>
                <w:lang w:val="en-US"/>
              </w:rPr>
              <w:t>1、投标人在生成电子化投标文件后，应对电子化投标文件进行签章，未进行签章的视为无效投标。</w:t>
            </w:r>
          </w:p>
          <w:p w14:paraId="1962D0DC">
            <w:pPr>
              <w:rPr>
                <w:rFonts w:hint="eastAsia"/>
                <w:color w:val="auto"/>
                <w:sz w:val="24"/>
                <w:szCs w:val="24"/>
                <w:highlight w:val="none"/>
                <w:lang w:val="en-US"/>
              </w:rPr>
            </w:pPr>
            <w:r>
              <w:rPr>
                <w:rFonts w:hint="eastAsia"/>
                <w:color w:val="auto"/>
                <w:sz w:val="24"/>
                <w:szCs w:val="24"/>
                <w:highlight w:val="none"/>
                <w:lang w:val="en-US"/>
              </w:rPr>
              <w:t>2、投标人使用“三门峡市公共资源交易中心投标制作工具”在制作电子投标文件时，应按规定进行盖章。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tc>
      </w:tr>
      <w:tr w14:paraId="6D60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79" w:type="dxa"/>
            <w:noWrap w:val="0"/>
            <w:tcMar>
              <w:left w:w="10" w:type="dxa"/>
              <w:right w:w="10" w:type="dxa"/>
            </w:tcMar>
            <w:vAlign w:val="center"/>
          </w:tcPr>
          <w:p w14:paraId="19C74779">
            <w:pPr>
              <w:jc w:val="center"/>
              <w:rPr>
                <w:color w:val="auto"/>
                <w:sz w:val="24"/>
                <w:szCs w:val="24"/>
                <w:highlight w:val="none"/>
                <w:lang w:val="en-US"/>
              </w:rPr>
            </w:pPr>
            <w:r>
              <w:rPr>
                <w:rFonts w:hint="eastAsia"/>
                <w:color w:val="auto"/>
                <w:sz w:val="24"/>
                <w:szCs w:val="24"/>
                <w:highlight w:val="none"/>
                <w:lang w:val="en-US"/>
              </w:rPr>
              <w:t>33</w:t>
            </w:r>
          </w:p>
        </w:tc>
        <w:tc>
          <w:tcPr>
            <w:tcW w:w="2385" w:type="dxa"/>
            <w:noWrap w:val="0"/>
            <w:tcMar>
              <w:left w:w="10" w:type="dxa"/>
              <w:right w:w="10" w:type="dxa"/>
            </w:tcMar>
            <w:vAlign w:val="center"/>
          </w:tcPr>
          <w:p w14:paraId="4B82EA3F">
            <w:pPr>
              <w:jc w:val="center"/>
              <w:rPr>
                <w:rFonts w:hint="eastAsia"/>
                <w:color w:val="auto"/>
                <w:sz w:val="24"/>
                <w:szCs w:val="24"/>
                <w:highlight w:val="none"/>
                <w:lang w:val="en-US"/>
              </w:rPr>
            </w:pPr>
            <w:r>
              <w:rPr>
                <w:rFonts w:hint="eastAsia"/>
                <w:color w:val="auto"/>
                <w:sz w:val="24"/>
                <w:szCs w:val="24"/>
                <w:highlight w:val="none"/>
                <w:lang w:val="en-US"/>
              </w:rPr>
              <w:t>磋商截止时间</w:t>
            </w:r>
          </w:p>
        </w:tc>
        <w:tc>
          <w:tcPr>
            <w:tcW w:w="7450" w:type="dxa"/>
            <w:noWrap w:val="0"/>
            <w:tcMar>
              <w:left w:w="10" w:type="dxa"/>
              <w:right w:w="10" w:type="dxa"/>
            </w:tcMar>
            <w:vAlign w:val="center"/>
          </w:tcPr>
          <w:p w14:paraId="67278585">
            <w:pPr>
              <w:rPr>
                <w:rFonts w:hint="default" w:eastAsia="宋体"/>
                <w:color w:val="auto"/>
                <w:sz w:val="24"/>
                <w:szCs w:val="24"/>
                <w:highlight w:val="none"/>
                <w:lang w:val="en-US" w:eastAsia="zh-CN"/>
              </w:rPr>
            </w:pPr>
            <w:r>
              <w:rPr>
                <w:rFonts w:hint="eastAsia" w:cs="Times New Roman"/>
                <w:color w:val="auto"/>
                <w:sz w:val="24"/>
                <w:highlight w:val="none"/>
                <w:lang w:val="en-US" w:eastAsia="zh-CN" w:bidi="ar"/>
              </w:rPr>
              <w:t>详见公告部分</w:t>
            </w:r>
          </w:p>
        </w:tc>
      </w:tr>
      <w:tr w14:paraId="7FB1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9" w:type="dxa"/>
            <w:noWrap w:val="0"/>
            <w:tcMar>
              <w:left w:w="10" w:type="dxa"/>
              <w:right w:w="10" w:type="dxa"/>
            </w:tcMar>
            <w:vAlign w:val="center"/>
          </w:tcPr>
          <w:p w14:paraId="09E0B5FB">
            <w:pPr>
              <w:jc w:val="center"/>
              <w:rPr>
                <w:color w:val="auto"/>
                <w:sz w:val="24"/>
                <w:szCs w:val="24"/>
                <w:highlight w:val="none"/>
                <w:lang w:val="en-US"/>
              </w:rPr>
            </w:pPr>
            <w:r>
              <w:rPr>
                <w:rFonts w:hint="eastAsia"/>
                <w:color w:val="auto"/>
                <w:sz w:val="24"/>
                <w:szCs w:val="24"/>
                <w:highlight w:val="none"/>
                <w:lang w:val="en-US"/>
              </w:rPr>
              <w:t>34</w:t>
            </w:r>
          </w:p>
        </w:tc>
        <w:tc>
          <w:tcPr>
            <w:tcW w:w="2385" w:type="dxa"/>
            <w:noWrap w:val="0"/>
            <w:tcMar>
              <w:left w:w="10" w:type="dxa"/>
              <w:right w:w="10" w:type="dxa"/>
            </w:tcMar>
            <w:vAlign w:val="center"/>
          </w:tcPr>
          <w:p w14:paraId="6F55564A">
            <w:pPr>
              <w:jc w:val="center"/>
              <w:rPr>
                <w:rFonts w:hint="eastAsia"/>
                <w:color w:val="auto"/>
                <w:sz w:val="24"/>
                <w:szCs w:val="24"/>
                <w:highlight w:val="none"/>
                <w:lang w:val="en-US"/>
              </w:rPr>
            </w:pPr>
            <w:r>
              <w:rPr>
                <w:rFonts w:hint="eastAsia"/>
                <w:color w:val="auto"/>
                <w:sz w:val="24"/>
                <w:szCs w:val="24"/>
                <w:highlight w:val="none"/>
                <w:lang w:val="en-US"/>
              </w:rPr>
              <w:t>磋商文件是否退还</w:t>
            </w:r>
          </w:p>
        </w:tc>
        <w:tc>
          <w:tcPr>
            <w:tcW w:w="7450" w:type="dxa"/>
            <w:noWrap w:val="0"/>
            <w:tcMar>
              <w:left w:w="10" w:type="dxa"/>
              <w:right w:w="10" w:type="dxa"/>
            </w:tcMar>
            <w:vAlign w:val="center"/>
          </w:tcPr>
          <w:p w14:paraId="76391F0E">
            <w:pPr>
              <w:rPr>
                <w:rFonts w:hint="eastAsia"/>
                <w:color w:val="auto"/>
                <w:sz w:val="24"/>
                <w:szCs w:val="24"/>
                <w:highlight w:val="none"/>
                <w:lang w:val="en-US"/>
              </w:rPr>
            </w:pPr>
            <w:r>
              <w:rPr>
                <w:rFonts w:hint="eastAsia"/>
                <w:color w:val="auto"/>
                <w:sz w:val="24"/>
                <w:szCs w:val="24"/>
                <w:highlight w:val="none"/>
                <w:lang w:val="en-US"/>
              </w:rPr>
              <w:t>否</w:t>
            </w:r>
          </w:p>
        </w:tc>
      </w:tr>
      <w:tr w14:paraId="09B6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09F9298C">
            <w:pPr>
              <w:jc w:val="center"/>
              <w:rPr>
                <w:rFonts w:hint="eastAsia" w:eastAsia="宋体"/>
                <w:color w:val="auto"/>
                <w:sz w:val="24"/>
                <w:szCs w:val="24"/>
                <w:highlight w:val="none"/>
                <w:lang w:val="en-US" w:eastAsia="zh-CN"/>
              </w:rPr>
            </w:pPr>
            <w:r>
              <w:rPr>
                <w:rFonts w:hint="eastAsia"/>
                <w:color w:val="auto"/>
                <w:sz w:val="24"/>
                <w:szCs w:val="24"/>
                <w:highlight w:val="none"/>
                <w:lang w:val="en-US"/>
              </w:rPr>
              <w:t>3</w:t>
            </w:r>
            <w:r>
              <w:rPr>
                <w:rFonts w:hint="eastAsia"/>
                <w:color w:val="auto"/>
                <w:sz w:val="24"/>
                <w:szCs w:val="24"/>
                <w:highlight w:val="none"/>
                <w:lang w:val="en-US" w:eastAsia="zh-CN"/>
              </w:rPr>
              <w:t>5</w:t>
            </w:r>
          </w:p>
        </w:tc>
        <w:tc>
          <w:tcPr>
            <w:tcW w:w="2385" w:type="dxa"/>
            <w:noWrap w:val="0"/>
            <w:tcMar>
              <w:left w:w="10" w:type="dxa"/>
              <w:right w:w="10" w:type="dxa"/>
            </w:tcMar>
            <w:vAlign w:val="center"/>
          </w:tcPr>
          <w:p w14:paraId="7B20AE69">
            <w:pPr>
              <w:jc w:val="center"/>
              <w:rPr>
                <w:rFonts w:hint="eastAsia"/>
                <w:color w:val="auto"/>
                <w:sz w:val="24"/>
                <w:szCs w:val="24"/>
                <w:highlight w:val="none"/>
                <w:lang w:val="en-US"/>
              </w:rPr>
            </w:pPr>
            <w:r>
              <w:rPr>
                <w:rFonts w:hint="eastAsia"/>
                <w:color w:val="auto"/>
                <w:sz w:val="24"/>
                <w:szCs w:val="24"/>
                <w:highlight w:val="none"/>
                <w:lang w:val="en-US"/>
              </w:rPr>
              <w:t>磋商小组的组建</w:t>
            </w:r>
          </w:p>
        </w:tc>
        <w:tc>
          <w:tcPr>
            <w:tcW w:w="7450" w:type="dxa"/>
            <w:noWrap w:val="0"/>
            <w:tcMar>
              <w:left w:w="10" w:type="dxa"/>
              <w:right w:w="10" w:type="dxa"/>
            </w:tcMar>
            <w:vAlign w:val="center"/>
          </w:tcPr>
          <w:p w14:paraId="277C7F9A">
            <w:pPr>
              <w:rPr>
                <w:rFonts w:hint="eastAsia"/>
                <w:color w:val="auto"/>
                <w:sz w:val="24"/>
                <w:szCs w:val="24"/>
                <w:highlight w:val="none"/>
                <w:lang w:val="en-US"/>
              </w:rPr>
            </w:pPr>
            <w:r>
              <w:rPr>
                <w:rFonts w:hint="eastAsia"/>
                <w:color w:val="auto"/>
                <w:sz w:val="24"/>
                <w:szCs w:val="24"/>
                <w:highlight w:val="none"/>
                <w:lang w:val="en-US"/>
              </w:rPr>
              <w:t>磋商小组由采购人代表和评审专家共3人以上单数组成，其中评审专家人数不得少于磋商小组成员总数的2/3。评标专家确定方式：</w:t>
            </w:r>
            <w:r>
              <w:rPr>
                <w:rFonts w:hint="eastAsia" w:cs="仿宋"/>
                <w:color w:val="auto"/>
                <w:kern w:val="2"/>
                <w:sz w:val="24"/>
                <w:szCs w:val="24"/>
                <w:highlight w:val="none"/>
              </w:rPr>
              <w:t>开标后</w:t>
            </w:r>
            <w:r>
              <w:rPr>
                <w:rFonts w:hint="eastAsia" w:cs="仿宋"/>
                <w:color w:val="auto"/>
                <w:kern w:val="2"/>
                <w:sz w:val="24"/>
                <w:szCs w:val="24"/>
                <w:highlight w:val="none"/>
                <w:lang w:val="en-US"/>
              </w:rPr>
              <w:t>在三门峡市</w:t>
            </w:r>
            <w:r>
              <w:rPr>
                <w:rFonts w:hint="eastAsia" w:cs="仿宋"/>
                <w:color w:val="auto"/>
                <w:kern w:val="2"/>
                <w:sz w:val="24"/>
                <w:szCs w:val="24"/>
                <w:highlight w:val="none"/>
              </w:rPr>
              <w:t>卢氏</w:t>
            </w:r>
            <w:r>
              <w:rPr>
                <w:rFonts w:hint="eastAsia" w:cs="仿宋"/>
                <w:color w:val="auto"/>
                <w:kern w:val="2"/>
                <w:sz w:val="24"/>
                <w:szCs w:val="24"/>
                <w:highlight w:val="none"/>
                <w:lang w:val="en-US"/>
              </w:rPr>
              <w:t>县抽取</w:t>
            </w:r>
            <w:r>
              <w:rPr>
                <w:rFonts w:hint="eastAsia" w:cs="仿宋"/>
                <w:color w:val="auto"/>
                <w:kern w:val="2"/>
                <w:sz w:val="24"/>
                <w:szCs w:val="24"/>
                <w:highlight w:val="none"/>
              </w:rPr>
              <w:t>终端</w:t>
            </w:r>
            <w:r>
              <w:rPr>
                <w:rFonts w:hint="eastAsia" w:cs="仿宋"/>
                <w:color w:val="auto"/>
                <w:kern w:val="2"/>
                <w:sz w:val="24"/>
                <w:szCs w:val="24"/>
                <w:highlight w:val="none"/>
                <w:lang w:val="en-US"/>
              </w:rPr>
              <w:t>通过河南省政府采购评审专家库</w:t>
            </w:r>
            <w:r>
              <w:rPr>
                <w:rFonts w:hint="eastAsia" w:cs="仿宋"/>
                <w:color w:val="auto"/>
                <w:kern w:val="2"/>
                <w:sz w:val="24"/>
                <w:szCs w:val="24"/>
                <w:highlight w:val="none"/>
              </w:rPr>
              <w:t>中随机抽取</w:t>
            </w:r>
            <w:r>
              <w:rPr>
                <w:rFonts w:hint="eastAsia"/>
                <w:color w:val="auto"/>
                <w:sz w:val="24"/>
                <w:szCs w:val="24"/>
                <w:highlight w:val="none"/>
                <w:lang w:val="en-US"/>
              </w:rPr>
              <w:t>。</w:t>
            </w:r>
          </w:p>
        </w:tc>
      </w:tr>
      <w:tr w14:paraId="09DE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79" w:type="dxa"/>
            <w:noWrap w:val="0"/>
            <w:tcMar>
              <w:left w:w="10" w:type="dxa"/>
              <w:right w:w="10" w:type="dxa"/>
            </w:tcMar>
            <w:vAlign w:val="center"/>
          </w:tcPr>
          <w:p w14:paraId="27BEDC11">
            <w:pPr>
              <w:jc w:val="center"/>
              <w:rPr>
                <w:rFonts w:hint="eastAsia" w:eastAsia="宋体"/>
                <w:color w:val="auto"/>
                <w:sz w:val="24"/>
                <w:szCs w:val="24"/>
                <w:highlight w:val="none"/>
                <w:lang w:val="en-US" w:eastAsia="zh-CN"/>
              </w:rPr>
            </w:pPr>
            <w:r>
              <w:rPr>
                <w:rFonts w:hint="eastAsia"/>
                <w:color w:val="auto"/>
                <w:sz w:val="24"/>
                <w:szCs w:val="24"/>
                <w:highlight w:val="none"/>
                <w:lang w:val="en-US"/>
              </w:rPr>
              <w:t>3</w:t>
            </w:r>
            <w:r>
              <w:rPr>
                <w:rFonts w:hint="eastAsia"/>
                <w:color w:val="auto"/>
                <w:sz w:val="24"/>
                <w:szCs w:val="24"/>
                <w:highlight w:val="none"/>
                <w:lang w:val="en-US" w:eastAsia="zh-CN"/>
              </w:rPr>
              <w:t>6</w:t>
            </w:r>
          </w:p>
        </w:tc>
        <w:tc>
          <w:tcPr>
            <w:tcW w:w="2385" w:type="dxa"/>
            <w:noWrap w:val="0"/>
            <w:tcMar>
              <w:left w:w="10" w:type="dxa"/>
              <w:right w:w="10" w:type="dxa"/>
            </w:tcMar>
            <w:vAlign w:val="center"/>
          </w:tcPr>
          <w:p w14:paraId="1A8B2F82">
            <w:pPr>
              <w:jc w:val="center"/>
              <w:rPr>
                <w:rFonts w:hint="eastAsia"/>
                <w:color w:val="auto"/>
                <w:sz w:val="24"/>
                <w:szCs w:val="24"/>
                <w:highlight w:val="none"/>
                <w:lang w:val="en-US"/>
              </w:rPr>
            </w:pPr>
            <w:r>
              <w:rPr>
                <w:rFonts w:hint="eastAsia"/>
                <w:color w:val="auto"/>
                <w:sz w:val="24"/>
                <w:szCs w:val="24"/>
                <w:highlight w:val="none"/>
                <w:lang w:val="en-US"/>
              </w:rPr>
              <w:t>是否授权磋商小组确定成交人</w:t>
            </w:r>
          </w:p>
        </w:tc>
        <w:tc>
          <w:tcPr>
            <w:tcW w:w="7450" w:type="dxa"/>
            <w:noWrap w:val="0"/>
            <w:tcMar>
              <w:left w:w="10" w:type="dxa"/>
              <w:right w:w="10" w:type="dxa"/>
            </w:tcMar>
            <w:vAlign w:val="center"/>
          </w:tcPr>
          <w:p w14:paraId="7551C37B">
            <w:pPr>
              <w:rPr>
                <w:rFonts w:hint="eastAsia"/>
                <w:color w:val="auto"/>
                <w:sz w:val="24"/>
                <w:szCs w:val="24"/>
                <w:highlight w:val="none"/>
                <w:lang w:val="en-US"/>
              </w:rPr>
            </w:pPr>
            <w:r>
              <w:rPr>
                <w:rFonts w:hint="eastAsia"/>
                <w:color w:val="auto"/>
                <w:sz w:val="24"/>
                <w:szCs w:val="24"/>
                <w:highlight w:val="none"/>
                <w:lang w:val="en-US"/>
              </w:rPr>
              <w:t>否，推荐的成交候选人数：3名</w:t>
            </w:r>
          </w:p>
        </w:tc>
      </w:tr>
      <w:tr w14:paraId="466C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79" w:type="dxa"/>
            <w:noWrap w:val="0"/>
            <w:tcMar>
              <w:left w:w="10" w:type="dxa"/>
              <w:right w:w="10" w:type="dxa"/>
            </w:tcMar>
            <w:vAlign w:val="center"/>
          </w:tcPr>
          <w:p w14:paraId="3EFBB9FD">
            <w:pPr>
              <w:jc w:val="center"/>
              <w:rPr>
                <w:rFonts w:hint="eastAsia" w:eastAsia="宋体"/>
                <w:color w:val="auto"/>
                <w:sz w:val="24"/>
                <w:szCs w:val="24"/>
                <w:highlight w:val="none"/>
                <w:lang w:val="en-US" w:eastAsia="zh-CN"/>
              </w:rPr>
            </w:pPr>
            <w:r>
              <w:rPr>
                <w:rFonts w:hint="eastAsia"/>
                <w:color w:val="auto"/>
                <w:sz w:val="24"/>
                <w:szCs w:val="24"/>
                <w:highlight w:val="none"/>
                <w:lang w:val="en-US"/>
              </w:rPr>
              <w:t>3</w:t>
            </w:r>
            <w:r>
              <w:rPr>
                <w:rFonts w:hint="eastAsia"/>
                <w:color w:val="auto"/>
                <w:sz w:val="24"/>
                <w:szCs w:val="24"/>
                <w:highlight w:val="none"/>
                <w:lang w:val="en-US" w:eastAsia="zh-CN"/>
              </w:rPr>
              <w:t>7</w:t>
            </w:r>
          </w:p>
        </w:tc>
        <w:tc>
          <w:tcPr>
            <w:tcW w:w="2385" w:type="dxa"/>
            <w:noWrap w:val="0"/>
            <w:tcMar>
              <w:left w:w="10" w:type="dxa"/>
              <w:right w:w="10" w:type="dxa"/>
            </w:tcMar>
            <w:vAlign w:val="center"/>
          </w:tcPr>
          <w:p w14:paraId="166AA4B8">
            <w:pPr>
              <w:jc w:val="center"/>
              <w:rPr>
                <w:rFonts w:hint="eastAsia"/>
                <w:color w:val="auto"/>
                <w:sz w:val="24"/>
                <w:szCs w:val="24"/>
                <w:highlight w:val="none"/>
                <w:lang w:val="en-US"/>
              </w:rPr>
            </w:pPr>
            <w:r>
              <w:rPr>
                <w:rFonts w:hint="eastAsia"/>
                <w:color w:val="auto"/>
                <w:sz w:val="24"/>
                <w:szCs w:val="24"/>
                <w:highlight w:val="none"/>
                <w:lang w:val="en-US"/>
              </w:rPr>
              <w:t>中标结果公告媒介</w:t>
            </w:r>
          </w:p>
        </w:tc>
        <w:tc>
          <w:tcPr>
            <w:tcW w:w="7450" w:type="dxa"/>
            <w:noWrap w:val="0"/>
            <w:tcMar>
              <w:left w:w="10" w:type="dxa"/>
              <w:right w:w="10" w:type="dxa"/>
            </w:tcMar>
            <w:vAlign w:val="center"/>
          </w:tcPr>
          <w:p w14:paraId="79431758">
            <w:pPr>
              <w:rPr>
                <w:rFonts w:hint="eastAsia"/>
                <w:color w:val="auto"/>
                <w:sz w:val="24"/>
                <w:szCs w:val="24"/>
                <w:highlight w:val="none"/>
                <w:lang w:val="en-US"/>
              </w:rPr>
            </w:pPr>
            <w:r>
              <w:rPr>
                <w:rFonts w:hint="eastAsia"/>
                <w:color w:val="auto"/>
                <w:sz w:val="24"/>
                <w:szCs w:val="24"/>
                <w:highlight w:val="none"/>
                <w:lang w:val="en-US"/>
              </w:rPr>
              <w:t>同时在《中国招标投标公共服务平台》、《河南省政府采购网》、《三门峡市公共资源交易中心网》上发布</w:t>
            </w:r>
          </w:p>
        </w:tc>
      </w:tr>
      <w:tr w14:paraId="295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47100470">
            <w:pPr>
              <w:jc w:val="center"/>
              <w:rPr>
                <w:rFonts w:hint="eastAsia" w:eastAsia="宋体"/>
                <w:color w:val="auto"/>
                <w:sz w:val="24"/>
                <w:szCs w:val="24"/>
                <w:highlight w:val="none"/>
                <w:lang w:val="en-US" w:eastAsia="zh-CN"/>
              </w:rPr>
            </w:pPr>
            <w:r>
              <w:rPr>
                <w:rFonts w:hint="eastAsia"/>
                <w:color w:val="auto"/>
                <w:sz w:val="24"/>
                <w:szCs w:val="24"/>
                <w:highlight w:val="none"/>
                <w:lang w:val="en-US"/>
              </w:rPr>
              <w:t>3</w:t>
            </w:r>
            <w:r>
              <w:rPr>
                <w:rFonts w:hint="eastAsia"/>
                <w:color w:val="auto"/>
                <w:sz w:val="24"/>
                <w:szCs w:val="24"/>
                <w:highlight w:val="none"/>
                <w:lang w:val="en-US" w:eastAsia="zh-CN"/>
              </w:rPr>
              <w:t>8</w:t>
            </w:r>
          </w:p>
        </w:tc>
        <w:tc>
          <w:tcPr>
            <w:tcW w:w="2385" w:type="dxa"/>
            <w:noWrap w:val="0"/>
            <w:tcMar>
              <w:left w:w="10" w:type="dxa"/>
              <w:right w:w="10" w:type="dxa"/>
            </w:tcMar>
            <w:vAlign w:val="center"/>
          </w:tcPr>
          <w:p w14:paraId="64C832B7">
            <w:pPr>
              <w:jc w:val="center"/>
              <w:rPr>
                <w:rFonts w:hint="eastAsia"/>
                <w:color w:val="auto"/>
                <w:sz w:val="24"/>
                <w:szCs w:val="24"/>
                <w:highlight w:val="none"/>
                <w:lang w:val="en-US"/>
              </w:rPr>
            </w:pPr>
            <w:r>
              <w:rPr>
                <w:rFonts w:hint="eastAsia"/>
                <w:color w:val="auto"/>
                <w:sz w:val="24"/>
                <w:szCs w:val="24"/>
                <w:highlight w:val="none"/>
                <w:lang w:val="en-US"/>
              </w:rPr>
              <w:t>履约保证金</w:t>
            </w:r>
          </w:p>
        </w:tc>
        <w:tc>
          <w:tcPr>
            <w:tcW w:w="7450" w:type="dxa"/>
            <w:noWrap w:val="0"/>
            <w:tcMar>
              <w:left w:w="10" w:type="dxa"/>
              <w:right w:w="10" w:type="dxa"/>
            </w:tcMar>
            <w:vAlign w:val="top"/>
          </w:tcPr>
          <w:p w14:paraId="040FEB70">
            <w:pPr>
              <w:rPr>
                <w:rFonts w:hint="eastAsia"/>
                <w:color w:val="auto"/>
                <w:sz w:val="24"/>
                <w:szCs w:val="24"/>
                <w:highlight w:val="none"/>
                <w:lang w:val="en-US"/>
              </w:rPr>
            </w:pPr>
            <w:r>
              <w:rPr>
                <w:rFonts w:hint="eastAsia"/>
                <w:color w:val="auto"/>
                <w:sz w:val="24"/>
                <w:szCs w:val="24"/>
                <w:highlight w:val="none"/>
                <w:lang w:val="en-US"/>
              </w:rPr>
              <w:t>不收取</w:t>
            </w:r>
          </w:p>
        </w:tc>
      </w:tr>
      <w:tr w14:paraId="1CB2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1CF141C3">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39</w:t>
            </w:r>
          </w:p>
        </w:tc>
        <w:tc>
          <w:tcPr>
            <w:tcW w:w="2385" w:type="dxa"/>
            <w:noWrap w:val="0"/>
            <w:tcMar>
              <w:left w:w="10" w:type="dxa"/>
              <w:right w:w="10" w:type="dxa"/>
            </w:tcMar>
            <w:vAlign w:val="center"/>
          </w:tcPr>
          <w:p w14:paraId="5746A5AE">
            <w:pPr>
              <w:jc w:val="center"/>
              <w:rPr>
                <w:rFonts w:hint="eastAsia"/>
                <w:color w:val="auto"/>
                <w:sz w:val="24"/>
                <w:szCs w:val="24"/>
                <w:highlight w:val="none"/>
                <w:lang w:val="en-US"/>
              </w:rPr>
            </w:pPr>
            <w:r>
              <w:rPr>
                <w:rFonts w:hint="eastAsia"/>
                <w:color w:val="auto"/>
                <w:sz w:val="24"/>
                <w:szCs w:val="24"/>
                <w:highlight w:val="none"/>
                <w:lang w:val="en-US"/>
              </w:rPr>
              <w:t>付款方式</w:t>
            </w:r>
          </w:p>
        </w:tc>
        <w:tc>
          <w:tcPr>
            <w:tcW w:w="7450" w:type="dxa"/>
            <w:noWrap w:val="0"/>
            <w:tcMar>
              <w:left w:w="10" w:type="dxa"/>
              <w:right w:w="10" w:type="dxa"/>
            </w:tcMar>
            <w:vAlign w:val="top"/>
          </w:tcPr>
          <w:p w14:paraId="23E87433">
            <w:pPr>
              <w:rPr>
                <w:rFonts w:hint="default" w:eastAsia="宋体"/>
                <w:color w:val="auto"/>
                <w:sz w:val="24"/>
                <w:szCs w:val="24"/>
                <w:highlight w:val="none"/>
                <w:lang w:val="en-US" w:eastAsia="zh-CN"/>
              </w:rPr>
            </w:pPr>
            <w:r>
              <w:rPr>
                <w:rFonts w:hint="eastAsia" w:cs="Times New Roman"/>
                <w:color w:val="auto"/>
                <w:sz w:val="24"/>
                <w:highlight w:val="none"/>
                <w:lang w:val="en-US" w:bidi="ar"/>
              </w:rPr>
              <w:t>安装调试</w:t>
            </w:r>
            <w:r>
              <w:rPr>
                <w:rFonts w:hint="eastAsia" w:cs="Times New Roman"/>
                <w:color w:val="auto"/>
                <w:sz w:val="24"/>
                <w:highlight w:val="none"/>
                <w:lang w:val="en-US" w:eastAsia="zh-CN" w:bidi="ar"/>
              </w:rPr>
              <w:t>完成，且验收合格一次性付款</w:t>
            </w:r>
          </w:p>
        </w:tc>
      </w:tr>
      <w:tr w14:paraId="1A9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noWrap w:val="0"/>
            <w:tcMar>
              <w:left w:w="10" w:type="dxa"/>
              <w:right w:w="10" w:type="dxa"/>
            </w:tcMar>
            <w:vAlign w:val="center"/>
          </w:tcPr>
          <w:p w14:paraId="7AE360C8">
            <w:pPr>
              <w:jc w:val="center"/>
              <w:rPr>
                <w:rFonts w:hint="eastAsia" w:eastAsia="宋体"/>
                <w:color w:val="auto"/>
                <w:sz w:val="24"/>
                <w:szCs w:val="24"/>
                <w:highlight w:val="none"/>
                <w:lang w:val="en-US" w:eastAsia="zh-CN"/>
              </w:rPr>
            </w:pPr>
            <w:r>
              <w:rPr>
                <w:rFonts w:hint="eastAsia"/>
                <w:color w:val="auto"/>
                <w:sz w:val="24"/>
                <w:szCs w:val="24"/>
                <w:highlight w:val="none"/>
                <w:lang w:val="en-US"/>
              </w:rPr>
              <w:t>4</w:t>
            </w:r>
            <w:r>
              <w:rPr>
                <w:rFonts w:hint="eastAsia"/>
                <w:color w:val="auto"/>
                <w:sz w:val="24"/>
                <w:szCs w:val="24"/>
                <w:highlight w:val="none"/>
                <w:lang w:val="en-US" w:eastAsia="zh-CN"/>
              </w:rPr>
              <w:t>0</w:t>
            </w:r>
          </w:p>
        </w:tc>
        <w:tc>
          <w:tcPr>
            <w:tcW w:w="2385" w:type="dxa"/>
            <w:noWrap w:val="0"/>
            <w:tcMar>
              <w:left w:w="10" w:type="dxa"/>
              <w:right w:w="10" w:type="dxa"/>
            </w:tcMar>
            <w:vAlign w:val="center"/>
          </w:tcPr>
          <w:p w14:paraId="1BB0A879">
            <w:pPr>
              <w:jc w:val="center"/>
              <w:rPr>
                <w:rFonts w:hint="eastAsia"/>
                <w:color w:val="auto"/>
                <w:sz w:val="24"/>
                <w:szCs w:val="24"/>
                <w:highlight w:val="none"/>
                <w:lang w:val="en-US"/>
              </w:rPr>
            </w:pPr>
            <w:r>
              <w:rPr>
                <w:rFonts w:hint="eastAsia"/>
                <w:color w:val="auto"/>
                <w:sz w:val="24"/>
                <w:szCs w:val="24"/>
                <w:highlight w:val="none"/>
                <w:lang w:val="en-US"/>
              </w:rPr>
              <w:t>合同的签订及备案</w:t>
            </w:r>
          </w:p>
        </w:tc>
        <w:tc>
          <w:tcPr>
            <w:tcW w:w="7450" w:type="dxa"/>
            <w:noWrap w:val="0"/>
            <w:tcMar>
              <w:left w:w="10" w:type="dxa"/>
              <w:right w:w="10" w:type="dxa"/>
            </w:tcMar>
            <w:vAlign w:val="center"/>
          </w:tcPr>
          <w:p w14:paraId="6AA85AC3">
            <w:pPr>
              <w:rPr>
                <w:rFonts w:hint="eastAsia"/>
                <w:color w:val="auto"/>
                <w:sz w:val="24"/>
                <w:szCs w:val="24"/>
                <w:highlight w:val="none"/>
                <w:lang w:val="en-US"/>
              </w:rPr>
            </w:pPr>
            <w:r>
              <w:rPr>
                <w:rFonts w:hint="eastAsia"/>
                <w:color w:val="auto"/>
                <w:sz w:val="24"/>
                <w:szCs w:val="24"/>
                <w:highlight w:val="none"/>
                <w:lang w:val="en-US"/>
              </w:rPr>
              <w:t>采购人和中标人应自中标通知书发出之日起1个工作日内按照中标通知书和供应商投标文件内容及要求签订合同；中标人与采购人签订合同后1个工作日内在《河南省政府采购网》上发布合同公告并进行网上备案</w:t>
            </w:r>
          </w:p>
        </w:tc>
      </w:tr>
      <w:tr w14:paraId="7E87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0514" w:type="dxa"/>
            <w:gridSpan w:val="3"/>
            <w:noWrap w:val="0"/>
            <w:tcMar>
              <w:left w:w="10" w:type="dxa"/>
              <w:right w:w="10" w:type="dxa"/>
            </w:tcMar>
            <w:vAlign w:val="center"/>
          </w:tcPr>
          <w:p w14:paraId="4FFA5B42">
            <w:pPr>
              <w:jc w:val="center"/>
              <w:rPr>
                <w:rFonts w:hint="eastAsia"/>
                <w:color w:val="auto"/>
                <w:sz w:val="24"/>
                <w:szCs w:val="24"/>
                <w:highlight w:val="none"/>
                <w:lang w:val="en-US"/>
              </w:rPr>
            </w:pPr>
            <w:r>
              <w:rPr>
                <w:rFonts w:hint="eastAsia"/>
                <w:color w:val="auto"/>
                <w:sz w:val="24"/>
                <w:szCs w:val="24"/>
                <w:highlight w:val="none"/>
                <w:lang w:val="en-US"/>
              </w:rPr>
              <w:t>需要补充的其他内容</w:t>
            </w:r>
          </w:p>
        </w:tc>
      </w:tr>
      <w:tr w14:paraId="126A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9" w:type="dxa"/>
            <w:noWrap w:val="0"/>
            <w:tcMar>
              <w:left w:w="10" w:type="dxa"/>
              <w:right w:w="10" w:type="dxa"/>
            </w:tcMar>
            <w:vAlign w:val="center"/>
          </w:tcPr>
          <w:p w14:paraId="4729EBE8">
            <w:pPr>
              <w:jc w:val="center"/>
              <w:rPr>
                <w:rFonts w:hint="eastAsia" w:eastAsia="宋体"/>
                <w:color w:val="auto"/>
                <w:sz w:val="24"/>
                <w:szCs w:val="24"/>
                <w:highlight w:val="none"/>
                <w:lang w:val="en-US" w:eastAsia="zh-CN"/>
              </w:rPr>
            </w:pPr>
            <w:r>
              <w:rPr>
                <w:rFonts w:hint="eastAsia"/>
                <w:color w:val="auto"/>
                <w:sz w:val="24"/>
                <w:szCs w:val="24"/>
                <w:highlight w:val="none"/>
                <w:lang w:val="en-US"/>
              </w:rPr>
              <w:t>4</w:t>
            </w:r>
            <w:r>
              <w:rPr>
                <w:rFonts w:hint="eastAsia"/>
                <w:color w:val="auto"/>
                <w:sz w:val="24"/>
                <w:szCs w:val="24"/>
                <w:highlight w:val="none"/>
                <w:lang w:val="en-US" w:eastAsia="zh-CN"/>
              </w:rPr>
              <w:t>1</w:t>
            </w:r>
          </w:p>
        </w:tc>
        <w:tc>
          <w:tcPr>
            <w:tcW w:w="2385" w:type="dxa"/>
            <w:noWrap w:val="0"/>
            <w:tcMar>
              <w:left w:w="10" w:type="dxa"/>
              <w:right w:w="10" w:type="dxa"/>
            </w:tcMar>
            <w:vAlign w:val="center"/>
          </w:tcPr>
          <w:p w14:paraId="3A9077A5">
            <w:pPr>
              <w:jc w:val="center"/>
              <w:rPr>
                <w:rFonts w:hint="eastAsia"/>
                <w:color w:val="auto"/>
                <w:sz w:val="24"/>
                <w:szCs w:val="24"/>
                <w:highlight w:val="none"/>
                <w:lang w:val="en-US"/>
              </w:rPr>
            </w:pPr>
            <w:r>
              <w:rPr>
                <w:rFonts w:hint="eastAsia"/>
                <w:color w:val="auto"/>
                <w:sz w:val="24"/>
                <w:szCs w:val="24"/>
                <w:highlight w:val="none"/>
                <w:lang w:val="en-US"/>
              </w:rPr>
              <w:t>售后服务及其他</w:t>
            </w:r>
          </w:p>
        </w:tc>
        <w:tc>
          <w:tcPr>
            <w:tcW w:w="7450" w:type="dxa"/>
            <w:noWrap w:val="0"/>
            <w:tcMar>
              <w:left w:w="10" w:type="dxa"/>
              <w:right w:w="10" w:type="dxa"/>
            </w:tcMar>
            <w:vAlign w:val="center"/>
          </w:tcPr>
          <w:p w14:paraId="78098750">
            <w:pPr>
              <w:rPr>
                <w:rFonts w:hint="eastAsia"/>
                <w:color w:val="auto"/>
                <w:sz w:val="24"/>
                <w:szCs w:val="24"/>
                <w:highlight w:val="none"/>
                <w:lang w:val="en-US"/>
              </w:rPr>
            </w:pPr>
            <w:r>
              <w:rPr>
                <w:rFonts w:hint="eastAsia"/>
                <w:color w:val="auto"/>
                <w:sz w:val="24"/>
                <w:szCs w:val="24"/>
                <w:highlight w:val="none"/>
                <w:lang w:val="en-US"/>
              </w:rPr>
              <w:t>投标人根据自身情况提供售后服务及其他优惠条件</w:t>
            </w:r>
          </w:p>
        </w:tc>
      </w:tr>
      <w:tr w14:paraId="44CD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tcMar>
              <w:left w:w="10" w:type="dxa"/>
              <w:right w:w="10" w:type="dxa"/>
            </w:tcMar>
            <w:vAlign w:val="center"/>
          </w:tcPr>
          <w:p w14:paraId="48D79A53">
            <w:pPr>
              <w:jc w:val="center"/>
              <w:rPr>
                <w:rFonts w:hint="eastAsia" w:eastAsia="宋体"/>
                <w:color w:val="auto"/>
                <w:sz w:val="24"/>
                <w:szCs w:val="24"/>
                <w:highlight w:val="none"/>
                <w:lang w:val="en-US" w:eastAsia="zh-CN"/>
              </w:rPr>
            </w:pPr>
            <w:r>
              <w:rPr>
                <w:rFonts w:hint="eastAsia"/>
                <w:color w:val="auto"/>
                <w:sz w:val="24"/>
                <w:szCs w:val="24"/>
                <w:highlight w:val="none"/>
                <w:lang w:val="en-US"/>
              </w:rPr>
              <w:t>4</w:t>
            </w:r>
            <w:r>
              <w:rPr>
                <w:rFonts w:hint="eastAsia"/>
                <w:color w:val="auto"/>
                <w:sz w:val="24"/>
                <w:szCs w:val="24"/>
                <w:highlight w:val="none"/>
                <w:lang w:val="en-US" w:eastAsia="zh-CN"/>
              </w:rPr>
              <w:t>2</w:t>
            </w:r>
          </w:p>
        </w:tc>
        <w:tc>
          <w:tcPr>
            <w:tcW w:w="2385" w:type="dxa"/>
            <w:noWrap w:val="0"/>
            <w:tcMar>
              <w:left w:w="10" w:type="dxa"/>
              <w:right w:w="10" w:type="dxa"/>
            </w:tcMar>
            <w:vAlign w:val="center"/>
          </w:tcPr>
          <w:p w14:paraId="42587556">
            <w:pPr>
              <w:jc w:val="center"/>
              <w:rPr>
                <w:rFonts w:hint="eastAsia"/>
                <w:color w:val="auto"/>
                <w:sz w:val="24"/>
                <w:szCs w:val="24"/>
                <w:highlight w:val="none"/>
                <w:lang w:val="en-US"/>
              </w:rPr>
            </w:pPr>
            <w:r>
              <w:rPr>
                <w:rFonts w:hint="eastAsia"/>
                <w:color w:val="auto"/>
                <w:sz w:val="24"/>
                <w:szCs w:val="24"/>
                <w:highlight w:val="none"/>
                <w:lang w:val="en-US"/>
              </w:rPr>
              <w:t>知识产权</w:t>
            </w:r>
          </w:p>
        </w:tc>
        <w:tc>
          <w:tcPr>
            <w:tcW w:w="7450" w:type="dxa"/>
            <w:noWrap w:val="0"/>
            <w:tcMar>
              <w:left w:w="10" w:type="dxa"/>
              <w:right w:w="10" w:type="dxa"/>
            </w:tcMar>
            <w:vAlign w:val="center"/>
          </w:tcPr>
          <w:p w14:paraId="753F0497">
            <w:pPr>
              <w:rPr>
                <w:rFonts w:hint="eastAsia"/>
                <w:color w:val="auto"/>
                <w:sz w:val="24"/>
                <w:szCs w:val="24"/>
                <w:highlight w:val="none"/>
                <w:lang w:val="en-US"/>
              </w:rPr>
            </w:pPr>
            <w:r>
              <w:rPr>
                <w:rFonts w:hint="eastAsia"/>
                <w:color w:val="auto"/>
                <w:sz w:val="24"/>
                <w:szCs w:val="24"/>
                <w:highlight w:val="none"/>
                <w:lang w:val="en-US"/>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4B4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tcMar>
              <w:left w:w="10" w:type="dxa"/>
              <w:right w:w="10" w:type="dxa"/>
            </w:tcMar>
            <w:vAlign w:val="center"/>
          </w:tcPr>
          <w:p w14:paraId="7CED4FA7">
            <w:pPr>
              <w:jc w:val="center"/>
              <w:rPr>
                <w:rFonts w:hint="eastAsia" w:eastAsia="宋体"/>
                <w:color w:val="auto"/>
                <w:sz w:val="24"/>
                <w:szCs w:val="24"/>
                <w:highlight w:val="none"/>
                <w:lang w:val="en-US" w:eastAsia="zh-CN"/>
              </w:rPr>
            </w:pPr>
            <w:r>
              <w:rPr>
                <w:rFonts w:hint="eastAsia"/>
                <w:color w:val="auto"/>
                <w:sz w:val="24"/>
                <w:szCs w:val="24"/>
                <w:highlight w:val="none"/>
                <w:lang w:val="en-US"/>
              </w:rPr>
              <w:t>4</w:t>
            </w:r>
            <w:r>
              <w:rPr>
                <w:rFonts w:hint="eastAsia"/>
                <w:color w:val="auto"/>
                <w:sz w:val="24"/>
                <w:szCs w:val="24"/>
                <w:highlight w:val="none"/>
                <w:lang w:val="en-US" w:eastAsia="zh-CN"/>
              </w:rPr>
              <w:t>3</w:t>
            </w:r>
          </w:p>
        </w:tc>
        <w:tc>
          <w:tcPr>
            <w:tcW w:w="2385" w:type="dxa"/>
            <w:noWrap w:val="0"/>
            <w:tcMar>
              <w:left w:w="10" w:type="dxa"/>
              <w:right w:w="10" w:type="dxa"/>
            </w:tcMar>
            <w:vAlign w:val="center"/>
          </w:tcPr>
          <w:p w14:paraId="135F8607">
            <w:pPr>
              <w:jc w:val="center"/>
              <w:rPr>
                <w:rFonts w:hint="eastAsia"/>
                <w:color w:val="auto"/>
                <w:sz w:val="24"/>
                <w:szCs w:val="24"/>
                <w:highlight w:val="none"/>
                <w:lang w:val="en-US"/>
              </w:rPr>
            </w:pPr>
            <w:r>
              <w:rPr>
                <w:rFonts w:hint="eastAsia"/>
                <w:color w:val="auto"/>
                <w:sz w:val="24"/>
                <w:szCs w:val="24"/>
                <w:highlight w:val="none"/>
                <w:lang w:val="en-US"/>
              </w:rPr>
              <w:t>监  督</w:t>
            </w:r>
          </w:p>
        </w:tc>
        <w:tc>
          <w:tcPr>
            <w:tcW w:w="7450" w:type="dxa"/>
            <w:noWrap w:val="0"/>
            <w:tcMar>
              <w:left w:w="10" w:type="dxa"/>
              <w:right w:w="10" w:type="dxa"/>
            </w:tcMar>
            <w:vAlign w:val="center"/>
          </w:tcPr>
          <w:p w14:paraId="01B85F4E">
            <w:pPr>
              <w:rPr>
                <w:rFonts w:hint="eastAsia"/>
                <w:color w:val="auto"/>
                <w:sz w:val="24"/>
                <w:szCs w:val="24"/>
                <w:highlight w:val="none"/>
                <w:lang w:val="en-US"/>
              </w:rPr>
            </w:pPr>
            <w:r>
              <w:rPr>
                <w:rFonts w:hint="eastAsia"/>
                <w:color w:val="auto"/>
                <w:sz w:val="24"/>
                <w:szCs w:val="24"/>
                <w:highlight w:val="none"/>
                <w:lang w:val="en-US"/>
              </w:rPr>
              <w:t>本项目的采购活动及其相关当事人应当接受有管辖权的相关部门依法实施的监督</w:t>
            </w:r>
          </w:p>
        </w:tc>
      </w:tr>
      <w:tr w14:paraId="3D29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tcMar>
              <w:left w:w="10" w:type="dxa"/>
              <w:right w:w="10" w:type="dxa"/>
            </w:tcMar>
            <w:vAlign w:val="center"/>
          </w:tcPr>
          <w:p w14:paraId="2453A186">
            <w:pPr>
              <w:jc w:val="center"/>
              <w:rPr>
                <w:rFonts w:hint="eastAsia" w:eastAsia="宋体"/>
                <w:color w:val="auto"/>
                <w:sz w:val="24"/>
                <w:szCs w:val="24"/>
                <w:highlight w:val="none"/>
                <w:lang w:val="en-US" w:eastAsia="zh-CN"/>
              </w:rPr>
            </w:pPr>
            <w:r>
              <w:rPr>
                <w:rFonts w:hint="eastAsia"/>
                <w:color w:val="auto"/>
                <w:sz w:val="24"/>
                <w:szCs w:val="24"/>
                <w:highlight w:val="none"/>
                <w:lang w:val="en-US"/>
              </w:rPr>
              <w:t>4</w:t>
            </w:r>
            <w:r>
              <w:rPr>
                <w:rFonts w:hint="eastAsia"/>
                <w:color w:val="auto"/>
                <w:sz w:val="24"/>
                <w:szCs w:val="24"/>
                <w:highlight w:val="none"/>
                <w:lang w:val="en-US" w:eastAsia="zh-CN"/>
              </w:rPr>
              <w:t>4</w:t>
            </w:r>
          </w:p>
        </w:tc>
        <w:tc>
          <w:tcPr>
            <w:tcW w:w="2385" w:type="dxa"/>
            <w:noWrap w:val="0"/>
            <w:tcMar>
              <w:left w:w="10" w:type="dxa"/>
              <w:right w:w="10" w:type="dxa"/>
            </w:tcMar>
            <w:vAlign w:val="center"/>
          </w:tcPr>
          <w:p w14:paraId="793C80A2">
            <w:pPr>
              <w:jc w:val="center"/>
              <w:rPr>
                <w:rFonts w:hint="eastAsia"/>
                <w:color w:val="auto"/>
                <w:sz w:val="24"/>
                <w:szCs w:val="24"/>
                <w:highlight w:val="none"/>
                <w:lang w:val="en-US"/>
              </w:rPr>
            </w:pPr>
            <w:r>
              <w:rPr>
                <w:rFonts w:hint="eastAsia"/>
                <w:color w:val="auto"/>
                <w:sz w:val="24"/>
                <w:szCs w:val="24"/>
                <w:highlight w:val="none"/>
                <w:lang w:val="en-US"/>
              </w:rPr>
              <w:t>解释权</w:t>
            </w:r>
          </w:p>
        </w:tc>
        <w:tc>
          <w:tcPr>
            <w:tcW w:w="7450" w:type="dxa"/>
            <w:noWrap w:val="0"/>
            <w:tcMar>
              <w:left w:w="10" w:type="dxa"/>
              <w:right w:w="10" w:type="dxa"/>
            </w:tcMar>
            <w:vAlign w:val="center"/>
          </w:tcPr>
          <w:p w14:paraId="65354023">
            <w:pPr>
              <w:rPr>
                <w:rFonts w:hint="eastAsia"/>
                <w:color w:val="auto"/>
                <w:sz w:val="24"/>
                <w:szCs w:val="24"/>
                <w:highlight w:val="none"/>
                <w:lang w:val="en-US"/>
              </w:rPr>
            </w:pPr>
            <w:r>
              <w:rPr>
                <w:rFonts w:hint="eastAsia"/>
                <w:color w:val="auto"/>
                <w:sz w:val="24"/>
                <w:szCs w:val="24"/>
                <w:highlight w:val="none"/>
                <w:lang w:val="en-US"/>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磋商邀请书）、供应商须知、评标办法、磋商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EDE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noWrap w:val="0"/>
            <w:tcMar>
              <w:left w:w="10" w:type="dxa"/>
              <w:right w:w="10" w:type="dxa"/>
            </w:tcMar>
            <w:vAlign w:val="center"/>
          </w:tcPr>
          <w:p w14:paraId="17793DD7">
            <w:pPr>
              <w:jc w:val="center"/>
              <w:rPr>
                <w:rFonts w:hint="eastAsia" w:eastAsia="宋体"/>
                <w:color w:val="auto"/>
                <w:sz w:val="24"/>
                <w:szCs w:val="24"/>
                <w:highlight w:val="none"/>
                <w:lang w:val="en-US" w:eastAsia="zh-CN"/>
              </w:rPr>
            </w:pPr>
            <w:r>
              <w:rPr>
                <w:rFonts w:hint="eastAsia"/>
                <w:color w:val="auto"/>
                <w:sz w:val="24"/>
                <w:szCs w:val="24"/>
                <w:highlight w:val="none"/>
                <w:lang w:val="en-US"/>
              </w:rPr>
              <w:t>4</w:t>
            </w:r>
            <w:r>
              <w:rPr>
                <w:rFonts w:hint="eastAsia"/>
                <w:color w:val="auto"/>
                <w:sz w:val="24"/>
                <w:szCs w:val="24"/>
                <w:highlight w:val="none"/>
                <w:lang w:val="en-US" w:eastAsia="zh-CN"/>
              </w:rPr>
              <w:t>5</w:t>
            </w:r>
          </w:p>
        </w:tc>
        <w:tc>
          <w:tcPr>
            <w:tcW w:w="2385" w:type="dxa"/>
            <w:noWrap w:val="0"/>
            <w:tcMar>
              <w:left w:w="10" w:type="dxa"/>
              <w:right w:w="10" w:type="dxa"/>
            </w:tcMar>
            <w:vAlign w:val="center"/>
          </w:tcPr>
          <w:p w14:paraId="54961037">
            <w:pPr>
              <w:jc w:val="center"/>
              <w:rPr>
                <w:rFonts w:hint="eastAsia"/>
                <w:color w:val="auto"/>
                <w:sz w:val="24"/>
                <w:szCs w:val="24"/>
                <w:highlight w:val="none"/>
                <w:lang w:val="en-US"/>
              </w:rPr>
            </w:pPr>
            <w:r>
              <w:rPr>
                <w:rFonts w:hint="eastAsia"/>
                <w:color w:val="auto"/>
                <w:sz w:val="24"/>
                <w:szCs w:val="24"/>
                <w:highlight w:val="none"/>
                <w:lang w:val="en-US"/>
              </w:rPr>
              <w:t>代理服务费</w:t>
            </w:r>
          </w:p>
        </w:tc>
        <w:tc>
          <w:tcPr>
            <w:tcW w:w="7450" w:type="dxa"/>
            <w:noWrap w:val="0"/>
            <w:tcMar>
              <w:left w:w="10" w:type="dxa"/>
              <w:right w:w="10" w:type="dxa"/>
            </w:tcMar>
            <w:vAlign w:val="center"/>
          </w:tcPr>
          <w:p w14:paraId="1DE65BDD">
            <w:pPr>
              <w:rPr>
                <w:rFonts w:hint="eastAsia" w:cs="仿宋"/>
                <w:color w:val="auto"/>
                <w:kern w:val="2"/>
                <w:sz w:val="24"/>
                <w:szCs w:val="24"/>
                <w:highlight w:val="none"/>
              </w:rPr>
            </w:pPr>
            <w:r>
              <w:rPr>
                <w:rFonts w:hint="eastAsia" w:cs="仿宋"/>
                <w:color w:val="auto"/>
                <w:kern w:val="2"/>
                <w:sz w:val="24"/>
                <w:szCs w:val="24"/>
                <w:highlight w:val="none"/>
                <w:lang w:val="en-US"/>
              </w:rPr>
              <w:t>招标代理服务收费参照豫招协[2023]002号河南省招标投标协会关于印发《河南省招标代理服务收费指导意见》规定的收费标准收取中标服务费</w:t>
            </w:r>
            <w:r>
              <w:rPr>
                <w:rFonts w:hint="eastAsia" w:cs="仿宋"/>
                <w:color w:val="auto"/>
                <w:kern w:val="2"/>
                <w:sz w:val="24"/>
                <w:szCs w:val="24"/>
                <w:highlight w:val="none"/>
              </w:rPr>
              <w:t>，领取中标通知书时一次性支付</w:t>
            </w:r>
          </w:p>
          <w:p w14:paraId="7ABB2A03">
            <w:pPr>
              <w:pStyle w:val="2"/>
              <w:rPr>
                <w:rFonts w:hint="default" w:eastAsia="宋体"/>
                <w:lang w:val="en-US" w:eastAsia="zh-CN"/>
              </w:rPr>
            </w:pPr>
            <w:r>
              <w:rPr>
                <w:rFonts w:hint="eastAsia" w:cs="仿宋"/>
                <w:b/>
                <w:bCs/>
                <w:color w:val="auto"/>
                <w:kern w:val="2"/>
                <w:sz w:val="24"/>
                <w:szCs w:val="24"/>
                <w:highlight w:val="none"/>
                <w:lang w:val="en-US" w:eastAsia="zh-CN"/>
              </w:rPr>
              <w:t>注：</w:t>
            </w:r>
            <w:r>
              <w:rPr>
                <w:rFonts w:hint="eastAsia" w:cs="仿宋"/>
                <w:b/>
                <w:bCs/>
                <w:color w:val="auto"/>
                <w:kern w:val="2"/>
                <w:sz w:val="24"/>
                <w:szCs w:val="24"/>
                <w:highlight w:val="none"/>
              </w:rPr>
              <w:t>领取中标通知书时</w:t>
            </w:r>
            <w:r>
              <w:rPr>
                <w:rFonts w:hint="eastAsia" w:cs="仿宋"/>
                <w:b/>
                <w:bCs/>
                <w:color w:val="auto"/>
                <w:kern w:val="2"/>
                <w:sz w:val="24"/>
                <w:szCs w:val="24"/>
                <w:highlight w:val="none"/>
                <w:lang w:val="en-US" w:eastAsia="zh-CN"/>
              </w:rPr>
              <w:t>须携带中标投标文件壹份</w:t>
            </w:r>
          </w:p>
        </w:tc>
      </w:tr>
      <w:tr w14:paraId="5CC7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79" w:type="dxa"/>
            <w:noWrap w:val="0"/>
            <w:tcMar>
              <w:left w:w="10" w:type="dxa"/>
              <w:right w:w="10" w:type="dxa"/>
            </w:tcMar>
            <w:vAlign w:val="center"/>
          </w:tcPr>
          <w:p w14:paraId="39077F91">
            <w:pPr>
              <w:jc w:val="center"/>
              <w:rPr>
                <w:rFonts w:hint="eastAsia" w:eastAsia="宋体"/>
                <w:color w:val="auto"/>
                <w:sz w:val="24"/>
                <w:szCs w:val="24"/>
                <w:highlight w:val="none"/>
                <w:lang w:val="en-US" w:eastAsia="zh-CN"/>
              </w:rPr>
            </w:pPr>
            <w:r>
              <w:rPr>
                <w:rFonts w:hint="eastAsia"/>
                <w:color w:val="auto"/>
                <w:sz w:val="24"/>
                <w:szCs w:val="24"/>
                <w:highlight w:val="none"/>
                <w:lang w:val="en-US"/>
              </w:rPr>
              <w:t>4</w:t>
            </w:r>
            <w:r>
              <w:rPr>
                <w:rFonts w:hint="eastAsia"/>
                <w:color w:val="auto"/>
                <w:sz w:val="24"/>
                <w:szCs w:val="24"/>
                <w:highlight w:val="none"/>
                <w:lang w:val="en-US" w:eastAsia="zh-CN"/>
              </w:rPr>
              <w:t>6</w:t>
            </w:r>
          </w:p>
        </w:tc>
        <w:tc>
          <w:tcPr>
            <w:tcW w:w="2385" w:type="dxa"/>
            <w:noWrap w:val="0"/>
            <w:tcMar>
              <w:left w:w="10" w:type="dxa"/>
              <w:right w:w="10" w:type="dxa"/>
            </w:tcMar>
            <w:vAlign w:val="center"/>
          </w:tcPr>
          <w:p w14:paraId="0EE01AEE">
            <w:pPr>
              <w:jc w:val="center"/>
              <w:rPr>
                <w:rFonts w:hint="eastAsia"/>
                <w:color w:val="auto"/>
                <w:sz w:val="24"/>
                <w:szCs w:val="24"/>
                <w:highlight w:val="none"/>
                <w:lang w:val="en-US"/>
              </w:rPr>
            </w:pPr>
            <w:r>
              <w:rPr>
                <w:rFonts w:hint="eastAsia"/>
                <w:color w:val="auto"/>
                <w:sz w:val="24"/>
                <w:szCs w:val="24"/>
                <w:highlight w:val="none"/>
                <w:lang w:val="en-US"/>
              </w:rPr>
              <w:t>重新招标的其他情形</w:t>
            </w:r>
          </w:p>
        </w:tc>
        <w:tc>
          <w:tcPr>
            <w:tcW w:w="7450" w:type="dxa"/>
            <w:noWrap w:val="0"/>
            <w:tcMar>
              <w:left w:w="10" w:type="dxa"/>
              <w:right w:w="10" w:type="dxa"/>
            </w:tcMar>
            <w:vAlign w:val="center"/>
          </w:tcPr>
          <w:p w14:paraId="1BAE8653">
            <w:pPr>
              <w:rPr>
                <w:rFonts w:hint="eastAsia"/>
                <w:color w:val="auto"/>
                <w:sz w:val="24"/>
                <w:szCs w:val="24"/>
                <w:highlight w:val="none"/>
                <w:lang w:val="en-US"/>
              </w:rPr>
            </w:pPr>
            <w:r>
              <w:rPr>
                <w:rFonts w:hint="eastAsia"/>
                <w:color w:val="auto"/>
                <w:sz w:val="24"/>
                <w:szCs w:val="24"/>
                <w:highlight w:val="none"/>
                <w:lang w:val="en-US"/>
              </w:rPr>
              <w:t>1.磋商截止时间止，投标人少于3家的；</w:t>
            </w:r>
          </w:p>
          <w:p w14:paraId="55C6466B">
            <w:pPr>
              <w:rPr>
                <w:rFonts w:hint="eastAsia"/>
                <w:color w:val="auto"/>
                <w:sz w:val="24"/>
                <w:szCs w:val="24"/>
                <w:highlight w:val="none"/>
                <w:lang w:val="en-US"/>
              </w:rPr>
            </w:pPr>
            <w:r>
              <w:rPr>
                <w:rFonts w:hint="eastAsia"/>
                <w:color w:val="auto"/>
                <w:sz w:val="24"/>
                <w:szCs w:val="24"/>
                <w:highlight w:val="none"/>
                <w:lang w:val="en-US"/>
              </w:rPr>
              <w:t>2.经评标委员会评审后否决所有磋商的；</w:t>
            </w:r>
          </w:p>
          <w:p w14:paraId="6218AC73">
            <w:pPr>
              <w:rPr>
                <w:rFonts w:hint="eastAsia"/>
                <w:color w:val="auto"/>
                <w:sz w:val="24"/>
                <w:szCs w:val="24"/>
                <w:highlight w:val="none"/>
                <w:lang w:val="en-US"/>
              </w:rPr>
            </w:pPr>
            <w:r>
              <w:rPr>
                <w:rFonts w:hint="eastAsia"/>
                <w:color w:val="auto"/>
                <w:sz w:val="24"/>
                <w:szCs w:val="24"/>
                <w:highlight w:val="none"/>
                <w:lang w:val="en-US"/>
              </w:rPr>
              <w:t>3.除非已经产生中标候选人，在磋商有效期内同意延长磋商有效期的投标人少于三个的，招标人应当依法重新招标</w:t>
            </w:r>
          </w:p>
        </w:tc>
      </w:tr>
      <w:tr w14:paraId="4D3A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noWrap w:val="0"/>
            <w:tcMar>
              <w:left w:w="10" w:type="dxa"/>
              <w:right w:w="10" w:type="dxa"/>
            </w:tcMar>
            <w:vAlign w:val="center"/>
          </w:tcPr>
          <w:p w14:paraId="32C0C89F">
            <w:pPr>
              <w:jc w:val="center"/>
              <w:rPr>
                <w:rFonts w:hint="eastAsia" w:eastAsia="宋体"/>
                <w:color w:val="auto"/>
                <w:sz w:val="24"/>
                <w:szCs w:val="24"/>
                <w:highlight w:val="none"/>
                <w:lang w:val="en-US" w:eastAsia="zh-CN"/>
              </w:rPr>
            </w:pPr>
            <w:r>
              <w:rPr>
                <w:rFonts w:hint="eastAsia"/>
                <w:color w:val="auto"/>
                <w:sz w:val="24"/>
                <w:szCs w:val="24"/>
                <w:highlight w:val="none"/>
                <w:lang w:val="en-US"/>
              </w:rPr>
              <w:t>4</w:t>
            </w:r>
            <w:r>
              <w:rPr>
                <w:rFonts w:hint="eastAsia"/>
                <w:color w:val="auto"/>
                <w:sz w:val="24"/>
                <w:szCs w:val="24"/>
                <w:highlight w:val="none"/>
                <w:lang w:val="en-US" w:eastAsia="zh-CN"/>
              </w:rPr>
              <w:t>7</w:t>
            </w:r>
          </w:p>
        </w:tc>
        <w:tc>
          <w:tcPr>
            <w:tcW w:w="2385" w:type="dxa"/>
            <w:noWrap w:val="0"/>
            <w:tcMar>
              <w:left w:w="10" w:type="dxa"/>
              <w:right w:w="10" w:type="dxa"/>
            </w:tcMar>
            <w:vAlign w:val="center"/>
          </w:tcPr>
          <w:p w14:paraId="2E0B1B92">
            <w:pPr>
              <w:jc w:val="center"/>
              <w:rPr>
                <w:rFonts w:hint="eastAsia"/>
                <w:color w:val="auto"/>
                <w:sz w:val="24"/>
                <w:szCs w:val="24"/>
                <w:highlight w:val="none"/>
                <w:lang w:val="en-US"/>
              </w:rPr>
            </w:pPr>
            <w:r>
              <w:rPr>
                <w:rFonts w:hint="eastAsia"/>
                <w:color w:val="auto"/>
                <w:sz w:val="24"/>
                <w:szCs w:val="24"/>
                <w:highlight w:val="none"/>
                <w:lang w:val="en-US"/>
              </w:rPr>
              <w:t>本项目所属</w:t>
            </w:r>
            <w:r>
              <w:rPr>
                <w:color w:val="auto"/>
                <w:sz w:val="24"/>
                <w:szCs w:val="24"/>
                <w:highlight w:val="none"/>
                <w:lang w:val="en-US"/>
              </w:rPr>
              <w:t>行业</w:t>
            </w:r>
          </w:p>
        </w:tc>
        <w:tc>
          <w:tcPr>
            <w:tcW w:w="7450" w:type="dxa"/>
            <w:noWrap w:val="0"/>
            <w:tcMar>
              <w:left w:w="10" w:type="dxa"/>
              <w:right w:w="10" w:type="dxa"/>
            </w:tcMar>
            <w:vAlign w:val="center"/>
          </w:tcPr>
          <w:p w14:paraId="4987BBC5">
            <w:pPr>
              <w:rPr>
                <w:color w:val="auto"/>
                <w:sz w:val="24"/>
                <w:szCs w:val="24"/>
                <w:highlight w:val="none"/>
                <w:lang w:val="en-US"/>
              </w:rPr>
            </w:pPr>
            <w:r>
              <w:rPr>
                <w:rFonts w:hint="eastAsia"/>
                <w:color w:val="auto"/>
                <w:sz w:val="24"/>
                <w:szCs w:val="24"/>
                <w:highlight w:val="none"/>
                <w:lang w:val="en-US"/>
              </w:rPr>
              <w:t>采购标的所属行业：制造业</w:t>
            </w:r>
          </w:p>
          <w:p w14:paraId="4C6F3861">
            <w:pPr>
              <w:rPr>
                <w:color w:val="auto"/>
                <w:sz w:val="24"/>
                <w:szCs w:val="24"/>
                <w:highlight w:val="none"/>
                <w:lang w:val="en-US"/>
              </w:rPr>
            </w:pPr>
            <w:r>
              <w:rPr>
                <w:rFonts w:hint="eastAsia"/>
                <w:color w:val="auto"/>
                <w:sz w:val="24"/>
                <w:szCs w:val="24"/>
                <w:highlight w:val="none"/>
                <w:lang w:val="en-US"/>
              </w:rPr>
              <w:t>划定标准为：《工业和信息化部、国家统计局、国家发展和改革委员会、财政部关于印发</w:t>
            </w:r>
            <w:r>
              <w:rPr>
                <w:color w:val="auto"/>
                <w:sz w:val="24"/>
                <w:szCs w:val="24"/>
                <w:highlight w:val="none"/>
                <w:lang w:val="en-US"/>
              </w:rPr>
              <w:t>&lt;中小企业划型标准规定的通知&gt;（工信部联企业〔2011〕300号）规定的划分标准为依据。</w:t>
            </w:r>
          </w:p>
        </w:tc>
      </w:tr>
      <w:tr w14:paraId="2568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9" w:type="dxa"/>
            <w:noWrap w:val="0"/>
            <w:tcMar>
              <w:left w:w="10" w:type="dxa"/>
              <w:right w:w="10" w:type="dxa"/>
            </w:tcMar>
            <w:vAlign w:val="center"/>
          </w:tcPr>
          <w:p w14:paraId="662B69D4">
            <w:pPr>
              <w:rPr>
                <w:rFonts w:hint="eastAsia"/>
                <w:color w:val="auto"/>
                <w:sz w:val="24"/>
                <w:szCs w:val="24"/>
                <w:highlight w:val="none"/>
                <w:lang w:val="en-US"/>
              </w:rPr>
            </w:pPr>
          </w:p>
        </w:tc>
        <w:tc>
          <w:tcPr>
            <w:tcW w:w="9835" w:type="dxa"/>
            <w:gridSpan w:val="2"/>
            <w:noWrap w:val="0"/>
            <w:tcMar>
              <w:left w:w="10" w:type="dxa"/>
              <w:right w:w="10" w:type="dxa"/>
            </w:tcMar>
            <w:vAlign w:val="center"/>
          </w:tcPr>
          <w:p w14:paraId="24370DEC">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本项目为电子化、无纸化交易项目，投标文件是供应商、供应商 （ 以下简称 “ 供应商 ”）通过中心投标文件制作系统制作，并经过电子签章和加密后生成的电子版投标文件。供应商投标时，将不再接受任何纸质文件资料。</w:t>
            </w:r>
          </w:p>
          <w:p w14:paraId="6DE73E1B">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电子化投标文件具体制作教材请供应商通过CA证书登录三门峡市公共资源电子交易系统在“组件下载”中查看。</w:t>
            </w:r>
          </w:p>
          <w:p w14:paraId="16639BBB">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温馨提示：本项目为电子化、无纸化交易项目，开标时不接受任何纸质资料，为保证您能投标成功，请需仔细阅读以下条款。</w:t>
            </w:r>
          </w:p>
          <w:p w14:paraId="042DB3DA">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一、电子化投标</w:t>
            </w:r>
          </w:p>
          <w:p w14:paraId="5DDDD377">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（一）电子化投标文件的签章</w:t>
            </w:r>
          </w:p>
          <w:p w14:paraId="42563E5E">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1、供应商在生成电子化投标文件后，应对电子化投标文件进行签章，未进行签章的视为无效投标。</w:t>
            </w:r>
          </w:p>
          <w:p w14:paraId="7A0EE052">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2、招标文件中要求法定代表人或授权委托人签字或盖章的，供应商在进行电子化投标文件签章时，以签盖法定代表人签章为准 。电子化投标文件具体制作教材请供应商通过CA证书登录三门峡市公共资源电子化交易系统在右上角“组件下载”中查看。</w:t>
            </w:r>
          </w:p>
          <w:p w14:paraId="36D478CF">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（二）电子化投标文件的格式及上传投标</w:t>
            </w:r>
          </w:p>
          <w:p w14:paraId="40B5B699">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1、供应商所上传的电子化投标文件，应是通过中心投标文件制作系统制作的，经过签章和加密后生成的电子版投标文件。上传投标文件格式后缀为SMXTF，上传完后，建议验证CA 锁是否正常。</w:t>
            </w:r>
          </w:p>
          <w:p w14:paraId="5412C805">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 xml:space="preserve">注：供应商投报多个标段的，需要每个标段单独制作电子投标文件 </w:t>
            </w:r>
          </w:p>
          <w:p w14:paraId="2D17E83C">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41768F43">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注 ：如按照电子化投标操作教材制作完成的电子化投标文件无法上传的，供应商应在投标截止时间前尽早的联系中心技术人员，以便有充分的时间进行处理。 供应商应充分考虑到处理技术问题和上传数据等工作所需的时间问题，投标文件未在投标截止时间前成功上传的，其投标文件不予接收。</w:t>
            </w:r>
          </w:p>
          <w:p w14:paraId="5198E5D2">
            <w:pPr>
              <w:widowControl/>
              <w:spacing w:line="400" w:lineRule="exact"/>
              <w:rPr>
                <w:rFonts w:cs="仿宋"/>
                <w:color w:val="auto"/>
                <w:kern w:val="2"/>
                <w:sz w:val="24"/>
                <w:szCs w:val="24"/>
                <w:highlight w:val="none"/>
                <w:lang w:val="en-US"/>
              </w:rPr>
            </w:pPr>
            <w:r>
              <w:rPr>
                <w:rFonts w:hint="eastAsia" w:cs="仿宋"/>
                <w:color w:val="auto"/>
                <w:kern w:val="2"/>
                <w:sz w:val="24"/>
                <w:szCs w:val="24"/>
                <w:highlight w:val="none"/>
              </w:rPr>
              <w:t>技术联系电话：</w:t>
            </w:r>
            <w:r>
              <w:rPr>
                <w:rFonts w:hint="eastAsia" w:cs="仿宋"/>
                <w:color w:val="auto"/>
                <w:kern w:val="2"/>
                <w:sz w:val="24"/>
                <w:szCs w:val="24"/>
                <w:highlight w:val="none"/>
                <w:lang w:val="en-US"/>
              </w:rPr>
              <w:t>400 998 0000</w:t>
            </w:r>
          </w:p>
          <w:p w14:paraId="7B76554F">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（四）电子化项目开标、解密、唱标、评标</w:t>
            </w:r>
          </w:p>
          <w:p w14:paraId="5F5E69C2">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1、本项目采用电子化、无纸化进行招标，开标当日，供应商无需到开标现场参加开标会议。</w:t>
            </w:r>
          </w:p>
          <w:p w14:paraId="615E170D">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2、</w:t>
            </w:r>
            <w:r>
              <w:rPr>
                <w:rFonts w:hint="eastAsia" w:cs="仿宋"/>
                <w:color w:val="auto"/>
                <w:kern w:val="2"/>
                <w:sz w:val="24"/>
                <w:szCs w:val="24"/>
                <w:highlight w:val="none"/>
                <w:lang w:val="en-US"/>
              </w:rPr>
              <w:t>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r>
              <w:rPr>
                <w:rFonts w:hint="eastAsia" w:cs="仿宋"/>
                <w:color w:val="auto"/>
                <w:kern w:val="2"/>
                <w:sz w:val="24"/>
                <w:szCs w:val="24"/>
                <w:highlight w:val="none"/>
              </w:rPr>
              <w:t>。</w:t>
            </w:r>
          </w:p>
          <w:p w14:paraId="19D70656">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3、电子化投标文件解密异常的处理</w:t>
            </w:r>
          </w:p>
          <w:p w14:paraId="236FFC3A">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如出现供应商的电子投标文件无法解密的情况，供应商应及时致电中介服务机构说明。投标文件解密异常，按以下步骤进行处理：</w:t>
            </w:r>
          </w:p>
          <w:p w14:paraId="2319CA15">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（1）首先由技术人员进行问题排查。</w:t>
            </w:r>
          </w:p>
          <w:p w14:paraId="301437E5">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（2）经技术人员排查后，是供应商文件自身问题导致投标文件无法解密的，该投标文件将不予接收、解密和唱标。开标会议继续进行。</w:t>
            </w:r>
          </w:p>
          <w:p w14:paraId="12AB4D07">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72DAEAA">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4、待所有供应商投标文件解密完成后，由中介服务机构操作，对所有已解密投标文件进行唱标。</w:t>
            </w:r>
          </w:p>
          <w:p w14:paraId="3B375C55">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供应商应保证在开标期间电脑、网络能够正常工作，供应商因停电、电脑病毒、网络堵塞等原因，未在规定的解密时间内对投标文件进行解密的，其投标文件不予接收、唱标。</w:t>
            </w:r>
          </w:p>
          <w:p w14:paraId="08EADAF6">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lang w:val="en-US" w:bidi="ar-SA"/>
              </w:rPr>
              <w:t>5、</w:t>
            </w:r>
            <w:r>
              <w:rPr>
                <w:rFonts w:hint="eastAsia" w:cs="仿宋"/>
                <w:color w:val="auto"/>
                <w:kern w:val="2"/>
                <w:sz w:val="24"/>
                <w:szCs w:val="24"/>
                <w:highlight w:val="none"/>
              </w:rPr>
              <w:t>开标时供应商可登录到交易系统中在开标大厅中点击开标一览表查看自己的报价。如对自己的唱标内容有异议的，应在唱标内容显示后10分钟内向中服务机构通过开标大厅对话框提出质疑。中介服务机构做好书面记录。供应商未在规定时间内提出质疑的，视为认可唱标内容。</w:t>
            </w:r>
          </w:p>
          <w:p w14:paraId="06002C91">
            <w:pPr>
              <w:autoSpaceDE/>
              <w:autoSpaceDN/>
              <w:snapToGrid w:val="0"/>
              <w:spacing w:line="400" w:lineRule="exact"/>
              <w:jc w:val="both"/>
              <w:rPr>
                <w:rFonts w:hint="eastAsia" w:cs="仿宋"/>
                <w:color w:val="auto"/>
                <w:kern w:val="2"/>
                <w:sz w:val="24"/>
                <w:szCs w:val="24"/>
                <w:highlight w:val="none"/>
              </w:rPr>
            </w:pPr>
            <w:r>
              <w:rPr>
                <w:rFonts w:hint="eastAsia" w:cs="仿宋"/>
                <w:color w:val="auto"/>
                <w:kern w:val="2"/>
                <w:sz w:val="24"/>
                <w:szCs w:val="24"/>
                <w:highlight w:val="none"/>
              </w:rPr>
              <w:t>6、评标时，评标委员会对电子化投标文件有质疑的，将通过电子化交易系统对供应商发起质疑，供应商的回复文件必须以经过供应商和其法定代表人签章的PDF 格式文件为准，并通过电子化交易系统提交至评标委员会。</w:t>
            </w:r>
          </w:p>
          <w:p w14:paraId="142F5DB3">
            <w:pPr>
              <w:autoSpaceDE/>
              <w:autoSpaceDN/>
              <w:snapToGrid w:val="0"/>
              <w:spacing w:line="400" w:lineRule="exact"/>
              <w:jc w:val="both"/>
              <w:rPr>
                <w:rFonts w:hint="eastAsia" w:cs="仿宋"/>
                <w:color w:val="auto"/>
                <w:kern w:val="2"/>
                <w:sz w:val="24"/>
                <w:szCs w:val="24"/>
                <w:highlight w:val="none"/>
              </w:rPr>
            </w:pPr>
            <w:r>
              <w:rPr>
                <w:rFonts w:hint="eastAsia" w:cs="仿宋"/>
                <w:color w:val="auto"/>
                <w:kern w:val="2"/>
                <w:sz w:val="24"/>
                <w:szCs w:val="24"/>
                <w:highlight w:val="none"/>
              </w:rPr>
              <w:t>7、如评标委员会对需要回复的供应商在规定时间内通过电子化交易系统未收到回复的，视为供应商放弃回复，评标委员会将自行对需要回复的内容进行认定。</w:t>
            </w:r>
          </w:p>
          <w:p w14:paraId="6E290ADF">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二、 相关证书原件的提交</w:t>
            </w:r>
          </w:p>
          <w:p w14:paraId="32DA25D5">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rPr>
              <w:t>本项目实行资格后审，招标文件中要求供应商提交资质、业绩及单位人员等相关资料原件的，供应商需将原件扫描件制作到电子投标文件中，其上传资料真实性由供应商自行承担。评标委员会对原件的核验工作按以下条款进行：评标时，评委先查阅投标文件中是否具有该资料的原件扫描件，其上传资料真实性由供应商自行承担。本项目需要提交的原件扫描件以投标截止时间前在以供应商自行上传到响应文件中的相应内容为准。规定时间外上传或更改的信息不作为评标依据。评标时不接受供应商所提交的任何原件</w:t>
            </w:r>
          </w:p>
          <w:p w14:paraId="59791E57">
            <w:pPr>
              <w:widowControl/>
              <w:spacing w:line="400" w:lineRule="exact"/>
              <w:rPr>
                <w:rFonts w:hint="eastAsia" w:cs="仿宋"/>
                <w:color w:val="auto"/>
                <w:kern w:val="2"/>
                <w:sz w:val="24"/>
                <w:szCs w:val="24"/>
                <w:highlight w:val="none"/>
              </w:rPr>
            </w:pPr>
            <w:r>
              <w:rPr>
                <w:rFonts w:hint="eastAsia" w:cs="仿宋"/>
                <w:color w:val="auto"/>
                <w:kern w:val="2"/>
                <w:sz w:val="24"/>
                <w:szCs w:val="24"/>
                <w:highlight w:val="none"/>
                <w:lang w:val="en-US"/>
              </w:rPr>
              <w:t>(二</w:t>
            </w:r>
            <w:r>
              <w:rPr>
                <w:rFonts w:hint="eastAsia" w:cs="仿宋"/>
                <w:color w:val="auto"/>
                <w:kern w:val="2"/>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3E339B8F">
            <w:pPr>
              <w:rPr>
                <w:rFonts w:hint="eastAsia"/>
                <w:color w:val="auto"/>
                <w:sz w:val="24"/>
                <w:szCs w:val="24"/>
                <w:highlight w:val="none"/>
                <w:lang w:val="en-US"/>
              </w:rPr>
            </w:pPr>
            <w:r>
              <w:rPr>
                <w:rFonts w:hint="eastAsia" w:cs="仿宋"/>
                <w:color w:val="auto"/>
                <w:kern w:val="2"/>
                <w:sz w:val="24"/>
                <w:szCs w:val="24"/>
                <w:highlight w:val="none"/>
              </w:rPr>
              <w:t>提示：本项目为电子化、无纸化交易项目，开标时不再接受任何纸质资料，为保证您能投标成功，请需仔细阅读以上条款。</w:t>
            </w:r>
          </w:p>
        </w:tc>
      </w:tr>
    </w:tbl>
    <w:p w14:paraId="55AEDD07">
      <w:pPr>
        <w:rPr>
          <w:color w:val="auto"/>
          <w:highlight w:val="none"/>
        </w:rPr>
      </w:pPr>
    </w:p>
    <w:p w14:paraId="1A1726C3">
      <w:pPr>
        <w:widowControl/>
        <w:spacing w:after="200" w:line="360" w:lineRule="auto"/>
        <w:outlineLvl w:val="1"/>
        <w:rPr>
          <w:b/>
          <w:color w:val="auto"/>
          <w:sz w:val="24"/>
          <w:szCs w:val="24"/>
          <w:highlight w:val="none"/>
          <w:lang w:bidi="en-US"/>
        </w:rPr>
      </w:pPr>
      <w:r>
        <w:rPr>
          <w:rFonts w:hint="eastAsia" w:cs="仿宋"/>
          <w:color w:val="auto"/>
          <w:sz w:val="21"/>
          <w:szCs w:val="21"/>
          <w:highlight w:val="none"/>
        </w:rPr>
        <w:t>1</w:t>
      </w:r>
      <w:bookmarkStart w:id="10" w:name="_bookmark76"/>
      <w:bookmarkEnd w:id="10"/>
      <w:r>
        <w:rPr>
          <w:rFonts w:hint="eastAsia"/>
          <w:b/>
          <w:color w:val="auto"/>
          <w:sz w:val="24"/>
          <w:szCs w:val="24"/>
          <w:highlight w:val="none"/>
          <w:lang w:bidi="en-US"/>
        </w:rPr>
        <w:t>1.总则</w:t>
      </w:r>
    </w:p>
    <w:p w14:paraId="456A533C">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1.1 项目概况</w:t>
      </w:r>
    </w:p>
    <w:p w14:paraId="5CF495F6">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1.1.1《中华人民共和国政府采购法》《政府采购竞争性磋商采购方式管理暂行办法》及财库〔2015〕124号文。</w:t>
      </w:r>
    </w:p>
    <w:p w14:paraId="3432C1F4">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1.1.2 采购人：见供应商须知前附表。</w:t>
      </w:r>
    </w:p>
    <w:p w14:paraId="20773F0D">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1.1.3 采购代理机构：见供应商须知前附表。</w:t>
      </w:r>
    </w:p>
    <w:p w14:paraId="06BA0DA2">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1.1.4 采购项目名称：见供应商须知前附表。</w:t>
      </w:r>
    </w:p>
    <w:p w14:paraId="28661AC9">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1.1.5 项目地点：见供应商须知前附表。</w:t>
      </w:r>
    </w:p>
    <w:p w14:paraId="75483BF5">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1.2 资金来源和落实情况</w:t>
      </w:r>
    </w:p>
    <w:p w14:paraId="5F2C75A6">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1.2.1 资金来源：见供应商须知前附表。</w:t>
      </w:r>
    </w:p>
    <w:p w14:paraId="487E4C80">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1.2.2</w:t>
      </w:r>
      <w:r>
        <w:rPr>
          <w:color w:val="auto"/>
          <w:sz w:val="24"/>
          <w:szCs w:val="24"/>
          <w:highlight w:val="none"/>
        </w:rPr>
        <w:t xml:space="preserve"> </w:t>
      </w:r>
      <w:r>
        <w:rPr>
          <w:rFonts w:hint="eastAsia"/>
          <w:color w:val="auto"/>
          <w:sz w:val="24"/>
          <w:szCs w:val="24"/>
          <w:highlight w:val="none"/>
        </w:rPr>
        <w:t>资金落实情况：见供应商须知前附表。</w:t>
      </w:r>
    </w:p>
    <w:p w14:paraId="70900BC8">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1.3 磋商范围、供货期限和质量要求</w:t>
      </w:r>
    </w:p>
    <w:p w14:paraId="71F9DE98">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1.3.1 磋商范围：见供应商须知前附表。</w:t>
      </w:r>
    </w:p>
    <w:p w14:paraId="5830833D">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1.3.2</w:t>
      </w:r>
      <w:r>
        <w:rPr>
          <w:color w:val="auto"/>
          <w:sz w:val="24"/>
          <w:szCs w:val="24"/>
          <w:highlight w:val="none"/>
        </w:rPr>
        <w:t xml:space="preserve"> </w:t>
      </w:r>
      <w:r>
        <w:rPr>
          <w:rFonts w:hint="eastAsia"/>
          <w:color w:val="auto"/>
          <w:sz w:val="24"/>
          <w:szCs w:val="24"/>
          <w:highlight w:val="none"/>
        </w:rPr>
        <w:t>供货期限：见供应商须知前附表。</w:t>
      </w:r>
    </w:p>
    <w:p w14:paraId="4414965C">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1.3.3 质量要求：见供应商须知前附表。</w:t>
      </w:r>
    </w:p>
    <w:p w14:paraId="48F01F5E">
      <w:pPr>
        <w:spacing w:line="360" w:lineRule="auto"/>
        <w:rPr>
          <w:b/>
          <w:bCs/>
          <w:color w:val="auto"/>
          <w:sz w:val="24"/>
          <w:szCs w:val="24"/>
          <w:highlight w:val="none"/>
        </w:rPr>
      </w:pPr>
      <w:r>
        <w:rPr>
          <w:rFonts w:hint="eastAsia"/>
          <w:b/>
          <w:bCs/>
          <w:color w:val="auto"/>
          <w:sz w:val="24"/>
          <w:szCs w:val="24"/>
          <w:highlight w:val="none"/>
        </w:rPr>
        <w:t>1.4 供应商资格要求</w:t>
      </w:r>
    </w:p>
    <w:p w14:paraId="575FD256">
      <w:pPr>
        <w:spacing w:line="360" w:lineRule="auto"/>
        <w:ind w:firstLine="480" w:firstLineChars="200"/>
        <w:rPr>
          <w:color w:val="auto"/>
          <w:sz w:val="24"/>
          <w:szCs w:val="24"/>
          <w:highlight w:val="none"/>
        </w:rPr>
      </w:pPr>
      <w:r>
        <w:rPr>
          <w:rFonts w:hint="eastAsia"/>
          <w:color w:val="auto"/>
          <w:sz w:val="24"/>
          <w:szCs w:val="24"/>
          <w:highlight w:val="none"/>
        </w:rPr>
        <w:t>供应商不得存在下列情形之一：</w:t>
      </w:r>
    </w:p>
    <w:p w14:paraId="55740069">
      <w:pPr>
        <w:spacing w:line="360" w:lineRule="auto"/>
        <w:ind w:firstLine="435"/>
        <w:rPr>
          <w:color w:val="auto"/>
          <w:sz w:val="24"/>
          <w:szCs w:val="24"/>
          <w:highlight w:val="none"/>
        </w:rPr>
      </w:pPr>
      <w:r>
        <w:rPr>
          <w:rFonts w:hint="eastAsia"/>
          <w:color w:val="auto"/>
          <w:sz w:val="24"/>
          <w:szCs w:val="24"/>
          <w:highlight w:val="none"/>
        </w:rPr>
        <w:t>(1)不具有独立法人资格的附属机构(单位)；</w:t>
      </w:r>
    </w:p>
    <w:p w14:paraId="2606AABA">
      <w:pPr>
        <w:spacing w:line="360" w:lineRule="auto"/>
        <w:ind w:firstLine="435"/>
        <w:rPr>
          <w:color w:val="auto"/>
          <w:sz w:val="24"/>
          <w:szCs w:val="24"/>
          <w:highlight w:val="none"/>
        </w:rPr>
      </w:pPr>
      <w:r>
        <w:rPr>
          <w:rFonts w:hint="eastAsia"/>
          <w:color w:val="auto"/>
          <w:sz w:val="24"/>
          <w:szCs w:val="24"/>
          <w:highlight w:val="none"/>
        </w:rPr>
        <w:t>(2)被责令停业的；</w:t>
      </w:r>
    </w:p>
    <w:p w14:paraId="18C100BA">
      <w:pPr>
        <w:spacing w:line="360" w:lineRule="auto"/>
        <w:ind w:firstLine="435"/>
        <w:rPr>
          <w:color w:val="auto"/>
          <w:sz w:val="24"/>
          <w:szCs w:val="24"/>
          <w:highlight w:val="none"/>
        </w:rPr>
      </w:pPr>
      <w:r>
        <w:rPr>
          <w:rFonts w:hint="eastAsia"/>
          <w:color w:val="auto"/>
          <w:sz w:val="24"/>
          <w:szCs w:val="24"/>
          <w:highlight w:val="none"/>
        </w:rPr>
        <w:t>(3)被暂停或取消投标资格的；</w:t>
      </w:r>
    </w:p>
    <w:p w14:paraId="4C3763F9">
      <w:pPr>
        <w:spacing w:line="360" w:lineRule="auto"/>
        <w:ind w:firstLine="435"/>
        <w:rPr>
          <w:color w:val="auto"/>
          <w:sz w:val="24"/>
          <w:szCs w:val="24"/>
          <w:highlight w:val="none"/>
        </w:rPr>
      </w:pPr>
      <w:r>
        <w:rPr>
          <w:rFonts w:hint="eastAsia"/>
          <w:color w:val="auto"/>
          <w:sz w:val="24"/>
          <w:szCs w:val="24"/>
          <w:highlight w:val="none"/>
        </w:rPr>
        <w:t xml:space="preserve">(4)财产被接管或冻结的； </w:t>
      </w:r>
    </w:p>
    <w:p w14:paraId="42519FF2">
      <w:pPr>
        <w:spacing w:line="360" w:lineRule="auto"/>
        <w:ind w:firstLine="435"/>
        <w:rPr>
          <w:color w:val="auto"/>
          <w:sz w:val="24"/>
          <w:szCs w:val="24"/>
          <w:highlight w:val="none"/>
        </w:rPr>
      </w:pPr>
      <w:r>
        <w:rPr>
          <w:rFonts w:hint="eastAsia"/>
          <w:color w:val="auto"/>
          <w:sz w:val="24"/>
          <w:szCs w:val="24"/>
          <w:highlight w:val="none"/>
        </w:rPr>
        <w:t>(5)在最近三年内有骗取中标或严重违约原因引起的重大工程质量问题的。</w:t>
      </w:r>
    </w:p>
    <w:p w14:paraId="306F2364">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1.5 费用承担</w:t>
      </w:r>
    </w:p>
    <w:p w14:paraId="2A59093C">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供应商准备和参加磋商活动发生的费用自理。</w:t>
      </w:r>
    </w:p>
    <w:p w14:paraId="6BF348A0">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1.6 保密</w:t>
      </w:r>
    </w:p>
    <w:p w14:paraId="41B5A3EA">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参与磋商活动的各方应对磋商文件和响应文件中的商业和技术等秘密保密，违者应对由此造成的后果承担法律责任。</w:t>
      </w:r>
    </w:p>
    <w:p w14:paraId="12A1D710">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1.7 语言文字</w:t>
      </w:r>
    </w:p>
    <w:p w14:paraId="03185F66">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除专用术语外，与磋商有关的语言均使用中文。必要时专用术语应附有中文注释。</w:t>
      </w:r>
    </w:p>
    <w:p w14:paraId="292A296D">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1.8 计量单位</w:t>
      </w:r>
    </w:p>
    <w:p w14:paraId="2708D22B">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所有计量均采用中华人民共和国法定计量单位。</w:t>
      </w:r>
    </w:p>
    <w:p w14:paraId="271D9AF4">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1.9 踏勘现场</w:t>
      </w:r>
    </w:p>
    <w:p w14:paraId="033600B3">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1.9.1 采购人不统一组织供应商踏勘项目现场。</w:t>
      </w:r>
    </w:p>
    <w:p w14:paraId="72638B40">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1.9.2 供应商踏勘现场发生的费用自理。</w:t>
      </w:r>
    </w:p>
    <w:p w14:paraId="027589B0">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1.9.3 供应商自行负责在踏勘现场中所发生的人员伤亡和财产损失。</w:t>
      </w:r>
    </w:p>
    <w:p w14:paraId="4ADF2CA6">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1.10 磋商预备会：不召开</w:t>
      </w:r>
    </w:p>
    <w:p w14:paraId="12630104">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1.11 分包：不允许分包</w:t>
      </w:r>
    </w:p>
    <w:p w14:paraId="0F87CEFC">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1.12 偏离：允许（正偏离）</w:t>
      </w:r>
    </w:p>
    <w:p w14:paraId="6AE8D1A9">
      <w:pPr>
        <w:widowControl/>
        <w:spacing w:after="200" w:line="360" w:lineRule="auto"/>
        <w:outlineLvl w:val="1"/>
        <w:rPr>
          <w:b/>
          <w:color w:val="auto"/>
          <w:sz w:val="24"/>
          <w:szCs w:val="24"/>
          <w:highlight w:val="none"/>
          <w:lang w:bidi="en-US"/>
        </w:rPr>
      </w:pPr>
      <w:bookmarkStart w:id="11" w:name="_Toc16938526"/>
      <w:bookmarkStart w:id="12" w:name="_Toc513029210"/>
      <w:bookmarkStart w:id="13" w:name="_Toc20823282"/>
      <w:r>
        <w:rPr>
          <w:rFonts w:hint="eastAsia"/>
          <w:b/>
          <w:color w:val="auto"/>
          <w:sz w:val="24"/>
          <w:szCs w:val="24"/>
          <w:highlight w:val="none"/>
          <w:lang w:bidi="en-US"/>
        </w:rPr>
        <w:t>2.竞争性磋商文件构成</w:t>
      </w:r>
      <w:bookmarkEnd w:id="11"/>
      <w:bookmarkEnd w:id="12"/>
      <w:bookmarkEnd w:id="13"/>
    </w:p>
    <w:p w14:paraId="22AC6094">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2.1 竞争性磋商文件有以下部分组成：</w:t>
      </w:r>
    </w:p>
    <w:p w14:paraId="499932D8">
      <w:pPr>
        <w:spacing w:line="440" w:lineRule="exact"/>
        <w:ind w:firstLine="480" w:firstLineChars="200"/>
        <w:rPr>
          <w:color w:val="auto"/>
          <w:sz w:val="24"/>
          <w:szCs w:val="24"/>
          <w:highlight w:val="none"/>
        </w:rPr>
      </w:pPr>
      <w:r>
        <w:rPr>
          <w:rFonts w:hint="eastAsia"/>
          <w:color w:val="auto"/>
          <w:sz w:val="24"/>
          <w:szCs w:val="24"/>
          <w:highlight w:val="none"/>
        </w:rPr>
        <w:t>本竞争性磋商文件包括：</w:t>
      </w:r>
    </w:p>
    <w:p w14:paraId="251185C7">
      <w:pPr>
        <w:spacing w:line="440" w:lineRule="exact"/>
        <w:ind w:firstLine="480" w:firstLineChars="200"/>
        <w:rPr>
          <w:color w:val="auto"/>
          <w:sz w:val="24"/>
          <w:szCs w:val="24"/>
          <w:highlight w:val="none"/>
        </w:rPr>
      </w:pPr>
      <w:r>
        <w:rPr>
          <w:rFonts w:hint="eastAsia"/>
          <w:color w:val="auto"/>
          <w:sz w:val="24"/>
          <w:szCs w:val="24"/>
          <w:highlight w:val="none"/>
        </w:rPr>
        <w:t>（1）竞争性磋商公告</w:t>
      </w:r>
    </w:p>
    <w:p w14:paraId="6AAEEECD">
      <w:pPr>
        <w:spacing w:line="440" w:lineRule="exact"/>
        <w:ind w:firstLine="480" w:firstLineChars="200"/>
        <w:rPr>
          <w:color w:val="auto"/>
          <w:sz w:val="24"/>
          <w:szCs w:val="24"/>
          <w:highlight w:val="none"/>
        </w:rPr>
      </w:pPr>
      <w:r>
        <w:rPr>
          <w:rFonts w:hint="eastAsia"/>
          <w:color w:val="auto"/>
          <w:sz w:val="24"/>
          <w:szCs w:val="24"/>
          <w:highlight w:val="none"/>
        </w:rPr>
        <w:t>（2）供应商须知</w:t>
      </w:r>
    </w:p>
    <w:p w14:paraId="1C0041B9">
      <w:pPr>
        <w:spacing w:line="440" w:lineRule="exact"/>
        <w:ind w:firstLine="480" w:firstLineChars="200"/>
        <w:rPr>
          <w:rFonts w:hint="eastAsia"/>
          <w:color w:val="auto"/>
          <w:sz w:val="24"/>
          <w:szCs w:val="24"/>
          <w:highlight w:val="none"/>
        </w:rPr>
      </w:pPr>
      <w:r>
        <w:rPr>
          <w:rFonts w:hint="eastAsia"/>
          <w:color w:val="auto"/>
          <w:sz w:val="24"/>
          <w:szCs w:val="24"/>
          <w:highlight w:val="none"/>
        </w:rPr>
        <w:t>（3）采购内容</w:t>
      </w:r>
      <w:r>
        <w:rPr>
          <w:color w:val="auto"/>
          <w:sz w:val="24"/>
          <w:szCs w:val="24"/>
          <w:highlight w:val="none"/>
        </w:rPr>
        <w:t>及技术参数</w:t>
      </w:r>
    </w:p>
    <w:p w14:paraId="1D1F3AEB">
      <w:pPr>
        <w:spacing w:line="440" w:lineRule="exact"/>
        <w:ind w:firstLine="480" w:firstLineChars="200"/>
        <w:rPr>
          <w:color w:val="auto"/>
          <w:sz w:val="24"/>
          <w:szCs w:val="24"/>
          <w:highlight w:val="none"/>
        </w:rPr>
      </w:pPr>
      <w:r>
        <w:rPr>
          <w:rFonts w:hint="eastAsia"/>
          <w:color w:val="auto"/>
          <w:sz w:val="24"/>
          <w:szCs w:val="24"/>
          <w:highlight w:val="none"/>
        </w:rPr>
        <w:t>（3）评审标准</w:t>
      </w:r>
    </w:p>
    <w:p w14:paraId="5CF819DA">
      <w:pPr>
        <w:spacing w:line="440" w:lineRule="exact"/>
        <w:ind w:firstLine="480" w:firstLineChars="200"/>
        <w:rPr>
          <w:color w:val="auto"/>
          <w:sz w:val="24"/>
          <w:szCs w:val="24"/>
          <w:highlight w:val="none"/>
        </w:rPr>
      </w:pPr>
      <w:r>
        <w:rPr>
          <w:rFonts w:hint="eastAsia"/>
          <w:color w:val="auto"/>
          <w:sz w:val="24"/>
          <w:szCs w:val="24"/>
          <w:highlight w:val="none"/>
        </w:rPr>
        <w:t>（4）合同条款及格式</w:t>
      </w:r>
    </w:p>
    <w:p w14:paraId="5CC20255">
      <w:pPr>
        <w:spacing w:line="440" w:lineRule="exact"/>
        <w:ind w:firstLine="480" w:firstLineChars="200"/>
        <w:rPr>
          <w:color w:val="auto"/>
          <w:sz w:val="24"/>
          <w:szCs w:val="24"/>
          <w:highlight w:val="none"/>
        </w:rPr>
      </w:pPr>
      <w:r>
        <w:rPr>
          <w:rFonts w:hint="eastAsia"/>
          <w:color w:val="auto"/>
          <w:sz w:val="24"/>
          <w:szCs w:val="24"/>
          <w:highlight w:val="none"/>
        </w:rPr>
        <w:t>（5）</w:t>
      </w:r>
      <w:bookmarkStart w:id="14" w:name="_Toc20823283"/>
      <w:bookmarkStart w:id="15" w:name="_Toc513029211"/>
      <w:bookmarkStart w:id="16" w:name="_Toc462564070"/>
      <w:bookmarkStart w:id="17" w:name="_Toc16938527"/>
      <w:r>
        <w:rPr>
          <w:rFonts w:hint="eastAsia"/>
          <w:color w:val="auto"/>
          <w:sz w:val="24"/>
          <w:szCs w:val="24"/>
          <w:highlight w:val="none"/>
        </w:rPr>
        <w:t>响应文件格式</w:t>
      </w:r>
    </w:p>
    <w:p w14:paraId="4DC5A34A">
      <w:pPr>
        <w:spacing w:line="440" w:lineRule="exact"/>
        <w:ind w:firstLine="480" w:firstLineChars="200"/>
        <w:rPr>
          <w:color w:val="auto"/>
          <w:sz w:val="24"/>
          <w:szCs w:val="24"/>
          <w:highlight w:val="none"/>
        </w:rPr>
      </w:pPr>
      <w:r>
        <w:rPr>
          <w:rFonts w:hint="eastAsia"/>
          <w:color w:val="auto"/>
          <w:sz w:val="24"/>
          <w:szCs w:val="24"/>
          <w:highlight w:val="none"/>
        </w:rPr>
        <w:t>对竞争性磋商文件所作的澄清、修改，构成竞争性磋商文件的组成部分。</w:t>
      </w:r>
    </w:p>
    <w:p w14:paraId="45FB2302">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2.2 竞争性磋商文件的澄清</w:t>
      </w:r>
      <w:bookmarkEnd w:id="14"/>
      <w:bookmarkEnd w:id="15"/>
      <w:bookmarkEnd w:id="16"/>
      <w:bookmarkEnd w:id="17"/>
      <w:r>
        <w:rPr>
          <w:rFonts w:hint="eastAsia"/>
          <w:b/>
          <w:color w:val="auto"/>
          <w:sz w:val="24"/>
          <w:szCs w:val="24"/>
          <w:highlight w:val="none"/>
        </w:rPr>
        <w:t>及修改</w:t>
      </w:r>
    </w:p>
    <w:p w14:paraId="5EE34CE8">
      <w:pPr>
        <w:spacing w:line="440" w:lineRule="exact"/>
        <w:ind w:firstLine="480" w:firstLineChars="200"/>
        <w:rPr>
          <w:color w:val="auto"/>
          <w:sz w:val="24"/>
          <w:szCs w:val="24"/>
          <w:highlight w:val="none"/>
        </w:rPr>
      </w:pPr>
      <w:bookmarkStart w:id="18" w:name="_Hlt16619475"/>
      <w:bookmarkEnd w:id="18"/>
      <w:r>
        <w:rPr>
          <w:rFonts w:hint="eastAsia"/>
          <w:color w:val="auto"/>
          <w:sz w:val="24"/>
          <w:szCs w:val="24"/>
          <w:highlight w:val="none"/>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14:paraId="67EA110A">
      <w:pPr>
        <w:spacing w:line="440" w:lineRule="exact"/>
        <w:ind w:firstLine="480" w:firstLineChars="200"/>
        <w:rPr>
          <w:color w:val="auto"/>
          <w:sz w:val="24"/>
          <w:szCs w:val="24"/>
          <w:highlight w:val="none"/>
        </w:rPr>
      </w:pPr>
      <w:r>
        <w:rPr>
          <w:rFonts w:hint="eastAsia"/>
          <w:color w:val="auto"/>
          <w:sz w:val="24"/>
          <w:szCs w:val="24"/>
          <w:highlight w:val="none"/>
        </w:rPr>
        <w:t xml:space="preserve">2.2.2竞争性磋商文件的澄清将以书面形式发给所有领取竞争性磋商文件的供应商，但不指明澄清问题的来源。如果澄清发出的时间距供应商须知前附表规定的投标截止时间不足5日，并且澄清内容影响磋商响应文件编制的，将相应延长磋商截止时间。 </w:t>
      </w:r>
    </w:p>
    <w:p w14:paraId="0A8A643B">
      <w:pPr>
        <w:keepNext/>
        <w:keepLines/>
        <w:spacing w:line="440" w:lineRule="exact"/>
        <w:ind w:firstLine="241" w:firstLineChars="100"/>
        <w:outlineLvl w:val="1"/>
        <w:rPr>
          <w:b/>
          <w:bCs/>
          <w:color w:val="auto"/>
          <w:sz w:val="24"/>
          <w:szCs w:val="24"/>
          <w:highlight w:val="none"/>
        </w:rPr>
      </w:pPr>
      <w:bookmarkStart w:id="19" w:name="_Toc152042321"/>
      <w:bookmarkStart w:id="20" w:name="_Toc152045545"/>
      <w:bookmarkStart w:id="21" w:name="_Toc246996933"/>
      <w:bookmarkStart w:id="22" w:name="_Toc179632563"/>
      <w:bookmarkStart w:id="23" w:name="_Toc296602435"/>
      <w:bookmarkStart w:id="24" w:name="_Toc144974513"/>
      <w:bookmarkStart w:id="25" w:name="_Toc246996190"/>
      <w:bookmarkStart w:id="26" w:name="_Toc247085704"/>
      <w:r>
        <w:rPr>
          <w:rFonts w:hint="eastAsia"/>
          <w:b/>
          <w:bCs/>
          <w:color w:val="auto"/>
          <w:sz w:val="24"/>
          <w:szCs w:val="24"/>
          <w:highlight w:val="none"/>
        </w:rPr>
        <w:t>2.3 竞争性磋商文件的修改</w:t>
      </w:r>
      <w:bookmarkEnd w:id="19"/>
      <w:bookmarkEnd w:id="20"/>
      <w:bookmarkEnd w:id="21"/>
      <w:bookmarkEnd w:id="22"/>
      <w:bookmarkEnd w:id="23"/>
      <w:bookmarkEnd w:id="24"/>
      <w:bookmarkEnd w:id="25"/>
      <w:bookmarkEnd w:id="26"/>
    </w:p>
    <w:p w14:paraId="095C6FF4">
      <w:pPr>
        <w:spacing w:line="440" w:lineRule="exact"/>
        <w:ind w:firstLine="480" w:firstLineChars="200"/>
        <w:rPr>
          <w:color w:val="auto"/>
          <w:sz w:val="24"/>
          <w:szCs w:val="24"/>
          <w:highlight w:val="none"/>
        </w:rPr>
      </w:pPr>
      <w:r>
        <w:rPr>
          <w:rFonts w:hint="eastAsia"/>
          <w:color w:val="auto"/>
          <w:sz w:val="24"/>
          <w:szCs w:val="24"/>
          <w:highlight w:val="none"/>
        </w:rPr>
        <w:t>2.3.1采购人可以书面形式修改竞争性磋商文件，但如果修改竞争性磋商文件的时间距投标截止时间不足5日，并且修改内容影响磋商响应文件编制的，将相应延长磋商截止时间。</w:t>
      </w:r>
    </w:p>
    <w:p w14:paraId="2B861559">
      <w:pPr>
        <w:widowControl/>
        <w:spacing w:after="200" w:line="360" w:lineRule="auto"/>
        <w:outlineLvl w:val="1"/>
        <w:rPr>
          <w:b/>
          <w:color w:val="auto"/>
          <w:sz w:val="24"/>
          <w:szCs w:val="24"/>
          <w:highlight w:val="none"/>
          <w:lang w:bidi="en-US"/>
        </w:rPr>
      </w:pPr>
      <w:r>
        <w:rPr>
          <w:rFonts w:hint="eastAsia"/>
          <w:b/>
          <w:color w:val="auto"/>
          <w:sz w:val="24"/>
          <w:szCs w:val="24"/>
          <w:highlight w:val="none"/>
          <w:lang w:bidi="en-US"/>
        </w:rPr>
        <w:t>3.响应文件</w:t>
      </w:r>
    </w:p>
    <w:p w14:paraId="249AE71D">
      <w:pPr>
        <w:adjustRightInd w:val="0"/>
        <w:spacing w:line="360" w:lineRule="auto"/>
        <w:ind w:firstLine="482" w:firstLineChars="200"/>
        <w:textAlignment w:val="baseline"/>
        <w:rPr>
          <w:b/>
          <w:bCs/>
          <w:color w:val="auto"/>
          <w:sz w:val="24"/>
          <w:szCs w:val="24"/>
          <w:highlight w:val="none"/>
        </w:rPr>
      </w:pPr>
      <w:r>
        <w:rPr>
          <w:rFonts w:hint="eastAsia"/>
          <w:b/>
          <w:bCs/>
          <w:color w:val="auto"/>
          <w:sz w:val="24"/>
          <w:szCs w:val="24"/>
          <w:highlight w:val="none"/>
        </w:rPr>
        <w:t>3.1 响应文件的组成</w:t>
      </w:r>
    </w:p>
    <w:p w14:paraId="7D643BC0">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响应文件应包括下列内容：</w:t>
      </w:r>
    </w:p>
    <w:p w14:paraId="75FD2E19">
      <w:pPr>
        <w:adjustRightInd w:val="0"/>
        <w:spacing w:line="360" w:lineRule="auto"/>
        <w:textAlignment w:val="baseline"/>
        <w:outlineLvl w:val="2"/>
        <w:rPr>
          <w:bCs/>
          <w:color w:val="auto"/>
          <w:sz w:val="24"/>
          <w:szCs w:val="24"/>
          <w:highlight w:val="none"/>
        </w:rPr>
      </w:pPr>
      <w:r>
        <w:rPr>
          <w:rFonts w:hint="eastAsia"/>
          <w:bCs/>
          <w:color w:val="auto"/>
          <w:sz w:val="24"/>
          <w:szCs w:val="24"/>
          <w:highlight w:val="none"/>
        </w:rPr>
        <w:t>一、投 标 函</w:t>
      </w:r>
    </w:p>
    <w:p w14:paraId="4FB9EED9">
      <w:pPr>
        <w:adjustRightInd w:val="0"/>
        <w:spacing w:line="360" w:lineRule="auto"/>
        <w:textAlignment w:val="baseline"/>
        <w:outlineLvl w:val="2"/>
        <w:rPr>
          <w:rFonts w:hint="eastAsia"/>
          <w:bCs/>
          <w:color w:val="auto"/>
          <w:sz w:val="24"/>
          <w:szCs w:val="24"/>
          <w:highlight w:val="none"/>
        </w:rPr>
      </w:pPr>
      <w:r>
        <w:rPr>
          <w:rFonts w:hint="eastAsia"/>
          <w:bCs/>
          <w:color w:val="auto"/>
          <w:sz w:val="24"/>
          <w:szCs w:val="24"/>
          <w:highlight w:val="none"/>
        </w:rPr>
        <w:t>二、投标报价一览表</w:t>
      </w:r>
    </w:p>
    <w:p w14:paraId="5C900317">
      <w:pPr>
        <w:adjustRightInd w:val="0"/>
        <w:spacing w:line="360" w:lineRule="auto"/>
        <w:textAlignment w:val="baseline"/>
        <w:outlineLvl w:val="2"/>
        <w:rPr>
          <w:rFonts w:hint="eastAsia"/>
          <w:bCs/>
          <w:color w:val="auto"/>
          <w:sz w:val="24"/>
          <w:szCs w:val="24"/>
          <w:highlight w:val="none"/>
        </w:rPr>
      </w:pPr>
      <w:r>
        <w:rPr>
          <w:rFonts w:hint="eastAsia"/>
          <w:bCs/>
          <w:color w:val="auto"/>
          <w:sz w:val="24"/>
          <w:szCs w:val="24"/>
          <w:highlight w:val="none"/>
        </w:rPr>
        <w:t>三、法定代表人身份证明书</w:t>
      </w:r>
    </w:p>
    <w:p w14:paraId="6244A942">
      <w:pPr>
        <w:adjustRightInd w:val="0"/>
        <w:spacing w:line="360" w:lineRule="auto"/>
        <w:textAlignment w:val="baseline"/>
        <w:outlineLvl w:val="2"/>
        <w:rPr>
          <w:rFonts w:hint="eastAsia"/>
          <w:bCs/>
          <w:color w:val="auto"/>
          <w:sz w:val="24"/>
          <w:szCs w:val="24"/>
          <w:highlight w:val="none"/>
        </w:rPr>
      </w:pPr>
      <w:r>
        <w:rPr>
          <w:rFonts w:hint="eastAsia"/>
          <w:bCs/>
          <w:color w:val="auto"/>
          <w:sz w:val="24"/>
          <w:szCs w:val="24"/>
          <w:highlight w:val="none"/>
        </w:rPr>
        <w:t>四、授权委托书</w:t>
      </w:r>
    </w:p>
    <w:p w14:paraId="45D0D345">
      <w:pPr>
        <w:adjustRightInd w:val="0"/>
        <w:spacing w:line="360" w:lineRule="auto"/>
        <w:textAlignment w:val="baseline"/>
        <w:outlineLvl w:val="2"/>
        <w:rPr>
          <w:rFonts w:hint="eastAsia"/>
          <w:bCs/>
          <w:color w:val="auto"/>
          <w:sz w:val="24"/>
          <w:szCs w:val="24"/>
          <w:highlight w:val="none"/>
        </w:rPr>
      </w:pPr>
      <w:r>
        <w:rPr>
          <w:rFonts w:hint="eastAsia"/>
          <w:bCs/>
          <w:color w:val="auto"/>
          <w:sz w:val="24"/>
          <w:szCs w:val="24"/>
          <w:highlight w:val="none"/>
        </w:rPr>
        <w:t>五、投标承诺函</w:t>
      </w:r>
    </w:p>
    <w:p w14:paraId="33C99084">
      <w:pPr>
        <w:adjustRightInd w:val="0"/>
        <w:spacing w:line="360" w:lineRule="auto"/>
        <w:textAlignment w:val="baseline"/>
        <w:outlineLvl w:val="2"/>
        <w:rPr>
          <w:rFonts w:hint="eastAsia"/>
          <w:bCs/>
          <w:color w:val="auto"/>
          <w:sz w:val="24"/>
          <w:szCs w:val="24"/>
          <w:highlight w:val="none"/>
        </w:rPr>
      </w:pPr>
      <w:r>
        <w:rPr>
          <w:rFonts w:hint="eastAsia"/>
          <w:bCs/>
          <w:color w:val="auto"/>
          <w:sz w:val="24"/>
          <w:szCs w:val="24"/>
          <w:highlight w:val="none"/>
        </w:rPr>
        <w:t>六、投标供应商情况</w:t>
      </w:r>
    </w:p>
    <w:p w14:paraId="0F82838B">
      <w:pPr>
        <w:adjustRightInd w:val="0"/>
        <w:spacing w:line="360" w:lineRule="auto"/>
        <w:textAlignment w:val="baseline"/>
        <w:outlineLvl w:val="2"/>
        <w:rPr>
          <w:bCs/>
          <w:color w:val="auto"/>
          <w:sz w:val="24"/>
          <w:szCs w:val="24"/>
          <w:highlight w:val="none"/>
        </w:rPr>
      </w:pPr>
      <w:r>
        <w:rPr>
          <w:rFonts w:hint="eastAsia"/>
          <w:bCs/>
          <w:color w:val="auto"/>
          <w:sz w:val="24"/>
          <w:szCs w:val="24"/>
          <w:highlight w:val="none"/>
        </w:rPr>
        <w:t>七、技术方案</w:t>
      </w:r>
    </w:p>
    <w:p w14:paraId="4A81F178">
      <w:pPr>
        <w:adjustRightInd w:val="0"/>
        <w:spacing w:line="360" w:lineRule="auto"/>
        <w:textAlignment w:val="baseline"/>
        <w:outlineLvl w:val="2"/>
        <w:rPr>
          <w:bCs/>
          <w:color w:val="auto"/>
          <w:sz w:val="24"/>
          <w:szCs w:val="24"/>
          <w:highlight w:val="none"/>
        </w:rPr>
      </w:pPr>
      <w:r>
        <w:rPr>
          <w:rFonts w:hint="eastAsia"/>
          <w:bCs/>
          <w:color w:val="auto"/>
          <w:sz w:val="24"/>
          <w:szCs w:val="24"/>
          <w:highlight w:val="none"/>
        </w:rPr>
        <w:t>八、商务部分</w:t>
      </w:r>
    </w:p>
    <w:p w14:paraId="30BBF986">
      <w:pPr>
        <w:adjustRightInd w:val="0"/>
        <w:spacing w:line="360" w:lineRule="auto"/>
        <w:textAlignment w:val="baseline"/>
        <w:outlineLvl w:val="2"/>
        <w:rPr>
          <w:bCs/>
          <w:color w:val="auto"/>
          <w:sz w:val="24"/>
          <w:szCs w:val="24"/>
          <w:highlight w:val="none"/>
        </w:rPr>
      </w:pPr>
      <w:r>
        <w:rPr>
          <w:rFonts w:hint="eastAsia"/>
          <w:bCs/>
          <w:color w:val="auto"/>
          <w:sz w:val="24"/>
          <w:szCs w:val="24"/>
          <w:highlight w:val="none"/>
        </w:rPr>
        <w:t>九、其他资料</w:t>
      </w:r>
    </w:p>
    <w:p w14:paraId="590483CE">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3.2 报价</w:t>
      </w:r>
    </w:p>
    <w:p w14:paraId="1063F67C">
      <w:pPr>
        <w:wordWrap w:val="0"/>
        <w:spacing w:line="360" w:lineRule="auto"/>
        <w:ind w:firstLine="480"/>
        <w:rPr>
          <w:color w:val="auto"/>
          <w:sz w:val="24"/>
          <w:szCs w:val="24"/>
          <w:highlight w:val="none"/>
        </w:rPr>
      </w:pPr>
      <w:r>
        <w:rPr>
          <w:rFonts w:hint="eastAsia"/>
          <w:color w:val="auto"/>
          <w:sz w:val="24"/>
          <w:szCs w:val="24"/>
          <w:highlight w:val="none"/>
        </w:rPr>
        <w:t>3.2.1供应商应按照竞争性磋商文件中提供的格式完整地填写响应文件、报价一览表等。</w:t>
      </w:r>
    </w:p>
    <w:p w14:paraId="5D7EF52D">
      <w:pPr>
        <w:wordWrap w:val="0"/>
        <w:spacing w:line="360" w:lineRule="auto"/>
        <w:ind w:firstLine="480"/>
        <w:rPr>
          <w:color w:val="auto"/>
          <w:sz w:val="24"/>
          <w:szCs w:val="24"/>
          <w:highlight w:val="none"/>
        </w:rPr>
      </w:pPr>
      <w:r>
        <w:rPr>
          <w:rFonts w:hint="eastAsia"/>
          <w:color w:val="auto"/>
          <w:sz w:val="24"/>
          <w:szCs w:val="24"/>
          <w:highlight w:val="none"/>
        </w:rPr>
        <w:t>3.2.2供应商应按照竞争性磋商文件提供的报价表格式填写报价。</w:t>
      </w:r>
    </w:p>
    <w:p w14:paraId="342DD202">
      <w:pPr>
        <w:wordWrap w:val="0"/>
        <w:spacing w:line="360" w:lineRule="auto"/>
        <w:ind w:firstLine="480"/>
        <w:rPr>
          <w:color w:val="auto"/>
          <w:sz w:val="24"/>
          <w:szCs w:val="24"/>
          <w:highlight w:val="none"/>
        </w:rPr>
      </w:pPr>
      <w:r>
        <w:rPr>
          <w:rFonts w:hint="eastAsia"/>
          <w:color w:val="auto"/>
          <w:sz w:val="24"/>
          <w:szCs w:val="24"/>
          <w:highlight w:val="none"/>
        </w:rPr>
        <w:t>3.2.3供应商的投标报价中应包</w:t>
      </w:r>
      <w:r>
        <w:rPr>
          <w:rFonts w:hint="eastAsia"/>
          <w:color w:val="auto"/>
          <w:sz w:val="24"/>
          <w:szCs w:val="24"/>
          <w:highlight w:val="none"/>
          <w:lang w:val="en-US"/>
        </w:rPr>
        <w:t>含</w:t>
      </w:r>
      <w:r>
        <w:rPr>
          <w:rFonts w:hint="eastAsia"/>
          <w:color w:val="auto"/>
          <w:sz w:val="24"/>
          <w:szCs w:val="24"/>
          <w:highlight w:val="none"/>
        </w:rPr>
        <w:t>磋商文件要求采购的各项费用。</w:t>
      </w:r>
    </w:p>
    <w:p w14:paraId="46D1B7AB">
      <w:pPr>
        <w:wordWrap w:val="0"/>
        <w:spacing w:line="360" w:lineRule="auto"/>
        <w:ind w:firstLine="480"/>
        <w:rPr>
          <w:color w:val="auto"/>
          <w:sz w:val="24"/>
          <w:szCs w:val="24"/>
          <w:highlight w:val="none"/>
        </w:rPr>
      </w:pPr>
      <w:r>
        <w:rPr>
          <w:rFonts w:hint="eastAsia"/>
          <w:color w:val="auto"/>
          <w:sz w:val="24"/>
          <w:szCs w:val="24"/>
          <w:highlight w:val="none"/>
        </w:rPr>
        <w:t>3.2.4供应商的报价应含有所投货物、税费、交付后约定期限内免费后续服务等工作所发生的一切应有费用，报价为签订合同的依据。</w:t>
      </w:r>
    </w:p>
    <w:p w14:paraId="18D90983">
      <w:pPr>
        <w:wordWrap w:val="0"/>
        <w:spacing w:line="360" w:lineRule="auto"/>
        <w:ind w:firstLine="480"/>
        <w:rPr>
          <w:color w:val="auto"/>
          <w:sz w:val="24"/>
          <w:szCs w:val="24"/>
          <w:highlight w:val="none"/>
        </w:rPr>
      </w:pPr>
      <w:r>
        <w:rPr>
          <w:rFonts w:hint="eastAsia"/>
          <w:color w:val="auto"/>
          <w:sz w:val="24"/>
          <w:szCs w:val="24"/>
          <w:highlight w:val="none"/>
        </w:rPr>
        <w:t>3.2.5磋商过程供应商需两轮报价，不得超过采购人公布的项目预算，否则其投标无效。（初次报价、最终报价。本项目进行两次报价，响应文件中报价为初次报价，最终报价不能高于上次报价，高于上次报价视为无效响应</w:t>
      </w:r>
      <w:r>
        <w:rPr>
          <w:rFonts w:hint="eastAsia"/>
          <w:bCs/>
          <w:color w:val="auto"/>
          <w:sz w:val="24"/>
          <w:szCs w:val="24"/>
          <w:highlight w:val="none"/>
        </w:rPr>
        <w:t>）。</w:t>
      </w:r>
    </w:p>
    <w:p w14:paraId="1AEB0E22">
      <w:pPr>
        <w:wordWrap w:val="0"/>
        <w:spacing w:line="360" w:lineRule="auto"/>
        <w:ind w:firstLine="480"/>
        <w:rPr>
          <w:bCs/>
          <w:color w:val="auto"/>
          <w:sz w:val="24"/>
          <w:szCs w:val="24"/>
          <w:highlight w:val="none"/>
        </w:rPr>
      </w:pPr>
      <w:r>
        <w:rPr>
          <w:rFonts w:hint="eastAsia"/>
          <w:color w:val="auto"/>
          <w:sz w:val="24"/>
          <w:szCs w:val="24"/>
          <w:highlight w:val="none"/>
        </w:rPr>
        <w:t>3.2.6供应商不得以他人名义磋商或者以其他方式弄虚作假，骗取成交；</w:t>
      </w:r>
    </w:p>
    <w:p w14:paraId="21717A79">
      <w:pPr>
        <w:wordWrap w:val="0"/>
        <w:spacing w:line="360" w:lineRule="auto"/>
        <w:ind w:firstLine="480"/>
        <w:rPr>
          <w:color w:val="auto"/>
          <w:sz w:val="24"/>
          <w:szCs w:val="24"/>
          <w:highlight w:val="none"/>
        </w:rPr>
      </w:pPr>
      <w:r>
        <w:rPr>
          <w:rFonts w:hint="eastAsia"/>
          <w:color w:val="auto"/>
          <w:sz w:val="24"/>
          <w:szCs w:val="24"/>
          <w:highlight w:val="none"/>
        </w:rPr>
        <w:t>3.2.7响应性文件应对竞争性磋商文件中各项做出实质性响应，否则该磋商将可能被拒绝。</w:t>
      </w:r>
    </w:p>
    <w:p w14:paraId="42CBE44C">
      <w:pPr>
        <w:wordWrap w:val="0"/>
        <w:spacing w:line="360" w:lineRule="auto"/>
        <w:ind w:firstLine="480"/>
        <w:rPr>
          <w:color w:val="auto"/>
          <w:sz w:val="24"/>
          <w:szCs w:val="24"/>
          <w:highlight w:val="none"/>
        </w:rPr>
      </w:pPr>
      <w:r>
        <w:rPr>
          <w:rFonts w:hint="eastAsia"/>
          <w:color w:val="auto"/>
          <w:sz w:val="24"/>
          <w:szCs w:val="24"/>
          <w:highlight w:val="none"/>
        </w:rPr>
        <w:t>3.2.8磋商文件能够详细列明采购标的货物要求的，磋商结束后，磋商小组应当要求所有实质性响应的供应商在规定时间内提交最终报价。最终报价是供应商响应文件的有效组成部分。</w:t>
      </w:r>
    </w:p>
    <w:p w14:paraId="5C91137F">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3.3 磋商有效期</w:t>
      </w:r>
    </w:p>
    <w:p w14:paraId="2562B018">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3.3.1在供应商须知前附表规定的磋商有效期内， 供应商撤销或修改其磋商响应文件的，应承担磋商文件和法律规定的责任。</w:t>
      </w:r>
    </w:p>
    <w:p w14:paraId="09DEEF24">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3.3.2出现特殊情况需要延长磋商有效期的，采购人以书面形式通知所有供应商延长磋商</w:t>
      </w:r>
      <w:r>
        <w:rPr>
          <w:rFonts w:hint="eastAsia"/>
          <w:color w:val="auto"/>
          <w:sz w:val="24"/>
          <w:szCs w:val="24"/>
          <w:highlight w:val="none"/>
          <w:lang w:val="en-US"/>
        </w:rPr>
        <w:t>有</w:t>
      </w:r>
      <w:r>
        <w:rPr>
          <w:rFonts w:hint="eastAsia"/>
          <w:color w:val="auto"/>
          <w:sz w:val="24"/>
          <w:szCs w:val="24"/>
          <w:highlight w:val="none"/>
        </w:rPr>
        <w:t>效期。供应商同意延长的，不得要求或被允许修改或撤销其响应文件；供应商拒绝延长的，其投标失效。</w:t>
      </w:r>
    </w:p>
    <w:p w14:paraId="434BF6BC">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3.4 磋商保证金</w:t>
      </w:r>
    </w:p>
    <w:p w14:paraId="7FED8E22">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按照《河南省财政厅关于优化政府采购营商环境有关问题的通知》（豫财购[2019]4号文）的要求本项目不再收取磋商供应商磋商保证金。</w:t>
      </w:r>
    </w:p>
    <w:p w14:paraId="7F83CFF3">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3.5 资格审查资料</w:t>
      </w:r>
    </w:p>
    <w:p w14:paraId="25438CE3">
      <w:pPr>
        <w:adjustRightInd w:val="0"/>
        <w:spacing w:line="360" w:lineRule="auto"/>
        <w:textAlignment w:val="baseline"/>
        <w:outlineLvl w:val="2"/>
        <w:rPr>
          <w:color w:val="auto"/>
          <w:sz w:val="24"/>
          <w:szCs w:val="24"/>
          <w:highlight w:val="none"/>
        </w:rPr>
      </w:pPr>
      <w:r>
        <w:rPr>
          <w:rFonts w:hint="eastAsia"/>
          <w:color w:val="auto"/>
          <w:sz w:val="24"/>
          <w:szCs w:val="24"/>
          <w:highlight w:val="none"/>
        </w:rPr>
        <w:t>详见供应商须知表</w:t>
      </w:r>
    </w:p>
    <w:p w14:paraId="5C26ACC3">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3.6 备选投标方案</w:t>
      </w:r>
    </w:p>
    <w:p w14:paraId="50E54A2F">
      <w:pPr>
        <w:adjustRightInd w:val="0"/>
        <w:spacing w:line="360" w:lineRule="auto"/>
        <w:textAlignment w:val="baseline"/>
        <w:rPr>
          <w:color w:val="auto"/>
          <w:sz w:val="24"/>
          <w:szCs w:val="24"/>
          <w:highlight w:val="none"/>
        </w:rPr>
      </w:pPr>
      <w:r>
        <w:rPr>
          <w:rFonts w:hint="eastAsia"/>
          <w:color w:val="auto"/>
          <w:sz w:val="24"/>
          <w:szCs w:val="24"/>
          <w:highlight w:val="none"/>
        </w:rPr>
        <w:t>供应商不得递交备选投标方案。</w:t>
      </w:r>
    </w:p>
    <w:p w14:paraId="0D3815AA">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3.7 响应文件的编制</w:t>
      </w:r>
    </w:p>
    <w:p w14:paraId="2AC45D3F">
      <w:pPr>
        <w:spacing w:line="440" w:lineRule="exact"/>
        <w:ind w:firstLine="480" w:firstLineChars="200"/>
        <w:rPr>
          <w:color w:val="auto"/>
          <w:sz w:val="24"/>
          <w:szCs w:val="24"/>
          <w:highlight w:val="none"/>
        </w:rPr>
      </w:pPr>
      <w:r>
        <w:rPr>
          <w:rFonts w:hint="eastAsia"/>
          <w:color w:val="auto"/>
          <w:sz w:val="24"/>
          <w:szCs w:val="24"/>
          <w:highlight w:val="none"/>
        </w:rPr>
        <w:t>3.7.1磋商响应文件可按第五章“响应文件格式”进行编写，如有必要，可以增加附页作为磋商响应文件的组成部分。其中，磋商函附录在满足竞争性磋商文件实质性要求的基础上，可以提出比竞争性磋商文件要求更有利于采购人的承诺。</w:t>
      </w:r>
    </w:p>
    <w:p w14:paraId="17734869">
      <w:pPr>
        <w:spacing w:line="440" w:lineRule="exact"/>
        <w:ind w:firstLine="420" w:firstLineChars="175"/>
        <w:rPr>
          <w:color w:val="auto"/>
          <w:sz w:val="24"/>
          <w:szCs w:val="24"/>
          <w:highlight w:val="none"/>
        </w:rPr>
      </w:pPr>
      <w:r>
        <w:rPr>
          <w:rFonts w:hint="eastAsia"/>
          <w:color w:val="auto"/>
          <w:sz w:val="24"/>
          <w:szCs w:val="24"/>
          <w:highlight w:val="none"/>
        </w:rPr>
        <w:t>3.7.2 磋商响应文件应当对磋商文件有关项目供货期限、磋商有效期、质量要求等实质性内容作出响应。</w:t>
      </w:r>
    </w:p>
    <w:p w14:paraId="1323BEE2">
      <w:pPr>
        <w:spacing w:line="440" w:lineRule="exact"/>
        <w:ind w:firstLine="480" w:firstLineChars="200"/>
        <w:rPr>
          <w:color w:val="auto"/>
          <w:sz w:val="24"/>
          <w:szCs w:val="24"/>
          <w:highlight w:val="none"/>
        </w:rPr>
      </w:pPr>
      <w:r>
        <w:rPr>
          <w:rFonts w:hint="eastAsia"/>
          <w:color w:val="auto"/>
          <w:sz w:val="24"/>
          <w:szCs w:val="24"/>
          <w:highlight w:val="none"/>
        </w:rPr>
        <w:t>3.7.3供应商所上传的电子化磋商响应文件，应是通过中心投标文件制作系统制作的（投标文件制作工具下载地址：https://download.bqpoint.com/download/downloadlist.html?SoftTypeCode=03），经过签章和加密后生成的电子版磋商响应文件。其中包含用于磋商响应文件上传的主文件（后缀为.smxtf）和用于应急补救的磋商响应文件备份文件（后缀为.nsmxtf）。</w:t>
      </w:r>
    </w:p>
    <w:p w14:paraId="6B841F54">
      <w:pPr>
        <w:widowControl/>
        <w:spacing w:after="200"/>
        <w:outlineLvl w:val="1"/>
        <w:rPr>
          <w:b/>
          <w:color w:val="auto"/>
          <w:sz w:val="24"/>
          <w:szCs w:val="24"/>
          <w:highlight w:val="none"/>
          <w:lang w:bidi="en-US"/>
        </w:rPr>
      </w:pPr>
      <w:r>
        <w:rPr>
          <w:rFonts w:hint="eastAsia"/>
          <w:b/>
          <w:color w:val="auto"/>
          <w:sz w:val="24"/>
          <w:szCs w:val="24"/>
          <w:highlight w:val="none"/>
          <w:lang w:bidi="en-US"/>
        </w:rPr>
        <w:t>4.投标</w:t>
      </w:r>
    </w:p>
    <w:p w14:paraId="51F0CB8A">
      <w:pPr>
        <w:keepNext/>
        <w:keepLines/>
        <w:outlineLvl w:val="1"/>
        <w:rPr>
          <w:b/>
          <w:bCs/>
          <w:color w:val="auto"/>
          <w:sz w:val="24"/>
          <w:szCs w:val="24"/>
          <w:highlight w:val="none"/>
        </w:rPr>
      </w:pPr>
      <w:bookmarkStart w:id="27" w:name="_Toc247085714"/>
      <w:bookmarkStart w:id="28" w:name="_Toc152045556"/>
      <w:bookmarkStart w:id="29" w:name="_Toc179632574"/>
      <w:bookmarkStart w:id="30" w:name="_Toc144974524"/>
      <w:bookmarkStart w:id="31" w:name="_Toc246996200"/>
      <w:bookmarkStart w:id="32" w:name="_Toc152042332"/>
      <w:bookmarkStart w:id="33" w:name="_Toc246996943"/>
      <w:bookmarkStart w:id="34" w:name="_Toc296602444"/>
      <w:r>
        <w:rPr>
          <w:rFonts w:hint="eastAsia"/>
          <w:b/>
          <w:bCs/>
          <w:color w:val="auto"/>
          <w:sz w:val="24"/>
          <w:szCs w:val="24"/>
          <w:highlight w:val="none"/>
        </w:rPr>
        <w:t>4.1 磋商响应文件的</w:t>
      </w:r>
      <w:bookmarkEnd w:id="27"/>
      <w:bookmarkEnd w:id="28"/>
      <w:bookmarkEnd w:id="29"/>
      <w:bookmarkEnd w:id="30"/>
      <w:bookmarkEnd w:id="31"/>
      <w:bookmarkEnd w:id="32"/>
      <w:bookmarkEnd w:id="33"/>
      <w:bookmarkEnd w:id="34"/>
      <w:r>
        <w:rPr>
          <w:rFonts w:hint="eastAsia"/>
          <w:b/>
          <w:bCs/>
          <w:color w:val="auto"/>
          <w:sz w:val="24"/>
          <w:szCs w:val="24"/>
          <w:highlight w:val="none"/>
        </w:rPr>
        <w:t>签署</w:t>
      </w:r>
    </w:p>
    <w:p w14:paraId="2D139380">
      <w:pPr>
        <w:spacing w:line="440" w:lineRule="exact"/>
        <w:ind w:firstLine="465"/>
        <w:rPr>
          <w:color w:val="auto"/>
          <w:sz w:val="24"/>
          <w:szCs w:val="24"/>
          <w:highlight w:val="none"/>
        </w:rPr>
      </w:pPr>
      <w:r>
        <w:rPr>
          <w:rFonts w:hint="eastAsia"/>
          <w:bCs/>
          <w:color w:val="auto"/>
          <w:sz w:val="24"/>
          <w:szCs w:val="24"/>
          <w:highlight w:val="none"/>
        </w:rPr>
        <w:t>4.1.1供应商在进行电子化磋商响应文件签章时，竞争性磋商文件中要求供应商盖章的，以签盖单位章为准；要求法定代表人签章的，以签盖法定代表人电子签章为准</w:t>
      </w:r>
      <w:r>
        <w:rPr>
          <w:rFonts w:hint="eastAsia"/>
          <w:color w:val="auto"/>
          <w:sz w:val="24"/>
          <w:szCs w:val="24"/>
          <w:highlight w:val="none"/>
        </w:rPr>
        <w:t>。</w:t>
      </w:r>
    </w:p>
    <w:p w14:paraId="64A88B7D">
      <w:pPr>
        <w:keepNext/>
        <w:keepLines/>
        <w:spacing w:line="440" w:lineRule="exact"/>
        <w:outlineLvl w:val="1"/>
        <w:rPr>
          <w:b/>
          <w:bCs/>
          <w:color w:val="auto"/>
          <w:sz w:val="24"/>
          <w:szCs w:val="24"/>
          <w:highlight w:val="none"/>
        </w:rPr>
      </w:pPr>
      <w:r>
        <w:rPr>
          <w:rFonts w:hint="eastAsia"/>
          <w:b/>
          <w:bCs/>
          <w:color w:val="auto"/>
          <w:sz w:val="24"/>
          <w:szCs w:val="24"/>
          <w:highlight w:val="none"/>
        </w:rPr>
        <w:t>4.2 磋商响应文件的上传</w:t>
      </w:r>
    </w:p>
    <w:p w14:paraId="5CE50A8D">
      <w:pPr>
        <w:spacing w:line="440" w:lineRule="exact"/>
        <w:ind w:firstLine="480"/>
        <w:rPr>
          <w:color w:val="auto"/>
          <w:sz w:val="24"/>
          <w:szCs w:val="24"/>
          <w:highlight w:val="none"/>
        </w:rPr>
      </w:pPr>
      <w:r>
        <w:rPr>
          <w:rFonts w:hint="eastAsia"/>
          <w:color w:val="auto"/>
          <w:sz w:val="24"/>
          <w:szCs w:val="24"/>
          <w:highlight w:val="none"/>
        </w:rPr>
        <w:t>电子化磋商响应文件应在投标截止时间前成功上传至三门峡市公共资源电子化交易系统。至投标截止时间止，仍未上传成功的电子化磋商响应文件将不予接收。</w:t>
      </w:r>
    </w:p>
    <w:p w14:paraId="16D0004B">
      <w:pPr>
        <w:spacing w:line="440" w:lineRule="exact"/>
        <w:ind w:firstLine="480"/>
        <w:rPr>
          <w:color w:val="auto"/>
          <w:sz w:val="24"/>
          <w:szCs w:val="24"/>
          <w:highlight w:val="none"/>
        </w:rPr>
      </w:pPr>
      <w:r>
        <w:rPr>
          <w:rFonts w:hint="eastAsia"/>
          <w:color w:val="auto"/>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电子化磋商响应文件未在投标截止时间前成功上传的，其磋商响应文件不予接收。</w:t>
      </w:r>
    </w:p>
    <w:p w14:paraId="20AEA7AD">
      <w:pPr>
        <w:adjustRightInd w:val="0"/>
        <w:spacing w:line="360" w:lineRule="auto"/>
        <w:textAlignment w:val="baseline"/>
        <w:outlineLvl w:val="2"/>
        <w:rPr>
          <w:b/>
          <w:color w:val="auto"/>
          <w:sz w:val="24"/>
          <w:szCs w:val="24"/>
          <w:highlight w:val="none"/>
        </w:rPr>
      </w:pPr>
      <w:r>
        <w:rPr>
          <w:rFonts w:hint="eastAsia"/>
          <w:b/>
          <w:color w:val="auto"/>
          <w:sz w:val="24"/>
          <w:szCs w:val="24"/>
          <w:highlight w:val="none"/>
        </w:rPr>
        <w:t>4.3 响应文件的修改与撤回</w:t>
      </w:r>
    </w:p>
    <w:p w14:paraId="333EFF06">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 xml:space="preserve">4.2.1 在规定的投标截止时间前，供应商可以修改或撤回响应文件。 </w:t>
      </w:r>
    </w:p>
    <w:p w14:paraId="2FCFD971">
      <w:pPr>
        <w:adjustRightInd w:val="0"/>
        <w:spacing w:line="360" w:lineRule="auto"/>
        <w:ind w:firstLine="480" w:firstLineChars="200"/>
        <w:textAlignment w:val="baseline"/>
        <w:rPr>
          <w:color w:val="auto"/>
          <w:sz w:val="24"/>
          <w:szCs w:val="24"/>
          <w:highlight w:val="none"/>
        </w:rPr>
      </w:pPr>
      <w:r>
        <w:rPr>
          <w:rFonts w:hint="eastAsia"/>
          <w:color w:val="auto"/>
          <w:sz w:val="24"/>
          <w:szCs w:val="24"/>
          <w:highlight w:val="none"/>
        </w:rPr>
        <w:t>4.2.2</w:t>
      </w:r>
      <w:r>
        <w:rPr>
          <w:color w:val="auto"/>
          <w:sz w:val="24"/>
          <w:szCs w:val="24"/>
          <w:highlight w:val="none"/>
        </w:rPr>
        <w:t xml:space="preserve"> </w:t>
      </w:r>
      <w:r>
        <w:rPr>
          <w:rFonts w:hint="eastAsia"/>
          <w:color w:val="auto"/>
          <w:sz w:val="24"/>
          <w:szCs w:val="24"/>
          <w:highlight w:val="none"/>
        </w:rPr>
        <w:t>在投标截止时间之后，供应商不得补充、修改电子化磋商响应文件。</w:t>
      </w:r>
    </w:p>
    <w:p w14:paraId="672FC48F">
      <w:pPr>
        <w:adjustRightInd w:val="0"/>
        <w:spacing w:line="360" w:lineRule="auto"/>
        <w:textAlignment w:val="baseline"/>
        <w:outlineLvl w:val="2"/>
        <w:rPr>
          <w:rFonts w:hint="eastAsia"/>
          <w:b/>
          <w:color w:val="auto"/>
          <w:sz w:val="24"/>
          <w:szCs w:val="24"/>
          <w:highlight w:val="none"/>
        </w:rPr>
      </w:pPr>
      <w:r>
        <w:rPr>
          <w:rFonts w:hint="eastAsia"/>
          <w:b/>
          <w:color w:val="auto"/>
          <w:sz w:val="24"/>
          <w:szCs w:val="24"/>
          <w:highlight w:val="none"/>
        </w:rPr>
        <w:t>5．磋商</w:t>
      </w:r>
    </w:p>
    <w:p w14:paraId="118BBACF">
      <w:pPr>
        <w:wordWrap w:val="0"/>
        <w:adjustRightInd w:val="0"/>
        <w:spacing w:line="360" w:lineRule="auto"/>
        <w:ind w:firstLine="480" w:firstLineChars="200"/>
        <w:jc w:val="both"/>
        <w:textAlignment w:val="baseline"/>
        <w:rPr>
          <w:rFonts w:hint="eastAsia"/>
          <w:color w:val="auto"/>
          <w:sz w:val="24"/>
          <w:szCs w:val="24"/>
          <w:highlight w:val="none"/>
        </w:rPr>
      </w:pPr>
      <w:bookmarkStart w:id="35" w:name="_Toc152045561"/>
      <w:bookmarkStart w:id="36" w:name="_Toc179632579"/>
      <w:bookmarkStart w:id="37" w:name="_Toc144974529"/>
      <w:bookmarkStart w:id="38" w:name="_Toc152042337"/>
      <w:bookmarkStart w:id="39" w:name="_Toc246996949"/>
      <w:bookmarkStart w:id="40" w:name="_Toc246996206"/>
      <w:bookmarkStart w:id="41" w:name="_Toc152042338"/>
      <w:bookmarkStart w:id="42" w:name="_Toc247085720"/>
      <w:bookmarkStart w:id="43" w:name="_Toc144974530"/>
      <w:bookmarkStart w:id="44" w:name="_Toc179632580"/>
      <w:bookmarkStart w:id="45" w:name="_Toc296602451"/>
      <w:bookmarkStart w:id="46" w:name="_Toc152045562"/>
      <w:r>
        <w:rPr>
          <w:rFonts w:hint="eastAsia"/>
          <w:color w:val="auto"/>
          <w:sz w:val="24"/>
          <w:szCs w:val="24"/>
          <w:highlight w:val="none"/>
        </w:rPr>
        <w:t>5.1</w:t>
      </w:r>
      <w:r>
        <w:rPr>
          <w:rFonts w:hint="eastAsia"/>
          <w:color w:val="auto"/>
          <w:sz w:val="24"/>
          <w:szCs w:val="24"/>
          <w:highlight w:val="none"/>
          <w:lang w:val="en-US"/>
        </w:rPr>
        <w:t xml:space="preserve"> </w:t>
      </w:r>
      <w:r>
        <w:rPr>
          <w:rFonts w:hint="eastAsia"/>
          <w:color w:val="auto"/>
          <w:sz w:val="24"/>
          <w:szCs w:val="24"/>
          <w:highlight w:val="none"/>
        </w:rPr>
        <w:t>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2F6E950C">
      <w:pPr>
        <w:spacing w:line="440" w:lineRule="exact"/>
        <w:ind w:firstLine="422" w:firstLineChars="176"/>
        <w:rPr>
          <w:color w:val="auto"/>
          <w:sz w:val="24"/>
          <w:szCs w:val="24"/>
          <w:highlight w:val="none"/>
        </w:rPr>
      </w:pPr>
      <w:r>
        <w:rPr>
          <w:rFonts w:hint="eastAsia"/>
          <w:color w:val="auto"/>
          <w:sz w:val="24"/>
          <w:szCs w:val="24"/>
          <w:highlight w:val="none"/>
        </w:rPr>
        <w:t>5.2 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14:paraId="7167FA50">
      <w:pPr>
        <w:spacing w:line="440" w:lineRule="exact"/>
        <w:ind w:firstLine="424" w:firstLineChars="176"/>
        <w:rPr>
          <w:rFonts w:hint="eastAsia"/>
          <w:b/>
          <w:bCs/>
          <w:color w:val="auto"/>
          <w:sz w:val="24"/>
          <w:szCs w:val="24"/>
          <w:highlight w:val="none"/>
        </w:rPr>
      </w:pPr>
      <w:r>
        <w:rPr>
          <w:rFonts w:hint="eastAsia"/>
          <w:b/>
          <w:bCs/>
          <w:color w:val="auto"/>
          <w:sz w:val="24"/>
          <w:szCs w:val="24"/>
          <w:highlight w:val="none"/>
        </w:rPr>
        <w:t>5.3 电子化磋商响应文件解密异常的处理</w:t>
      </w:r>
    </w:p>
    <w:p w14:paraId="40CB0623">
      <w:pPr>
        <w:spacing w:line="440" w:lineRule="exact"/>
        <w:ind w:firstLine="422" w:firstLineChars="176"/>
        <w:rPr>
          <w:color w:val="auto"/>
          <w:sz w:val="24"/>
          <w:szCs w:val="24"/>
          <w:highlight w:val="none"/>
        </w:rPr>
      </w:pPr>
      <w:r>
        <w:rPr>
          <w:rFonts w:hint="eastAsia"/>
          <w:color w:val="auto"/>
          <w:sz w:val="24"/>
          <w:szCs w:val="24"/>
          <w:highlight w:val="none"/>
        </w:rPr>
        <w:t>如出现供应商的电子磋商响应文件无法解密等异常情况，供应商应及时致电中介服务机构说明。磋商响应文件异常，按以下步骤进行处理：</w:t>
      </w:r>
    </w:p>
    <w:p w14:paraId="402E322F">
      <w:pPr>
        <w:spacing w:line="440" w:lineRule="exact"/>
        <w:ind w:firstLine="422" w:firstLineChars="176"/>
        <w:rPr>
          <w:color w:val="auto"/>
          <w:sz w:val="24"/>
          <w:szCs w:val="24"/>
          <w:highlight w:val="none"/>
        </w:rPr>
      </w:pPr>
      <w:r>
        <w:rPr>
          <w:rFonts w:hint="eastAsia"/>
          <w:color w:val="auto"/>
          <w:sz w:val="24"/>
          <w:szCs w:val="24"/>
          <w:highlight w:val="none"/>
        </w:rPr>
        <w:t>（1）首先由技术人员进行问题排查。</w:t>
      </w:r>
    </w:p>
    <w:p w14:paraId="6B3716C1">
      <w:pPr>
        <w:spacing w:line="440" w:lineRule="exact"/>
        <w:ind w:firstLine="422" w:firstLineChars="176"/>
        <w:rPr>
          <w:color w:val="auto"/>
          <w:sz w:val="24"/>
          <w:szCs w:val="24"/>
          <w:highlight w:val="none"/>
        </w:rPr>
      </w:pPr>
      <w:r>
        <w:rPr>
          <w:rFonts w:hint="eastAsia"/>
          <w:color w:val="auto"/>
          <w:sz w:val="24"/>
          <w:szCs w:val="24"/>
          <w:highlight w:val="none"/>
        </w:rPr>
        <w:t>（2）经技术人员排查后，是供应商文件自身问题导致磋商响应文件无法解密的，该磋商响应文件将不予接收、解密和唱标。开标会议继续进行。</w:t>
      </w:r>
    </w:p>
    <w:p w14:paraId="676E1C82">
      <w:pPr>
        <w:spacing w:line="440" w:lineRule="exact"/>
        <w:ind w:firstLine="422" w:firstLineChars="176"/>
        <w:rPr>
          <w:color w:val="auto"/>
          <w:sz w:val="24"/>
          <w:szCs w:val="24"/>
          <w:highlight w:val="none"/>
        </w:rPr>
      </w:pPr>
      <w:r>
        <w:rPr>
          <w:rFonts w:hint="eastAsia"/>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bookmarkEnd w:id="35"/>
      <w:bookmarkEnd w:id="36"/>
      <w:bookmarkEnd w:id="37"/>
      <w:bookmarkEnd w:id="38"/>
    </w:p>
    <w:bookmarkEnd w:id="39"/>
    <w:bookmarkEnd w:id="40"/>
    <w:bookmarkEnd w:id="41"/>
    <w:bookmarkEnd w:id="42"/>
    <w:bookmarkEnd w:id="43"/>
    <w:bookmarkEnd w:id="44"/>
    <w:bookmarkEnd w:id="45"/>
    <w:bookmarkEnd w:id="46"/>
    <w:p w14:paraId="349E9A5C">
      <w:pPr>
        <w:spacing w:line="440" w:lineRule="exact"/>
        <w:ind w:firstLine="424" w:firstLineChars="176"/>
        <w:rPr>
          <w:rFonts w:hint="eastAsia"/>
          <w:b/>
          <w:bCs/>
          <w:color w:val="auto"/>
          <w:sz w:val="24"/>
          <w:szCs w:val="24"/>
          <w:highlight w:val="none"/>
        </w:rPr>
      </w:pPr>
      <w:bookmarkStart w:id="47" w:name="_Toc247085721"/>
      <w:bookmarkStart w:id="48" w:name="_Toc296602452"/>
      <w:bookmarkStart w:id="49" w:name="_Toc246996950"/>
      <w:bookmarkStart w:id="50" w:name="_Toc246996207"/>
      <w:bookmarkStart w:id="51" w:name="_Toc152045563"/>
      <w:bookmarkStart w:id="52" w:name="_Toc179632581"/>
      <w:bookmarkStart w:id="53" w:name="_Toc152042339"/>
      <w:bookmarkStart w:id="54" w:name="_Toc144974531"/>
      <w:r>
        <w:rPr>
          <w:rFonts w:hint="eastAsia"/>
          <w:b/>
          <w:bCs/>
          <w:color w:val="auto"/>
          <w:sz w:val="24"/>
          <w:szCs w:val="24"/>
          <w:highlight w:val="none"/>
        </w:rPr>
        <w:t>5.4 磋商小组</w:t>
      </w:r>
      <w:bookmarkEnd w:id="47"/>
      <w:bookmarkEnd w:id="48"/>
      <w:bookmarkEnd w:id="49"/>
      <w:bookmarkEnd w:id="50"/>
      <w:bookmarkEnd w:id="51"/>
      <w:bookmarkEnd w:id="52"/>
      <w:bookmarkEnd w:id="53"/>
      <w:bookmarkEnd w:id="54"/>
    </w:p>
    <w:p w14:paraId="2F9BFDB7">
      <w:pPr>
        <w:spacing w:line="440" w:lineRule="exact"/>
        <w:ind w:firstLine="480" w:firstLineChars="200"/>
        <w:rPr>
          <w:color w:val="auto"/>
          <w:sz w:val="24"/>
          <w:szCs w:val="24"/>
          <w:highlight w:val="none"/>
        </w:rPr>
      </w:pPr>
      <w:r>
        <w:rPr>
          <w:rFonts w:hint="eastAsia"/>
          <w:color w:val="auto"/>
          <w:sz w:val="24"/>
          <w:szCs w:val="24"/>
          <w:highlight w:val="none"/>
        </w:rPr>
        <w:t>5.4.1磋商小组由采购人代表和评审专家共3人以上单数组成，其中采购人代表1人，其余评审专家2人从相关评标专家库中随机抽取。</w:t>
      </w:r>
    </w:p>
    <w:p w14:paraId="6B6396F5">
      <w:pPr>
        <w:spacing w:line="440" w:lineRule="exact"/>
        <w:ind w:firstLine="480" w:firstLineChars="200"/>
        <w:rPr>
          <w:color w:val="auto"/>
          <w:sz w:val="24"/>
          <w:szCs w:val="24"/>
          <w:highlight w:val="none"/>
        </w:rPr>
      </w:pPr>
      <w:r>
        <w:rPr>
          <w:rFonts w:hint="eastAsia"/>
          <w:color w:val="auto"/>
          <w:sz w:val="24"/>
          <w:szCs w:val="24"/>
          <w:highlight w:val="none"/>
        </w:rPr>
        <w:t>5.4.2磋商小组对所有供应商的磋商响应文件进行评审，按评审后得分由高到低顺序排列，递交给采购人。</w:t>
      </w:r>
    </w:p>
    <w:p w14:paraId="060F8992">
      <w:pPr>
        <w:spacing w:line="440" w:lineRule="exact"/>
        <w:ind w:firstLine="480" w:firstLineChars="200"/>
        <w:rPr>
          <w:color w:val="auto"/>
          <w:sz w:val="24"/>
          <w:szCs w:val="24"/>
          <w:highlight w:val="none"/>
        </w:rPr>
      </w:pPr>
      <w:r>
        <w:rPr>
          <w:rFonts w:hint="eastAsia"/>
          <w:color w:val="auto"/>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53B3A22">
      <w:pPr>
        <w:spacing w:line="440" w:lineRule="exact"/>
        <w:ind w:firstLine="480" w:firstLineChars="200"/>
        <w:rPr>
          <w:color w:val="auto"/>
          <w:sz w:val="24"/>
          <w:szCs w:val="24"/>
          <w:highlight w:val="none"/>
        </w:rPr>
      </w:pPr>
      <w:r>
        <w:rPr>
          <w:rFonts w:hint="eastAsia"/>
          <w:color w:val="auto"/>
          <w:sz w:val="24"/>
          <w:szCs w:val="24"/>
          <w:highlight w:val="none"/>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4B1D3E6A">
      <w:pPr>
        <w:spacing w:line="440" w:lineRule="exact"/>
        <w:ind w:firstLine="480" w:firstLineChars="200"/>
        <w:rPr>
          <w:color w:val="auto"/>
          <w:sz w:val="24"/>
          <w:szCs w:val="24"/>
          <w:highlight w:val="none"/>
        </w:rPr>
      </w:pPr>
      <w:r>
        <w:rPr>
          <w:rFonts w:hint="eastAsia"/>
          <w:color w:val="auto"/>
          <w:sz w:val="24"/>
          <w:szCs w:val="24"/>
          <w:highlight w:val="none"/>
        </w:rPr>
        <w:t>5.4.4磋商小组成员有下列情形之一的，应当回避：</w:t>
      </w:r>
    </w:p>
    <w:p w14:paraId="1D7EA2F9">
      <w:pPr>
        <w:spacing w:line="440" w:lineRule="exact"/>
        <w:ind w:firstLine="410" w:firstLineChars="171"/>
        <w:rPr>
          <w:color w:val="auto"/>
          <w:sz w:val="24"/>
          <w:szCs w:val="24"/>
          <w:highlight w:val="none"/>
        </w:rPr>
      </w:pPr>
      <w:r>
        <w:rPr>
          <w:rFonts w:hint="eastAsia"/>
          <w:color w:val="auto"/>
          <w:sz w:val="24"/>
          <w:szCs w:val="24"/>
          <w:highlight w:val="none"/>
        </w:rPr>
        <w:t>（1）供应商或供应商主要负责人的近亲属；</w:t>
      </w:r>
    </w:p>
    <w:p w14:paraId="140F1018">
      <w:pPr>
        <w:spacing w:line="440" w:lineRule="exact"/>
        <w:ind w:firstLine="410" w:firstLineChars="171"/>
        <w:rPr>
          <w:color w:val="auto"/>
          <w:sz w:val="24"/>
          <w:szCs w:val="24"/>
          <w:highlight w:val="none"/>
        </w:rPr>
      </w:pPr>
      <w:r>
        <w:rPr>
          <w:rFonts w:hint="eastAsia"/>
          <w:color w:val="auto"/>
          <w:sz w:val="24"/>
          <w:szCs w:val="24"/>
          <w:highlight w:val="none"/>
        </w:rPr>
        <w:t>（2）项目主管部门或者行政监督部门的人员；</w:t>
      </w:r>
    </w:p>
    <w:p w14:paraId="0610FA22">
      <w:pPr>
        <w:spacing w:line="440" w:lineRule="exact"/>
        <w:ind w:firstLine="410" w:firstLineChars="171"/>
        <w:rPr>
          <w:color w:val="auto"/>
          <w:sz w:val="24"/>
          <w:szCs w:val="24"/>
          <w:highlight w:val="none"/>
        </w:rPr>
      </w:pPr>
      <w:r>
        <w:rPr>
          <w:rFonts w:hint="eastAsia"/>
          <w:color w:val="auto"/>
          <w:sz w:val="24"/>
          <w:szCs w:val="24"/>
          <w:highlight w:val="none"/>
        </w:rPr>
        <w:t>（3）与供应商有经济利益关系；</w:t>
      </w:r>
    </w:p>
    <w:p w14:paraId="4DB6F520">
      <w:pPr>
        <w:spacing w:line="440" w:lineRule="exact"/>
        <w:ind w:firstLine="410" w:firstLineChars="171"/>
        <w:rPr>
          <w:color w:val="auto"/>
          <w:sz w:val="24"/>
          <w:szCs w:val="24"/>
          <w:highlight w:val="none"/>
        </w:rPr>
      </w:pPr>
      <w:r>
        <w:rPr>
          <w:rFonts w:hint="eastAsia"/>
          <w:color w:val="auto"/>
          <w:sz w:val="24"/>
          <w:szCs w:val="24"/>
          <w:highlight w:val="none"/>
        </w:rPr>
        <w:t>（4）曾因在招标、评标以及其他与招标投标有关活动中从事违法行为而受过行政处罚或刑事处罚的；</w:t>
      </w:r>
    </w:p>
    <w:p w14:paraId="3502E061">
      <w:pPr>
        <w:spacing w:line="440" w:lineRule="exact"/>
        <w:ind w:firstLine="410" w:firstLineChars="171"/>
        <w:rPr>
          <w:color w:val="auto"/>
          <w:sz w:val="24"/>
          <w:szCs w:val="24"/>
          <w:highlight w:val="none"/>
        </w:rPr>
      </w:pPr>
      <w:r>
        <w:rPr>
          <w:rFonts w:hint="eastAsia"/>
          <w:color w:val="auto"/>
          <w:sz w:val="24"/>
          <w:szCs w:val="24"/>
          <w:highlight w:val="none"/>
        </w:rPr>
        <w:t>（5）与供应商有其他利害关系。</w:t>
      </w:r>
    </w:p>
    <w:p w14:paraId="3A423C3B">
      <w:pPr>
        <w:spacing w:line="440" w:lineRule="exact"/>
        <w:ind w:firstLine="241" w:firstLineChars="100"/>
        <w:rPr>
          <w:b/>
          <w:bCs/>
          <w:color w:val="auto"/>
          <w:sz w:val="24"/>
          <w:szCs w:val="24"/>
          <w:highlight w:val="none"/>
        </w:rPr>
      </w:pPr>
      <w:bookmarkStart w:id="55" w:name="_Toc152042340"/>
      <w:bookmarkStart w:id="56" w:name="_Toc179632582"/>
      <w:bookmarkStart w:id="57" w:name="_Toc247085722"/>
      <w:bookmarkStart w:id="58" w:name="_Toc296602453"/>
      <w:bookmarkStart w:id="59" w:name="_Toc246996208"/>
      <w:bookmarkStart w:id="60" w:name="_Toc144974532"/>
      <w:bookmarkStart w:id="61" w:name="_Toc152045564"/>
      <w:bookmarkStart w:id="62" w:name="_Toc246996951"/>
      <w:r>
        <w:rPr>
          <w:rFonts w:hint="eastAsia"/>
          <w:b/>
          <w:bCs/>
          <w:color w:val="auto"/>
          <w:sz w:val="24"/>
          <w:szCs w:val="24"/>
          <w:highlight w:val="none"/>
        </w:rPr>
        <w:t>5.5磋商原则和方法</w:t>
      </w:r>
    </w:p>
    <w:p w14:paraId="35A66524">
      <w:pPr>
        <w:spacing w:line="440" w:lineRule="exact"/>
        <w:ind w:firstLine="410" w:firstLineChars="171"/>
        <w:rPr>
          <w:color w:val="auto"/>
          <w:sz w:val="24"/>
          <w:szCs w:val="24"/>
          <w:highlight w:val="none"/>
        </w:rPr>
      </w:pPr>
      <w:r>
        <w:rPr>
          <w:rFonts w:hint="eastAsia"/>
          <w:color w:val="auto"/>
          <w:sz w:val="24"/>
          <w:szCs w:val="24"/>
          <w:highlight w:val="none"/>
        </w:rPr>
        <w:t>5.5.1坚持公开、公平、公正的原则。</w:t>
      </w:r>
    </w:p>
    <w:p w14:paraId="74958469">
      <w:pPr>
        <w:spacing w:line="440" w:lineRule="exact"/>
        <w:ind w:firstLine="410" w:firstLineChars="171"/>
        <w:rPr>
          <w:color w:val="auto"/>
          <w:sz w:val="24"/>
          <w:szCs w:val="24"/>
          <w:highlight w:val="none"/>
        </w:rPr>
      </w:pPr>
      <w:r>
        <w:rPr>
          <w:rFonts w:hint="eastAsia"/>
          <w:color w:val="auto"/>
          <w:sz w:val="24"/>
          <w:szCs w:val="24"/>
          <w:highlight w:val="none"/>
        </w:rPr>
        <w:t>5.5.2磋商在磋商小组应当集中与单一供应商分别进行磋商，磋商小组将遵照磋商原则，公正、平等地对待所有供应商。</w:t>
      </w:r>
    </w:p>
    <w:p w14:paraId="045CC676">
      <w:pPr>
        <w:spacing w:line="440" w:lineRule="exact"/>
        <w:ind w:firstLine="410" w:firstLineChars="171"/>
        <w:rPr>
          <w:color w:val="auto"/>
          <w:sz w:val="24"/>
          <w:szCs w:val="24"/>
          <w:highlight w:val="none"/>
        </w:rPr>
      </w:pPr>
      <w:r>
        <w:rPr>
          <w:rFonts w:hint="eastAsia"/>
          <w:color w:val="auto"/>
          <w:sz w:val="24"/>
          <w:szCs w:val="24"/>
          <w:highlight w:val="none"/>
        </w:rPr>
        <w:t>5.5.3评审方法</w:t>
      </w:r>
    </w:p>
    <w:p w14:paraId="39602242">
      <w:pPr>
        <w:spacing w:line="440" w:lineRule="exact"/>
        <w:ind w:firstLine="410" w:firstLineChars="171"/>
        <w:rPr>
          <w:color w:val="auto"/>
          <w:sz w:val="24"/>
          <w:szCs w:val="24"/>
          <w:highlight w:val="none"/>
        </w:rPr>
      </w:pPr>
      <w:r>
        <w:rPr>
          <w:rFonts w:hint="eastAsia"/>
          <w:color w:val="auto"/>
          <w:sz w:val="24"/>
          <w:szCs w:val="24"/>
          <w:highlight w:val="none"/>
        </w:rPr>
        <w:t xml:space="preserve">  （1）初步评审（是否响应竞争性磋商文件的要求），确定合格的供应商。</w:t>
      </w:r>
    </w:p>
    <w:p w14:paraId="0D28A158">
      <w:pPr>
        <w:spacing w:line="440" w:lineRule="exact"/>
        <w:ind w:firstLine="410" w:firstLineChars="171"/>
        <w:rPr>
          <w:color w:val="auto"/>
          <w:sz w:val="24"/>
          <w:szCs w:val="24"/>
          <w:highlight w:val="none"/>
        </w:rPr>
      </w:pPr>
      <w:r>
        <w:rPr>
          <w:rFonts w:hint="eastAsia"/>
          <w:color w:val="auto"/>
          <w:sz w:val="24"/>
          <w:szCs w:val="24"/>
          <w:highlight w:val="none"/>
        </w:rPr>
        <w:t xml:space="preserve">  （2）各供应商依据各自情况进行最后报价。</w:t>
      </w:r>
    </w:p>
    <w:p w14:paraId="084BC036">
      <w:pPr>
        <w:spacing w:line="440" w:lineRule="exact"/>
        <w:ind w:firstLine="410" w:firstLineChars="171"/>
        <w:rPr>
          <w:b/>
          <w:bCs/>
          <w:color w:val="auto"/>
          <w:kern w:val="28"/>
          <w:sz w:val="24"/>
          <w:szCs w:val="24"/>
          <w:highlight w:val="none"/>
        </w:rPr>
      </w:pPr>
      <w:r>
        <w:rPr>
          <w:rFonts w:hint="eastAsia"/>
          <w:color w:val="auto"/>
          <w:sz w:val="24"/>
          <w:szCs w:val="24"/>
          <w:highlight w:val="none"/>
        </w:rPr>
        <w:t xml:space="preserve">  （3）磋商小组采用综合评分法对提交最后报价的供应商的响应文件和最后报价进行综合评分。</w:t>
      </w:r>
    </w:p>
    <w:p w14:paraId="468916D3">
      <w:pPr>
        <w:spacing w:line="440" w:lineRule="exact"/>
        <w:ind w:firstLine="241" w:firstLineChars="100"/>
        <w:rPr>
          <w:b/>
          <w:bCs/>
          <w:color w:val="auto"/>
          <w:kern w:val="28"/>
          <w:sz w:val="24"/>
          <w:szCs w:val="24"/>
          <w:highlight w:val="none"/>
        </w:rPr>
      </w:pPr>
      <w:r>
        <w:rPr>
          <w:rFonts w:hint="eastAsia"/>
          <w:b/>
          <w:bCs/>
          <w:color w:val="auto"/>
          <w:kern w:val="28"/>
          <w:sz w:val="24"/>
          <w:szCs w:val="24"/>
          <w:highlight w:val="none"/>
        </w:rPr>
        <w:t>5.6对供应商的评价</w:t>
      </w:r>
    </w:p>
    <w:p w14:paraId="12B55D8D">
      <w:pPr>
        <w:spacing w:line="440" w:lineRule="exact"/>
        <w:ind w:firstLine="410" w:firstLineChars="171"/>
        <w:rPr>
          <w:color w:val="auto"/>
          <w:sz w:val="24"/>
          <w:szCs w:val="24"/>
          <w:highlight w:val="none"/>
        </w:rPr>
      </w:pPr>
      <w:r>
        <w:rPr>
          <w:rFonts w:hint="eastAsia"/>
          <w:color w:val="auto"/>
          <w:sz w:val="24"/>
          <w:szCs w:val="24"/>
          <w:highlight w:val="none"/>
        </w:rPr>
        <w:t>5.6.1磋商小组只对已判定为实质性响应且通过初步审查的磋商响应文件进行详细评价和比较。</w:t>
      </w:r>
    </w:p>
    <w:p w14:paraId="2BF0EB2B">
      <w:pPr>
        <w:spacing w:line="440" w:lineRule="exact"/>
        <w:ind w:firstLine="410" w:firstLineChars="171"/>
        <w:rPr>
          <w:color w:val="auto"/>
          <w:sz w:val="24"/>
          <w:szCs w:val="24"/>
          <w:highlight w:val="none"/>
        </w:rPr>
      </w:pPr>
      <w:r>
        <w:rPr>
          <w:rFonts w:hint="eastAsia"/>
          <w:color w:val="auto"/>
          <w:sz w:val="24"/>
          <w:szCs w:val="24"/>
          <w:highlight w:val="none"/>
        </w:rPr>
        <w:t xml:space="preserve">5.6.2磋商小组所有成员应当集中与单一供应商分别进行磋商，并给予所有参加磋商的供应商平等的磋商机会。磋商完成后，要求其在规定时间内提交最后报价。              </w:t>
      </w:r>
    </w:p>
    <w:p w14:paraId="2B0A3BFF">
      <w:pPr>
        <w:spacing w:line="440" w:lineRule="exact"/>
        <w:ind w:firstLine="410" w:firstLineChars="171"/>
        <w:rPr>
          <w:color w:val="auto"/>
          <w:sz w:val="24"/>
          <w:szCs w:val="24"/>
          <w:highlight w:val="none"/>
        </w:rPr>
      </w:pPr>
      <w:r>
        <w:rPr>
          <w:rFonts w:hint="eastAsia"/>
          <w:color w:val="auto"/>
          <w:sz w:val="24"/>
          <w:szCs w:val="24"/>
          <w:highlight w:val="none"/>
        </w:rPr>
        <w:t>5.6.3经磋商确定最终项目需求和提交最后报价的供应商后，磋商小组采用综合评分法对提交最后报价的供应商的磋商响应文件和最后报价进行综合评分。</w:t>
      </w:r>
    </w:p>
    <w:p w14:paraId="3A146183">
      <w:pPr>
        <w:spacing w:line="440" w:lineRule="exact"/>
        <w:ind w:firstLine="410" w:firstLineChars="171"/>
        <w:rPr>
          <w:color w:val="auto"/>
          <w:sz w:val="24"/>
          <w:szCs w:val="24"/>
          <w:highlight w:val="none"/>
        </w:rPr>
      </w:pPr>
      <w:r>
        <w:rPr>
          <w:rFonts w:hint="eastAsia"/>
          <w:color w:val="auto"/>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810709">
      <w:pPr>
        <w:adjustRightInd w:val="0"/>
        <w:spacing w:line="440" w:lineRule="exact"/>
        <w:ind w:firstLine="420"/>
        <w:rPr>
          <w:color w:val="auto"/>
          <w:sz w:val="24"/>
          <w:szCs w:val="24"/>
          <w:highlight w:val="none"/>
        </w:rPr>
      </w:pPr>
      <w:r>
        <w:rPr>
          <w:rFonts w:hint="eastAsia"/>
          <w:color w:val="auto"/>
          <w:sz w:val="24"/>
          <w:szCs w:val="24"/>
          <w:highlight w:val="none"/>
        </w:rPr>
        <w:t>5.6.5如果第一名供应商放弃成交资格或因不可抗力提出不能履行合同</w:t>
      </w:r>
      <w:bookmarkEnd w:id="55"/>
      <w:bookmarkEnd w:id="56"/>
      <w:bookmarkEnd w:id="57"/>
      <w:bookmarkEnd w:id="58"/>
      <w:bookmarkEnd w:id="59"/>
      <w:bookmarkEnd w:id="60"/>
      <w:bookmarkEnd w:id="61"/>
      <w:bookmarkEnd w:id="62"/>
      <w:bookmarkStart w:id="63" w:name="_Toc152045566"/>
      <w:bookmarkStart w:id="64" w:name="_Toc144974534"/>
      <w:bookmarkStart w:id="65" w:name="_Toc296602455"/>
      <w:bookmarkStart w:id="66" w:name="_Toc246996210"/>
      <w:bookmarkStart w:id="67" w:name="_Toc152042342"/>
      <w:bookmarkStart w:id="68" w:name="_Toc179632584"/>
      <w:bookmarkStart w:id="69" w:name="_Toc246996953"/>
      <w:bookmarkStart w:id="70" w:name="_Toc247085724"/>
      <w:r>
        <w:rPr>
          <w:rFonts w:hint="eastAsia"/>
          <w:color w:val="auto"/>
          <w:sz w:val="24"/>
          <w:szCs w:val="24"/>
          <w:highlight w:val="none"/>
        </w:rPr>
        <w:t>，采购人可以按照评审报告推荐的成交候选人名单，确定下一成交候选人为成交人，也可以重新开展采购活动。</w:t>
      </w:r>
    </w:p>
    <w:p w14:paraId="0E9A3A8E">
      <w:pPr>
        <w:spacing w:line="440" w:lineRule="exact"/>
        <w:ind w:firstLine="412" w:firstLineChars="171"/>
        <w:rPr>
          <w:b/>
          <w:bCs/>
          <w:color w:val="auto"/>
          <w:sz w:val="24"/>
          <w:szCs w:val="24"/>
          <w:highlight w:val="none"/>
        </w:rPr>
      </w:pPr>
      <w:r>
        <w:rPr>
          <w:rFonts w:hint="eastAsia"/>
          <w:b/>
          <w:bCs/>
          <w:color w:val="auto"/>
          <w:sz w:val="24"/>
          <w:szCs w:val="24"/>
          <w:highlight w:val="none"/>
        </w:rPr>
        <w:t>5.7确定成交人</w:t>
      </w:r>
    </w:p>
    <w:p w14:paraId="2E7617D5">
      <w:pPr>
        <w:spacing w:line="440" w:lineRule="exact"/>
        <w:ind w:firstLine="480" w:firstLineChars="200"/>
        <w:rPr>
          <w:color w:val="auto"/>
          <w:sz w:val="24"/>
          <w:szCs w:val="24"/>
          <w:highlight w:val="none"/>
        </w:rPr>
      </w:pPr>
      <w:r>
        <w:rPr>
          <w:rFonts w:hint="eastAsia"/>
          <w:color w:val="auto"/>
          <w:sz w:val="24"/>
          <w:szCs w:val="24"/>
          <w:highlight w:val="none"/>
        </w:rPr>
        <w:t>磋商小组根据综合评分情况，按评审得分由高到低的顺序确定3名成交候选人，并编写评审报告。除采购人授权直接确定成交人外，按照各评审专家评审综合得分的算术平均值由高到低顺序推荐3名成交候选供应商</w:t>
      </w:r>
      <w:r>
        <w:rPr>
          <w:rFonts w:hint="eastAsia"/>
          <w:bCs/>
          <w:color w:val="auto"/>
          <w:sz w:val="24"/>
          <w:szCs w:val="24"/>
          <w:highlight w:val="none"/>
        </w:rPr>
        <w:t>（政府购买服务项目及市场竞争不充分的科研项目，以及需要扶持的科技成果转化项目可以为2-3名）</w:t>
      </w:r>
      <w:r>
        <w:rPr>
          <w:rFonts w:hint="eastAsia"/>
          <w:color w:val="auto"/>
          <w:sz w:val="24"/>
          <w:szCs w:val="24"/>
          <w:highlight w:val="none"/>
        </w:rPr>
        <w:t>；评审得分相同的，按照最后报价由低到高的顺序推荐。评审得分相同且最后报价相同的，按照技术优劣顺序推荐。</w:t>
      </w:r>
    </w:p>
    <w:bookmarkEnd w:id="63"/>
    <w:bookmarkEnd w:id="64"/>
    <w:bookmarkEnd w:id="65"/>
    <w:bookmarkEnd w:id="66"/>
    <w:bookmarkEnd w:id="67"/>
    <w:bookmarkEnd w:id="68"/>
    <w:bookmarkEnd w:id="69"/>
    <w:bookmarkEnd w:id="70"/>
    <w:p w14:paraId="3462BDB3">
      <w:pPr>
        <w:spacing w:line="520" w:lineRule="exact"/>
        <w:ind w:firstLine="482" w:firstLineChars="200"/>
        <w:outlineLvl w:val="0"/>
        <w:rPr>
          <w:b/>
          <w:bCs/>
          <w:color w:val="auto"/>
          <w:kern w:val="28"/>
          <w:sz w:val="24"/>
          <w:szCs w:val="24"/>
          <w:highlight w:val="none"/>
        </w:rPr>
      </w:pPr>
      <w:bookmarkStart w:id="71" w:name="_Toc7091"/>
      <w:bookmarkStart w:id="72" w:name="_Toc23857"/>
      <w:bookmarkStart w:id="73" w:name="_Toc15884"/>
      <w:r>
        <w:rPr>
          <w:rFonts w:hint="eastAsia"/>
          <w:b/>
          <w:bCs/>
          <w:color w:val="auto"/>
          <w:kern w:val="28"/>
          <w:sz w:val="24"/>
          <w:szCs w:val="24"/>
          <w:highlight w:val="none"/>
        </w:rPr>
        <w:t>6. 磋商细则</w:t>
      </w:r>
      <w:bookmarkEnd w:id="71"/>
      <w:bookmarkEnd w:id="72"/>
      <w:bookmarkEnd w:id="73"/>
    </w:p>
    <w:p w14:paraId="7A79D798">
      <w:pPr>
        <w:spacing w:line="520" w:lineRule="exact"/>
        <w:ind w:firstLine="480" w:firstLineChars="200"/>
        <w:rPr>
          <w:color w:val="auto"/>
          <w:sz w:val="24"/>
          <w:szCs w:val="24"/>
          <w:highlight w:val="none"/>
        </w:rPr>
      </w:pPr>
      <w:r>
        <w:rPr>
          <w:rFonts w:hint="eastAsia"/>
          <w:color w:val="auto"/>
          <w:sz w:val="24"/>
          <w:szCs w:val="24"/>
          <w:highlight w:val="none"/>
        </w:rPr>
        <w:t>6.1采购人按照上传响应文件时间的顺序，决定磋商顺序；</w:t>
      </w:r>
    </w:p>
    <w:p w14:paraId="7FB92800">
      <w:pPr>
        <w:spacing w:line="520" w:lineRule="exact"/>
        <w:ind w:firstLine="480" w:firstLineChars="200"/>
        <w:rPr>
          <w:color w:val="auto"/>
          <w:sz w:val="24"/>
          <w:szCs w:val="24"/>
          <w:highlight w:val="none"/>
        </w:rPr>
      </w:pPr>
      <w:r>
        <w:rPr>
          <w:rFonts w:hint="eastAsia"/>
          <w:color w:val="auto"/>
          <w:sz w:val="24"/>
          <w:szCs w:val="24"/>
          <w:highlight w:val="none"/>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7A36127D">
      <w:pPr>
        <w:spacing w:line="520" w:lineRule="exact"/>
        <w:ind w:firstLine="480" w:firstLineChars="200"/>
        <w:rPr>
          <w:color w:val="auto"/>
          <w:sz w:val="24"/>
          <w:szCs w:val="24"/>
          <w:highlight w:val="none"/>
        </w:rPr>
      </w:pPr>
      <w:r>
        <w:rPr>
          <w:rFonts w:hint="eastAsia"/>
          <w:color w:val="auto"/>
          <w:sz w:val="24"/>
          <w:szCs w:val="24"/>
          <w:highlight w:val="none"/>
        </w:rPr>
        <w:t>6.3本次竞争性磋商分为两轮报价。供应商响应性文件中的报价作为第一次报价，不得高于项目预算金额且不公开；第二轮报价不得高于第一轮报价, 参与评标报价以最终报价为准，参与最终报价的供应不得少于三家。</w:t>
      </w:r>
    </w:p>
    <w:p w14:paraId="33DC2635">
      <w:pPr>
        <w:spacing w:line="520" w:lineRule="exact"/>
        <w:ind w:firstLine="480" w:firstLineChars="200"/>
        <w:rPr>
          <w:color w:val="auto"/>
          <w:sz w:val="24"/>
          <w:szCs w:val="24"/>
          <w:highlight w:val="none"/>
        </w:rPr>
      </w:pPr>
      <w:r>
        <w:rPr>
          <w:rFonts w:hint="eastAsia"/>
          <w:color w:val="auto"/>
          <w:sz w:val="24"/>
          <w:szCs w:val="24"/>
          <w:highlight w:val="none"/>
        </w:rPr>
        <w:t>6.4磋商报价计量采用中华人民共和国法定的基本计量单位。供应商根据采购人提供的本项目工程量清单、答疑纪要、磋商文件及补充答疑文件进行磋商报价。</w:t>
      </w:r>
    </w:p>
    <w:p w14:paraId="5228C6A4">
      <w:pPr>
        <w:spacing w:line="520" w:lineRule="exact"/>
        <w:ind w:firstLine="480" w:firstLineChars="200"/>
        <w:rPr>
          <w:color w:val="auto"/>
          <w:sz w:val="24"/>
          <w:szCs w:val="24"/>
          <w:highlight w:val="none"/>
        </w:rPr>
      </w:pPr>
      <w:r>
        <w:rPr>
          <w:rFonts w:hint="eastAsia"/>
          <w:color w:val="auto"/>
          <w:sz w:val="24"/>
          <w:szCs w:val="24"/>
          <w:highlight w:val="none"/>
        </w:rPr>
        <w:t>6.5本项目采用综合评分法，磋商小组成员综合评审各供应商提交的响应文件，按总得分由高到低的顺序推荐1-3名成交候选人，并编写评审报告。</w:t>
      </w:r>
    </w:p>
    <w:p w14:paraId="3F537741">
      <w:pPr>
        <w:spacing w:line="520" w:lineRule="exact"/>
        <w:ind w:firstLine="482" w:firstLineChars="200"/>
        <w:outlineLvl w:val="0"/>
        <w:rPr>
          <w:b/>
          <w:bCs/>
          <w:color w:val="auto"/>
          <w:sz w:val="24"/>
          <w:szCs w:val="24"/>
          <w:highlight w:val="none"/>
        </w:rPr>
      </w:pPr>
      <w:bookmarkStart w:id="74" w:name="_Toc10240"/>
      <w:bookmarkStart w:id="75" w:name="_Toc21922"/>
      <w:bookmarkStart w:id="76" w:name="_Toc26867"/>
      <w:r>
        <w:rPr>
          <w:rFonts w:hint="eastAsia"/>
          <w:b/>
          <w:bCs/>
          <w:color w:val="auto"/>
          <w:sz w:val="24"/>
          <w:szCs w:val="24"/>
          <w:highlight w:val="none"/>
        </w:rPr>
        <w:t>7、磋商</w:t>
      </w:r>
      <w:bookmarkEnd w:id="74"/>
      <w:bookmarkEnd w:id="75"/>
      <w:bookmarkEnd w:id="76"/>
    </w:p>
    <w:p w14:paraId="6672D6A8">
      <w:pPr>
        <w:widowControl/>
        <w:spacing w:line="520" w:lineRule="exact"/>
        <w:ind w:firstLine="480" w:firstLineChars="200"/>
        <w:rPr>
          <w:color w:val="auto"/>
          <w:sz w:val="24"/>
          <w:szCs w:val="24"/>
          <w:highlight w:val="none"/>
        </w:rPr>
      </w:pPr>
      <w:r>
        <w:rPr>
          <w:rFonts w:hint="eastAsia"/>
          <w:color w:val="auto"/>
          <w:sz w:val="24"/>
          <w:szCs w:val="24"/>
          <w:highlight w:val="none"/>
        </w:rPr>
        <w:t>7.1磋商小组由采购人依法组建，负责磋商。根据《政府采购竞争性磋商采购方式管理办法》的规定，磋商小组应当履行以下义务：</w:t>
      </w:r>
    </w:p>
    <w:p w14:paraId="4BA8CE11">
      <w:pPr>
        <w:widowControl/>
        <w:spacing w:line="520" w:lineRule="exact"/>
        <w:ind w:firstLine="480" w:firstLineChars="200"/>
        <w:rPr>
          <w:color w:val="auto"/>
          <w:sz w:val="24"/>
          <w:szCs w:val="24"/>
          <w:highlight w:val="none"/>
        </w:rPr>
      </w:pPr>
      <w:r>
        <w:rPr>
          <w:rFonts w:hint="eastAsia"/>
          <w:color w:val="auto"/>
          <w:sz w:val="24"/>
          <w:szCs w:val="24"/>
          <w:highlight w:val="none"/>
        </w:rPr>
        <w:t>（一）遵纪守法，客观、公正、廉洁地履行职责；</w:t>
      </w:r>
    </w:p>
    <w:p w14:paraId="1C5C2D31">
      <w:pPr>
        <w:widowControl/>
        <w:spacing w:line="520" w:lineRule="exact"/>
        <w:ind w:firstLine="480" w:firstLineChars="200"/>
        <w:rPr>
          <w:color w:val="auto"/>
          <w:sz w:val="24"/>
          <w:szCs w:val="24"/>
          <w:highlight w:val="none"/>
        </w:rPr>
      </w:pPr>
      <w:r>
        <w:rPr>
          <w:rFonts w:hint="eastAsia"/>
          <w:color w:val="auto"/>
          <w:sz w:val="24"/>
          <w:szCs w:val="24"/>
          <w:highlight w:val="none"/>
        </w:rPr>
        <w:t>（二）根据竞争性磋商文件的规定独立进行评审，对个人的评审意见承担法律责任；</w:t>
      </w:r>
    </w:p>
    <w:p w14:paraId="629781C8">
      <w:pPr>
        <w:widowControl/>
        <w:spacing w:line="520" w:lineRule="exact"/>
        <w:ind w:firstLine="480" w:firstLineChars="200"/>
        <w:rPr>
          <w:color w:val="auto"/>
          <w:sz w:val="24"/>
          <w:szCs w:val="24"/>
          <w:highlight w:val="none"/>
        </w:rPr>
      </w:pPr>
      <w:r>
        <w:rPr>
          <w:rFonts w:hint="eastAsia"/>
          <w:color w:val="auto"/>
          <w:sz w:val="24"/>
          <w:szCs w:val="24"/>
          <w:highlight w:val="none"/>
        </w:rPr>
        <w:t>（三）参与磋商报告的起草；</w:t>
      </w:r>
    </w:p>
    <w:p w14:paraId="389652EA">
      <w:pPr>
        <w:widowControl/>
        <w:spacing w:line="520" w:lineRule="exact"/>
        <w:ind w:firstLine="480" w:firstLineChars="200"/>
        <w:rPr>
          <w:color w:val="auto"/>
          <w:sz w:val="24"/>
          <w:szCs w:val="24"/>
          <w:highlight w:val="none"/>
        </w:rPr>
      </w:pPr>
      <w:r>
        <w:rPr>
          <w:rFonts w:hint="eastAsia"/>
          <w:color w:val="auto"/>
          <w:sz w:val="24"/>
          <w:szCs w:val="24"/>
          <w:highlight w:val="none"/>
        </w:rPr>
        <w:t>（四）配合采购人、采购代理机构答复响应供应商提出的质疑；</w:t>
      </w:r>
    </w:p>
    <w:p w14:paraId="7A08E404">
      <w:pPr>
        <w:widowControl/>
        <w:spacing w:line="520" w:lineRule="exact"/>
        <w:ind w:firstLine="480" w:firstLineChars="200"/>
        <w:rPr>
          <w:color w:val="auto"/>
          <w:sz w:val="24"/>
          <w:szCs w:val="24"/>
          <w:highlight w:val="none"/>
        </w:rPr>
      </w:pPr>
      <w:r>
        <w:rPr>
          <w:rFonts w:hint="eastAsia"/>
          <w:color w:val="auto"/>
          <w:sz w:val="24"/>
          <w:szCs w:val="24"/>
          <w:highlight w:val="none"/>
        </w:rPr>
        <w:t>（五）配合财政部门的投诉处理和监督检查工作。</w:t>
      </w:r>
    </w:p>
    <w:p w14:paraId="32F4A2A9">
      <w:pPr>
        <w:spacing w:line="520" w:lineRule="exact"/>
        <w:ind w:firstLine="480" w:firstLineChars="200"/>
        <w:rPr>
          <w:color w:val="auto"/>
          <w:sz w:val="24"/>
          <w:szCs w:val="24"/>
          <w:highlight w:val="none"/>
        </w:rPr>
      </w:pPr>
      <w:r>
        <w:rPr>
          <w:rFonts w:hint="eastAsia"/>
          <w:color w:val="auto"/>
          <w:sz w:val="24"/>
          <w:szCs w:val="24"/>
          <w:highlight w:val="none"/>
        </w:rPr>
        <w:t>7.2磋商小组由有关技术、经济方面的专家组成。磋商小组人数及技术、经济专家的确定方式见响应供应商须知前附表。</w:t>
      </w:r>
    </w:p>
    <w:p w14:paraId="0F4DED78">
      <w:pPr>
        <w:spacing w:line="520" w:lineRule="exact"/>
        <w:ind w:firstLine="480" w:firstLineChars="200"/>
        <w:rPr>
          <w:color w:val="auto"/>
          <w:sz w:val="24"/>
          <w:szCs w:val="24"/>
          <w:highlight w:val="none"/>
        </w:rPr>
      </w:pPr>
      <w:r>
        <w:rPr>
          <w:rFonts w:hint="eastAsia"/>
          <w:color w:val="auto"/>
          <w:sz w:val="24"/>
          <w:szCs w:val="24"/>
          <w:highlight w:val="none"/>
        </w:rPr>
        <w:t>7.3 磋商原则</w:t>
      </w:r>
    </w:p>
    <w:p w14:paraId="26C366E0">
      <w:pPr>
        <w:spacing w:line="520" w:lineRule="exact"/>
        <w:ind w:firstLine="480" w:firstLineChars="200"/>
        <w:rPr>
          <w:color w:val="auto"/>
          <w:sz w:val="24"/>
          <w:szCs w:val="24"/>
          <w:highlight w:val="none"/>
        </w:rPr>
      </w:pPr>
      <w:r>
        <w:rPr>
          <w:rFonts w:hint="eastAsia"/>
          <w:color w:val="auto"/>
          <w:sz w:val="24"/>
          <w:szCs w:val="24"/>
          <w:highlight w:val="none"/>
        </w:rPr>
        <w:t>7.3.1严格按照竞争性磋商文件中的所有相关规定；按照“公平、公正、科学”的原则进行磋商。</w:t>
      </w:r>
    </w:p>
    <w:p w14:paraId="2CC04ECA">
      <w:pPr>
        <w:spacing w:line="520" w:lineRule="exact"/>
        <w:ind w:firstLine="480" w:firstLineChars="200"/>
        <w:rPr>
          <w:color w:val="auto"/>
          <w:sz w:val="24"/>
          <w:szCs w:val="24"/>
          <w:highlight w:val="none"/>
        </w:rPr>
      </w:pPr>
      <w:r>
        <w:rPr>
          <w:rFonts w:hint="eastAsia"/>
          <w:color w:val="auto"/>
          <w:sz w:val="24"/>
          <w:szCs w:val="24"/>
          <w:highlight w:val="none"/>
        </w:rPr>
        <w:t>7.3.2反对不正当竞争。</w:t>
      </w:r>
    </w:p>
    <w:p w14:paraId="21610EF7">
      <w:pPr>
        <w:spacing w:line="520" w:lineRule="exact"/>
        <w:ind w:firstLine="482" w:firstLineChars="200"/>
        <w:outlineLvl w:val="0"/>
        <w:rPr>
          <w:b/>
          <w:bCs/>
          <w:color w:val="auto"/>
          <w:sz w:val="24"/>
          <w:szCs w:val="24"/>
          <w:highlight w:val="none"/>
        </w:rPr>
      </w:pPr>
      <w:bookmarkStart w:id="77" w:name="_Toc12301"/>
      <w:bookmarkStart w:id="78" w:name="_Toc18474"/>
      <w:bookmarkStart w:id="79" w:name="_Toc2977"/>
      <w:r>
        <w:rPr>
          <w:rFonts w:hint="eastAsia"/>
          <w:b/>
          <w:bCs/>
          <w:color w:val="auto"/>
          <w:sz w:val="24"/>
          <w:szCs w:val="24"/>
          <w:highlight w:val="none"/>
        </w:rPr>
        <w:t>8、磋商过程的保密</w:t>
      </w:r>
      <w:bookmarkEnd w:id="77"/>
      <w:bookmarkEnd w:id="78"/>
      <w:bookmarkEnd w:id="79"/>
    </w:p>
    <w:p w14:paraId="657BA385">
      <w:pPr>
        <w:spacing w:line="520" w:lineRule="exact"/>
        <w:ind w:firstLine="480" w:firstLineChars="200"/>
        <w:rPr>
          <w:color w:val="auto"/>
          <w:sz w:val="24"/>
          <w:szCs w:val="24"/>
          <w:highlight w:val="none"/>
        </w:rPr>
      </w:pPr>
      <w:r>
        <w:rPr>
          <w:rFonts w:hint="eastAsia"/>
          <w:color w:val="auto"/>
          <w:sz w:val="24"/>
          <w:szCs w:val="24"/>
          <w:highlight w:val="none"/>
        </w:rPr>
        <w:t>8.1响应文件的审查、澄清、评价和比较的有关资料以及成交候选人的推荐情况，与磋商有关的其他任何情况均应严格保密。</w:t>
      </w:r>
    </w:p>
    <w:p w14:paraId="2F2DD1FB">
      <w:pPr>
        <w:spacing w:line="520" w:lineRule="exact"/>
        <w:ind w:firstLine="480" w:firstLineChars="200"/>
        <w:rPr>
          <w:color w:val="auto"/>
          <w:sz w:val="24"/>
          <w:szCs w:val="24"/>
          <w:highlight w:val="none"/>
        </w:rPr>
      </w:pPr>
      <w:r>
        <w:rPr>
          <w:rFonts w:hint="eastAsia"/>
          <w:color w:val="auto"/>
          <w:sz w:val="24"/>
          <w:szCs w:val="24"/>
          <w:highlight w:val="none"/>
        </w:rPr>
        <w:t>8.2在响应文件的评审和比较、成交候选人推荐以及授予合同的过程中，供应商向采购人和磋商小组施加影响的任何行为，都将会导致其磋商被拒绝。</w:t>
      </w:r>
    </w:p>
    <w:p w14:paraId="065BBF8B">
      <w:pPr>
        <w:spacing w:line="520" w:lineRule="exact"/>
        <w:ind w:firstLine="480" w:firstLineChars="200"/>
        <w:rPr>
          <w:color w:val="auto"/>
          <w:sz w:val="24"/>
          <w:szCs w:val="24"/>
          <w:highlight w:val="none"/>
        </w:rPr>
      </w:pPr>
      <w:r>
        <w:rPr>
          <w:rFonts w:hint="eastAsia"/>
          <w:color w:val="auto"/>
          <w:sz w:val="24"/>
          <w:szCs w:val="24"/>
          <w:highlight w:val="none"/>
        </w:rPr>
        <w:t>8.3采购人不对未成交人就磋商过程以及未能成交原因作出任何解释。未成交人不得向磋商小组成员和其他有关人员索问磋商过程的情况和资料。</w:t>
      </w:r>
    </w:p>
    <w:p w14:paraId="33DAC2D5">
      <w:pPr>
        <w:spacing w:line="520" w:lineRule="exact"/>
        <w:ind w:firstLine="482" w:firstLineChars="200"/>
        <w:outlineLvl w:val="0"/>
        <w:rPr>
          <w:b/>
          <w:bCs/>
          <w:color w:val="auto"/>
          <w:sz w:val="24"/>
          <w:szCs w:val="24"/>
          <w:highlight w:val="none"/>
        </w:rPr>
      </w:pPr>
      <w:bookmarkStart w:id="80" w:name="_Toc10668"/>
      <w:bookmarkStart w:id="81" w:name="_Toc10832"/>
      <w:bookmarkStart w:id="82" w:name="_Toc24402"/>
      <w:r>
        <w:rPr>
          <w:rFonts w:hint="eastAsia"/>
          <w:b/>
          <w:bCs/>
          <w:color w:val="auto"/>
          <w:sz w:val="24"/>
          <w:szCs w:val="24"/>
          <w:highlight w:val="none"/>
        </w:rPr>
        <w:t>9、响应文件的澄清</w:t>
      </w:r>
      <w:bookmarkEnd w:id="80"/>
      <w:bookmarkEnd w:id="81"/>
      <w:bookmarkEnd w:id="82"/>
    </w:p>
    <w:p w14:paraId="43EBF310">
      <w:pPr>
        <w:spacing w:line="520" w:lineRule="exact"/>
        <w:ind w:firstLine="480" w:firstLineChars="200"/>
        <w:rPr>
          <w:color w:val="auto"/>
          <w:sz w:val="24"/>
          <w:szCs w:val="24"/>
          <w:highlight w:val="none"/>
        </w:rPr>
      </w:pPr>
      <w:r>
        <w:rPr>
          <w:rFonts w:hint="eastAsia"/>
          <w:color w:val="auto"/>
          <w:sz w:val="24"/>
          <w:szCs w:val="24"/>
          <w:highlight w:val="none"/>
        </w:rPr>
        <w:t>磋商小组可以以书面形式要求供应商对其响应文件中含义不明确的内容作必要的澄清或说明。供应商应采用书面形式进行澄清和说明，但不得超出响应文件的范围或者改变响应文件实质性内容。凡属于磋商小组在磋商发现的计算错误并进行核实的修改不在此列。</w:t>
      </w:r>
    </w:p>
    <w:p w14:paraId="580FAE5A">
      <w:pPr>
        <w:spacing w:line="520" w:lineRule="exact"/>
        <w:ind w:firstLine="482" w:firstLineChars="200"/>
        <w:outlineLvl w:val="0"/>
        <w:rPr>
          <w:b/>
          <w:bCs/>
          <w:color w:val="auto"/>
          <w:sz w:val="24"/>
          <w:szCs w:val="24"/>
          <w:highlight w:val="none"/>
        </w:rPr>
      </w:pPr>
      <w:bookmarkStart w:id="83" w:name="_Toc10092"/>
      <w:bookmarkStart w:id="84" w:name="_Toc26096"/>
      <w:bookmarkStart w:id="85" w:name="_Toc7780"/>
      <w:r>
        <w:rPr>
          <w:rFonts w:hint="eastAsia"/>
          <w:b/>
          <w:bCs/>
          <w:color w:val="auto"/>
          <w:sz w:val="24"/>
          <w:szCs w:val="24"/>
          <w:highlight w:val="none"/>
        </w:rPr>
        <w:t>10、响应文件的初步评审</w:t>
      </w:r>
      <w:bookmarkEnd w:id="83"/>
      <w:bookmarkEnd w:id="84"/>
      <w:bookmarkEnd w:id="85"/>
    </w:p>
    <w:p w14:paraId="4460EA64">
      <w:pPr>
        <w:spacing w:line="520" w:lineRule="exact"/>
        <w:ind w:firstLine="480" w:firstLineChars="200"/>
        <w:rPr>
          <w:color w:val="auto"/>
          <w:sz w:val="24"/>
          <w:szCs w:val="24"/>
          <w:highlight w:val="none"/>
        </w:rPr>
      </w:pPr>
      <w:r>
        <w:rPr>
          <w:rFonts w:hint="eastAsia"/>
          <w:color w:val="auto"/>
          <w:sz w:val="24"/>
          <w:szCs w:val="24"/>
          <w:highlight w:val="none"/>
        </w:rPr>
        <w:t>10.1根据初步评审要求经审查有效的响应文件，才能提交磋商小组进行评审。</w:t>
      </w:r>
    </w:p>
    <w:p w14:paraId="30B555E6">
      <w:pPr>
        <w:spacing w:line="520" w:lineRule="exact"/>
        <w:ind w:firstLine="480" w:firstLineChars="200"/>
        <w:rPr>
          <w:color w:val="auto"/>
          <w:sz w:val="24"/>
          <w:szCs w:val="24"/>
          <w:highlight w:val="none"/>
        </w:rPr>
      </w:pPr>
      <w:r>
        <w:rPr>
          <w:rFonts w:hint="eastAsia"/>
          <w:color w:val="auto"/>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5989730C">
      <w:pPr>
        <w:spacing w:line="520" w:lineRule="exact"/>
        <w:ind w:firstLine="480" w:firstLineChars="200"/>
        <w:rPr>
          <w:color w:val="auto"/>
          <w:sz w:val="24"/>
          <w:szCs w:val="24"/>
          <w:highlight w:val="none"/>
        </w:rPr>
      </w:pPr>
      <w:r>
        <w:rPr>
          <w:rFonts w:hint="eastAsia"/>
          <w:color w:val="auto"/>
          <w:sz w:val="24"/>
          <w:szCs w:val="24"/>
          <w:highlight w:val="none"/>
        </w:rPr>
        <w:t>10.3如果响应文件实质上不响应竞争性磋商文件的要求，采购人将予以拒绝，并且不允许供应商通过修改或撤消其不符合要求的差异或保留，使之成为具有响应性的磋商。</w:t>
      </w:r>
    </w:p>
    <w:p w14:paraId="7432BFAB">
      <w:pPr>
        <w:spacing w:line="520" w:lineRule="exact"/>
        <w:ind w:firstLine="482" w:firstLineChars="200"/>
        <w:outlineLvl w:val="0"/>
        <w:rPr>
          <w:b/>
          <w:bCs/>
          <w:color w:val="auto"/>
          <w:sz w:val="24"/>
          <w:szCs w:val="24"/>
          <w:highlight w:val="none"/>
        </w:rPr>
      </w:pPr>
      <w:bookmarkStart w:id="86" w:name="_Toc10938"/>
      <w:bookmarkStart w:id="87" w:name="_Toc23151"/>
      <w:bookmarkStart w:id="88" w:name="_Toc4879"/>
      <w:r>
        <w:rPr>
          <w:rFonts w:hint="eastAsia"/>
          <w:b/>
          <w:bCs/>
          <w:color w:val="auto"/>
          <w:sz w:val="24"/>
          <w:szCs w:val="24"/>
          <w:highlight w:val="none"/>
        </w:rPr>
        <w:t>11.响应文件计算错误的修正</w:t>
      </w:r>
      <w:bookmarkEnd w:id="86"/>
      <w:bookmarkEnd w:id="87"/>
      <w:bookmarkEnd w:id="88"/>
    </w:p>
    <w:p w14:paraId="004F34A5">
      <w:pPr>
        <w:spacing w:line="520" w:lineRule="exact"/>
        <w:ind w:firstLine="480" w:firstLineChars="200"/>
        <w:rPr>
          <w:color w:val="auto"/>
          <w:sz w:val="24"/>
          <w:szCs w:val="24"/>
          <w:highlight w:val="none"/>
        </w:rPr>
      </w:pPr>
      <w:r>
        <w:rPr>
          <w:rFonts w:hint="eastAsia"/>
          <w:color w:val="auto"/>
          <w:sz w:val="24"/>
          <w:szCs w:val="24"/>
          <w:highlight w:val="none"/>
        </w:rPr>
        <w:t>11.1磋商小组将对确定为实质上响应竞争性磋商文件要求的响应文件进行校核，看其是否有计算或表达上的错误，修正错误的原则如下：</w:t>
      </w:r>
    </w:p>
    <w:p w14:paraId="26DDE94B">
      <w:pPr>
        <w:spacing w:line="520" w:lineRule="exact"/>
        <w:ind w:firstLine="480" w:firstLineChars="200"/>
        <w:rPr>
          <w:color w:val="auto"/>
          <w:sz w:val="24"/>
          <w:szCs w:val="24"/>
          <w:highlight w:val="none"/>
        </w:rPr>
      </w:pPr>
      <w:r>
        <w:rPr>
          <w:rFonts w:hint="eastAsia"/>
          <w:color w:val="auto"/>
          <w:sz w:val="24"/>
          <w:szCs w:val="24"/>
          <w:highlight w:val="none"/>
        </w:rPr>
        <w:t>11.1.1如果数字表示的金额和用文字表示的金额不一致时，应以文字表示的金额为准；</w:t>
      </w:r>
    </w:p>
    <w:p w14:paraId="54112505">
      <w:pPr>
        <w:spacing w:line="520" w:lineRule="exact"/>
        <w:ind w:firstLine="480" w:firstLineChars="200"/>
        <w:rPr>
          <w:color w:val="auto"/>
          <w:sz w:val="24"/>
          <w:szCs w:val="24"/>
          <w:highlight w:val="none"/>
        </w:rPr>
      </w:pPr>
      <w:r>
        <w:rPr>
          <w:rFonts w:hint="eastAsia"/>
          <w:color w:val="auto"/>
          <w:sz w:val="24"/>
          <w:szCs w:val="24"/>
          <w:highlight w:val="none"/>
        </w:rPr>
        <w:t>11.1.2当单价与数量的乘积与合价不一致时，以单价为准，除非磋商小组认为单价有明显的小数点错误，此时应以标出的合价为准，并修改单价。</w:t>
      </w:r>
    </w:p>
    <w:p w14:paraId="2F97F76A">
      <w:pPr>
        <w:spacing w:line="520" w:lineRule="exact"/>
        <w:ind w:firstLine="480" w:firstLineChars="200"/>
        <w:rPr>
          <w:color w:val="auto"/>
          <w:sz w:val="24"/>
          <w:szCs w:val="24"/>
          <w:highlight w:val="none"/>
        </w:rPr>
      </w:pPr>
      <w:r>
        <w:rPr>
          <w:rFonts w:hint="eastAsia"/>
          <w:color w:val="auto"/>
          <w:sz w:val="24"/>
          <w:szCs w:val="24"/>
          <w:highlight w:val="none"/>
        </w:rPr>
        <w:t>11.2按上述修正错误的原则及方法调整或修正响应文件的磋商报价，供应商同意后，调整后的磋商报价对供应商起约束作用。如果供应商不接受修正后的报价，则磋商小组对其不再进行评审。</w:t>
      </w:r>
    </w:p>
    <w:p w14:paraId="127328DA">
      <w:pPr>
        <w:spacing w:line="520" w:lineRule="exact"/>
        <w:ind w:firstLine="482" w:firstLineChars="200"/>
        <w:outlineLvl w:val="0"/>
        <w:rPr>
          <w:b/>
          <w:bCs/>
          <w:color w:val="auto"/>
          <w:sz w:val="24"/>
          <w:szCs w:val="24"/>
          <w:highlight w:val="none"/>
        </w:rPr>
      </w:pPr>
      <w:bookmarkStart w:id="89" w:name="_Toc21245"/>
      <w:bookmarkStart w:id="90" w:name="_Toc7158"/>
      <w:bookmarkStart w:id="91" w:name="_Toc25476"/>
      <w:r>
        <w:rPr>
          <w:rFonts w:hint="eastAsia"/>
          <w:b/>
          <w:bCs/>
          <w:color w:val="auto"/>
          <w:sz w:val="24"/>
          <w:szCs w:val="24"/>
          <w:highlight w:val="none"/>
        </w:rPr>
        <w:t>12. 响应文件的评审、比较和否决</w:t>
      </w:r>
      <w:bookmarkEnd w:id="89"/>
      <w:bookmarkEnd w:id="90"/>
      <w:bookmarkEnd w:id="91"/>
    </w:p>
    <w:p w14:paraId="7CE2A11A">
      <w:pPr>
        <w:snapToGrid w:val="0"/>
        <w:spacing w:line="520" w:lineRule="exact"/>
        <w:ind w:firstLine="480" w:firstLineChars="200"/>
        <w:rPr>
          <w:color w:val="auto"/>
          <w:sz w:val="24"/>
          <w:szCs w:val="24"/>
          <w:highlight w:val="none"/>
        </w:rPr>
      </w:pPr>
      <w:r>
        <w:rPr>
          <w:rFonts w:hint="eastAsia"/>
          <w:color w:val="auto"/>
          <w:sz w:val="24"/>
          <w:szCs w:val="24"/>
          <w:highlight w:val="none"/>
        </w:rPr>
        <w:t>12.1磋商小组仅对在实质上响应竞争性磋商文件要求的响应文件进行评估和比较。</w:t>
      </w:r>
    </w:p>
    <w:p w14:paraId="237E18F8">
      <w:pPr>
        <w:snapToGrid w:val="0"/>
        <w:spacing w:line="520" w:lineRule="exact"/>
        <w:ind w:firstLine="480" w:firstLineChars="200"/>
        <w:rPr>
          <w:color w:val="auto"/>
          <w:sz w:val="24"/>
          <w:szCs w:val="24"/>
          <w:highlight w:val="none"/>
        </w:rPr>
      </w:pPr>
      <w:r>
        <w:rPr>
          <w:rFonts w:hint="eastAsia"/>
          <w:color w:val="auto"/>
          <w:sz w:val="24"/>
          <w:szCs w:val="24"/>
          <w:highlight w:val="none"/>
        </w:rPr>
        <w:t>12.2在磋商过程中，磋商小组发现供应商的磋商报价明显低于其他供应商的报价，并有可能低于其企业成本的，则磋商小组可以以书面形式要求该供应商作出书面说明并提供相关证明材料。供应商不能合理说明或不能提供相关证明材料的，磋商小组对其响应文件不再进行评审。</w:t>
      </w:r>
    </w:p>
    <w:p w14:paraId="0003667F">
      <w:pPr>
        <w:snapToGrid w:val="0"/>
        <w:spacing w:line="520" w:lineRule="exact"/>
        <w:ind w:firstLine="480" w:firstLineChars="200"/>
        <w:rPr>
          <w:color w:val="auto"/>
          <w:sz w:val="24"/>
          <w:szCs w:val="24"/>
          <w:highlight w:val="none"/>
        </w:rPr>
      </w:pPr>
      <w:r>
        <w:rPr>
          <w:rFonts w:hint="eastAsia"/>
          <w:color w:val="auto"/>
          <w:sz w:val="24"/>
          <w:szCs w:val="24"/>
          <w:highlight w:val="none"/>
        </w:rPr>
        <w:t xml:space="preserve">12.3在首轮磋商的基础上，磋商小组讨论、分析、综合各种因素后，决定是否与各方再次进行磋商。 </w:t>
      </w:r>
    </w:p>
    <w:p w14:paraId="00D9F1AA">
      <w:pPr>
        <w:wordWrap w:val="0"/>
        <w:adjustRightInd w:val="0"/>
        <w:spacing w:line="360" w:lineRule="auto"/>
        <w:ind w:firstLine="480" w:firstLineChars="200"/>
        <w:rPr>
          <w:color w:val="auto"/>
          <w:sz w:val="24"/>
          <w:szCs w:val="24"/>
          <w:highlight w:val="none"/>
        </w:rPr>
      </w:pPr>
      <w:r>
        <w:rPr>
          <w:rFonts w:hint="eastAsia"/>
          <w:color w:val="auto"/>
          <w:sz w:val="24"/>
          <w:szCs w:val="24"/>
          <w:highlight w:val="none"/>
        </w:rPr>
        <w:t>12.4 出现下列情形之一的，将终止竞争性磋商采购活动，发布项目终止公告并说明原因，重新开展采购活动：</w:t>
      </w:r>
    </w:p>
    <w:p w14:paraId="0C3A58EB">
      <w:pPr>
        <w:wordWrap w:val="0"/>
        <w:adjustRightInd w:val="0"/>
        <w:spacing w:line="360" w:lineRule="auto"/>
        <w:ind w:firstLine="480" w:firstLineChars="200"/>
        <w:rPr>
          <w:color w:val="auto"/>
          <w:sz w:val="24"/>
          <w:szCs w:val="24"/>
          <w:highlight w:val="none"/>
        </w:rPr>
      </w:pPr>
      <w:r>
        <w:rPr>
          <w:rFonts w:hint="eastAsia"/>
          <w:color w:val="auto"/>
          <w:sz w:val="24"/>
          <w:szCs w:val="24"/>
          <w:highlight w:val="none"/>
        </w:rPr>
        <w:t>（1）、不符合法律、法规和竞争性磋商文件中规定的其他实质性要求的；</w:t>
      </w:r>
    </w:p>
    <w:p w14:paraId="081E66D9">
      <w:pPr>
        <w:wordWrap w:val="0"/>
        <w:adjustRightInd w:val="0"/>
        <w:spacing w:line="360" w:lineRule="auto"/>
        <w:ind w:firstLine="480" w:firstLineChars="200"/>
        <w:rPr>
          <w:color w:val="auto"/>
          <w:sz w:val="24"/>
          <w:szCs w:val="24"/>
          <w:highlight w:val="none"/>
        </w:rPr>
      </w:pPr>
      <w:r>
        <w:rPr>
          <w:rFonts w:hint="eastAsia"/>
          <w:color w:val="auto"/>
          <w:sz w:val="24"/>
          <w:szCs w:val="24"/>
          <w:highlight w:val="none"/>
        </w:rPr>
        <w:t>（2）、其他法律、法规及本竞争性磋商文件规定的属响应无效的情形。终止竞争性磋商采购活动的条款；</w:t>
      </w:r>
    </w:p>
    <w:p w14:paraId="05F5CDF7">
      <w:pPr>
        <w:wordWrap w:val="0"/>
        <w:adjustRightInd w:val="0"/>
        <w:spacing w:line="360" w:lineRule="auto"/>
        <w:ind w:firstLine="480" w:firstLineChars="200"/>
        <w:rPr>
          <w:color w:val="auto"/>
          <w:sz w:val="24"/>
          <w:szCs w:val="24"/>
          <w:highlight w:val="none"/>
        </w:rPr>
      </w:pPr>
      <w:r>
        <w:rPr>
          <w:rFonts w:hint="eastAsia"/>
          <w:color w:val="auto"/>
          <w:sz w:val="24"/>
          <w:szCs w:val="24"/>
          <w:highlight w:val="none"/>
        </w:rPr>
        <w:t>（3）、因情况变化，不再符合规定的竞争性磋商采购方式适用情形的；出现影响采购公正的违法、违规行为的；</w:t>
      </w:r>
    </w:p>
    <w:p w14:paraId="739EDFDC">
      <w:pPr>
        <w:snapToGrid w:val="0"/>
        <w:spacing w:line="520" w:lineRule="exact"/>
        <w:ind w:firstLine="480" w:firstLineChars="200"/>
        <w:rPr>
          <w:color w:val="auto"/>
          <w:sz w:val="24"/>
          <w:szCs w:val="24"/>
          <w:highlight w:val="non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、磋商截止时间结束后参加供应商不足3家的，应重新组织采购。评审期间符合专业条件的供应商或者对磋商响应文件作出实质响应的供应商不足3家的，应重新组织采购。</w:t>
      </w:r>
    </w:p>
    <w:p w14:paraId="273147DB">
      <w:pPr>
        <w:spacing w:line="520" w:lineRule="exact"/>
        <w:ind w:firstLine="482" w:firstLineChars="200"/>
        <w:outlineLvl w:val="0"/>
        <w:rPr>
          <w:b/>
          <w:bCs/>
          <w:color w:val="auto"/>
          <w:sz w:val="24"/>
          <w:szCs w:val="24"/>
          <w:highlight w:val="none"/>
        </w:rPr>
      </w:pPr>
      <w:bookmarkStart w:id="92" w:name="_Toc29453"/>
      <w:bookmarkStart w:id="93" w:name="_Toc12402"/>
      <w:bookmarkStart w:id="94" w:name="_Toc12637"/>
      <w:r>
        <w:rPr>
          <w:rFonts w:hint="eastAsia"/>
          <w:b/>
          <w:bCs/>
          <w:color w:val="auto"/>
          <w:sz w:val="24"/>
          <w:szCs w:val="24"/>
          <w:highlight w:val="none"/>
        </w:rPr>
        <w:t>13、成交候选人确定</w:t>
      </w:r>
      <w:bookmarkEnd w:id="92"/>
      <w:bookmarkEnd w:id="93"/>
      <w:bookmarkEnd w:id="94"/>
    </w:p>
    <w:p w14:paraId="1229BFED">
      <w:pPr>
        <w:snapToGrid w:val="0"/>
        <w:spacing w:line="520" w:lineRule="exact"/>
        <w:ind w:firstLine="480" w:firstLineChars="200"/>
        <w:rPr>
          <w:color w:val="auto"/>
          <w:sz w:val="24"/>
          <w:szCs w:val="24"/>
          <w:highlight w:val="none"/>
        </w:rPr>
      </w:pPr>
      <w:bookmarkStart w:id="95" w:name="_Toc8080"/>
      <w:bookmarkStart w:id="96" w:name="_Toc29111"/>
      <w:bookmarkStart w:id="97" w:name="_Toc11920"/>
      <w:r>
        <w:rPr>
          <w:rFonts w:hint="eastAsia"/>
          <w:color w:val="auto"/>
          <w:sz w:val="24"/>
          <w:szCs w:val="24"/>
          <w:highlight w:val="none"/>
        </w:rPr>
        <w:t>13.1采购代理机构应当自评审结束之日起2个工作日内将评审报告送交采购人。采购人应当自收到评审报告之日起5个工作日内在评审报告推荐的成交候选人中按顺序确定成交人。</w:t>
      </w:r>
    </w:p>
    <w:p w14:paraId="2A5313A9">
      <w:pPr>
        <w:snapToGrid w:val="0"/>
        <w:spacing w:line="520" w:lineRule="exact"/>
        <w:ind w:firstLine="480" w:firstLineChars="200"/>
        <w:rPr>
          <w:color w:val="auto"/>
          <w:sz w:val="24"/>
          <w:szCs w:val="24"/>
          <w:highlight w:val="none"/>
        </w:rPr>
      </w:pPr>
      <w:r>
        <w:rPr>
          <w:rFonts w:hint="eastAsia"/>
          <w:color w:val="auto"/>
          <w:sz w:val="24"/>
          <w:szCs w:val="24"/>
          <w:highlight w:val="none"/>
        </w:rPr>
        <w:t>成交候选人并列的，由采购人采取随机抽取的方式确定成交人。</w:t>
      </w:r>
    </w:p>
    <w:p w14:paraId="26CCA59A">
      <w:pPr>
        <w:keepNext/>
        <w:keepLines/>
        <w:spacing w:line="360" w:lineRule="auto"/>
        <w:ind w:firstLine="482" w:firstLineChars="200"/>
        <w:outlineLvl w:val="2"/>
        <w:rPr>
          <w:b/>
          <w:bCs/>
          <w:color w:val="auto"/>
          <w:sz w:val="24"/>
          <w:szCs w:val="24"/>
          <w:highlight w:val="none"/>
        </w:rPr>
      </w:pPr>
      <w:bookmarkStart w:id="98" w:name="_Toc428351661"/>
      <w:bookmarkStart w:id="99" w:name="_Toc454788041"/>
      <w:bookmarkStart w:id="100" w:name="_Toc422126474"/>
      <w:bookmarkStart w:id="101" w:name="_Toc428276601"/>
      <w:bookmarkStart w:id="102" w:name="_Toc455678134"/>
      <w:bookmarkStart w:id="103" w:name="_Toc463011287"/>
      <w:bookmarkStart w:id="104" w:name="_Toc2677"/>
      <w:bookmarkStart w:id="105" w:name="_Toc462934308"/>
      <w:bookmarkStart w:id="106" w:name="_Toc16692"/>
      <w:bookmarkStart w:id="107" w:name="_Toc15190"/>
      <w:r>
        <w:rPr>
          <w:rFonts w:hint="eastAsia"/>
          <w:b/>
          <w:bCs/>
          <w:color w:val="auto"/>
          <w:sz w:val="24"/>
          <w:szCs w:val="24"/>
          <w:highlight w:val="none"/>
        </w:rPr>
        <w:t>14、成交结果</w:t>
      </w:r>
      <w:bookmarkEnd w:id="98"/>
      <w:bookmarkEnd w:id="99"/>
      <w:bookmarkEnd w:id="100"/>
      <w:bookmarkEnd w:id="101"/>
      <w:bookmarkEnd w:id="102"/>
      <w:r>
        <w:rPr>
          <w:rFonts w:hint="eastAsia"/>
          <w:b/>
          <w:bCs/>
          <w:color w:val="auto"/>
          <w:sz w:val="24"/>
          <w:szCs w:val="24"/>
          <w:highlight w:val="none"/>
        </w:rPr>
        <w:t>公告</w:t>
      </w:r>
      <w:bookmarkEnd w:id="103"/>
      <w:bookmarkEnd w:id="104"/>
      <w:bookmarkEnd w:id="105"/>
      <w:bookmarkEnd w:id="106"/>
      <w:bookmarkEnd w:id="107"/>
    </w:p>
    <w:p w14:paraId="285E2632">
      <w:pPr>
        <w:spacing w:line="360" w:lineRule="auto"/>
        <w:ind w:firstLine="480" w:firstLineChars="200"/>
        <w:rPr>
          <w:color w:val="auto"/>
          <w:sz w:val="24"/>
          <w:szCs w:val="24"/>
          <w:highlight w:val="none"/>
        </w:rPr>
      </w:pPr>
      <w:r>
        <w:rPr>
          <w:rFonts w:hint="eastAsia"/>
          <w:color w:val="auto"/>
          <w:sz w:val="24"/>
          <w:szCs w:val="24"/>
          <w:highlight w:val="none"/>
        </w:rPr>
        <w:t>14.1采购人或者采购代理机构自成交人确定之日起2个工作日内，在公告发布的同一媒介上公告成交结果，同时向成交人发出成交通知书，并将竞争性磋商文件随成交结果同时公告，公告期限1个工作日。</w:t>
      </w:r>
    </w:p>
    <w:p w14:paraId="11896BC7">
      <w:pPr>
        <w:spacing w:line="360" w:lineRule="auto"/>
        <w:ind w:firstLine="480" w:firstLineChars="200"/>
        <w:rPr>
          <w:color w:val="auto"/>
          <w:sz w:val="24"/>
          <w:szCs w:val="24"/>
          <w:highlight w:val="none"/>
        </w:rPr>
      </w:pPr>
      <w:bookmarkStart w:id="108" w:name="_Toc270604607"/>
      <w:r>
        <w:rPr>
          <w:rFonts w:hint="eastAsia"/>
          <w:color w:val="auto"/>
          <w:sz w:val="24"/>
          <w:szCs w:val="24"/>
          <w:highlight w:val="none"/>
        </w:rPr>
        <w:t>14.2成交结果公告内容包括</w:t>
      </w:r>
      <w:bookmarkEnd w:id="108"/>
      <w:r>
        <w:rPr>
          <w:rFonts w:hint="eastAsia"/>
          <w:color w:val="auto"/>
          <w:sz w:val="24"/>
          <w:szCs w:val="24"/>
          <w:highlight w:val="none"/>
        </w:rPr>
        <w:t>采购人和采购代理机构的名称、地址和联系方式、项目名称和项目编号、成交人名称、地址和成交金额、主要成交标的的名称、规格型号、数量、单价、服务要求、磋商小组成员名单。</w:t>
      </w:r>
    </w:p>
    <w:p w14:paraId="39C3CDDE">
      <w:pPr>
        <w:keepNext/>
        <w:keepLines/>
        <w:spacing w:line="360" w:lineRule="auto"/>
        <w:ind w:firstLine="482" w:firstLineChars="200"/>
        <w:outlineLvl w:val="2"/>
        <w:rPr>
          <w:b/>
          <w:bCs/>
          <w:color w:val="auto"/>
          <w:sz w:val="24"/>
          <w:szCs w:val="24"/>
          <w:highlight w:val="none"/>
        </w:rPr>
      </w:pPr>
      <w:bookmarkStart w:id="109" w:name="_Toc18026"/>
      <w:bookmarkStart w:id="110" w:name="_Toc462934310"/>
      <w:bookmarkStart w:id="111" w:name="_Toc455678136"/>
      <w:bookmarkStart w:id="112" w:name="_Toc463011289"/>
      <w:bookmarkStart w:id="113" w:name="_Toc11152"/>
      <w:bookmarkStart w:id="114" w:name="_Toc4900"/>
      <w:r>
        <w:rPr>
          <w:rFonts w:hint="eastAsia"/>
          <w:b/>
          <w:bCs/>
          <w:color w:val="auto"/>
          <w:sz w:val="24"/>
          <w:szCs w:val="24"/>
          <w:highlight w:val="none"/>
        </w:rPr>
        <w:t>15、成交通知书</w:t>
      </w:r>
      <w:bookmarkEnd w:id="109"/>
      <w:bookmarkEnd w:id="110"/>
      <w:bookmarkEnd w:id="111"/>
      <w:bookmarkEnd w:id="112"/>
      <w:bookmarkEnd w:id="113"/>
      <w:bookmarkEnd w:id="114"/>
      <w:bookmarkStart w:id="115" w:name="_Toc462934311"/>
      <w:bookmarkStart w:id="116" w:name="_Toc11018"/>
      <w:bookmarkStart w:id="117" w:name="_Toc23963"/>
      <w:bookmarkStart w:id="118" w:name="_Toc463011290"/>
      <w:bookmarkStart w:id="119" w:name="_Toc455678137"/>
    </w:p>
    <w:bookmarkEnd w:id="115"/>
    <w:bookmarkEnd w:id="116"/>
    <w:bookmarkEnd w:id="117"/>
    <w:bookmarkEnd w:id="118"/>
    <w:bookmarkEnd w:id="119"/>
    <w:p w14:paraId="5DDACE27">
      <w:pPr>
        <w:spacing w:line="360" w:lineRule="auto"/>
        <w:ind w:firstLine="480" w:firstLineChars="200"/>
        <w:rPr>
          <w:color w:val="auto"/>
          <w:sz w:val="24"/>
          <w:szCs w:val="24"/>
          <w:highlight w:val="none"/>
        </w:rPr>
      </w:pPr>
      <w:r>
        <w:rPr>
          <w:rFonts w:hint="eastAsia"/>
          <w:color w:val="auto"/>
          <w:sz w:val="24"/>
          <w:szCs w:val="24"/>
          <w:highlight w:val="none"/>
        </w:rPr>
        <w:t>在公告成交结果的同时，采购人或者采购代理机构向成交人发出成交通知书，成交通知书将作为进行合同磋商和签订合同的依据。</w:t>
      </w:r>
    </w:p>
    <w:p w14:paraId="18A7F0B2">
      <w:pPr>
        <w:spacing w:line="520" w:lineRule="exact"/>
        <w:ind w:firstLine="482" w:firstLineChars="200"/>
        <w:outlineLvl w:val="0"/>
        <w:rPr>
          <w:b/>
          <w:bCs/>
          <w:color w:val="auto"/>
          <w:sz w:val="24"/>
          <w:szCs w:val="24"/>
          <w:highlight w:val="none"/>
        </w:rPr>
      </w:pPr>
      <w:r>
        <w:rPr>
          <w:rFonts w:hint="eastAsia"/>
          <w:b/>
          <w:bCs/>
          <w:color w:val="auto"/>
          <w:sz w:val="24"/>
          <w:szCs w:val="24"/>
          <w:highlight w:val="none"/>
        </w:rPr>
        <w:t>16 、合同的授予</w:t>
      </w:r>
      <w:bookmarkEnd w:id="95"/>
      <w:bookmarkEnd w:id="96"/>
      <w:bookmarkEnd w:id="97"/>
    </w:p>
    <w:p w14:paraId="136AFB75">
      <w:pPr>
        <w:spacing w:line="520" w:lineRule="exact"/>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.1成交</w:t>
      </w:r>
      <w:r>
        <w:rPr>
          <w:rFonts w:hint="eastAsia"/>
          <w:color w:val="auto"/>
          <w:sz w:val="24"/>
          <w:szCs w:val="24"/>
          <w:highlight w:val="none"/>
        </w:rPr>
        <w:t>单位</w:t>
      </w:r>
      <w:r>
        <w:rPr>
          <w:color w:val="auto"/>
          <w:sz w:val="24"/>
          <w:szCs w:val="24"/>
          <w:highlight w:val="none"/>
        </w:rPr>
        <w:t>在收到成交通知书后</w:t>
      </w:r>
      <w:r>
        <w:rPr>
          <w:rFonts w:hint="eastAsia"/>
          <w:color w:val="auto"/>
          <w:sz w:val="24"/>
          <w:szCs w:val="24"/>
          <w:highlight w:val="none"/>
        </w:rPr>
        <w:t>2个工作日内应与采购人签订承包合同。</w:t>
      </w:r>
    </w:p>
    <w:p w14:paraId="7A7768CC">
      <w:pPr>
        <w:spacing w:line="520" w:lineRule="exact"/>
        <w:ind w:firstLine="480" w:firstLineChars="200"/>
        <w:rPr>
          <w:color w:val="auto"/>
          <w:sz w:val="24"/>
          <w:szCs w:val="24"/>
          <w:highlight w:val="none"/>
        </w:rPr>
      </w:pPr>
      <w:r>
        <w:rPr>
          <w:rFonts w:hint="eastAsia"/>
          <w:color w:val="auto"/>
          <w:sz w:val="24"/>
          <w:szCs w:val="24"/>
          <w:highlight w:val="none"/>
        </w:rPr>
        <w:t>竞争性磋商文件成交单位的响应性文件及其相关澄清、补遗文件等，均为签订合同的依据。</w:t>
      </w:r>
    </w:p>
    <w:p w14:paraId="27B888DB">
      <w:pPr>
        <w:spacing w:line="520" w:lineRule="exact"/>
        <w:ind w:firstLine="480" w:firstLineChars="200"/>
        <w:rPr>
          <w:color w:val="auto"/>
          <w:sz w:val="24"/>
          <w:szCs w:val="24"/>
          <w:highlight w:val="none"/>
        </w:rPr>
      </w:pPr>
      <w:r>
        <w:rPr>
          <w:rFonts w:hint="eastAsia"/>
          <w:color w:val="auto"/>
          <w:sz w:val="24"/>
          <w:szCs w:val="24"/>
          <w:highlight w:val="none"/>
        </w:rPr>
        <w:t>16</w:t>
      </w:r>
      <w:r>
        <w:rPr>
          <w:color w:val="auto"/>
          <w:sz w:val="24"/>
          <w:szCs w:val="24"/>
          <w:highlight w:val="none"/>
        </w:rPr>
        <w:t>.</w:t>
      </w:r>
      <w:r>
        <w:rPr>
          <w:rFonts w:hint="eastAsia"/>
          <w:color w:val="auto"/>
          <w:sz w:val="24"/>
          <w:szCs w:val="24"/>
          <w:highlight w:val="none"/>
        </w:rPr>
        <w:t>2成交单位如未能按照竞争性磋商文件要求，在规定期限内与采购人签订合同，无论何种原因采购方将取消其成交资格、撤销其成交通知书。在此情况下，采购人可将合同授予排名次高的供应商。</w:t>
      </w:r>
    </w:p>
    <w:p w14:paraId="51ADAEE5">
      <w:pPr>
        <w:spacing w:line="520" w:lineRule="exact"/>
        <w:ind w:firstLine="480" w:firstLineChars="200"/>
        <w:rPr>
          <w:color w:val="auto"/>
          <w:sz w:val="24"/>
          <w:szCs w:val="24"/>
          <w:highlight w:val="none"/>
        </w:rPr>
      </w:pPr>
      <w:r>
        <w:rPr>
          <w:rFonts w:hint="eastAsia"/>
          <w:color w:val="auto"/>
          <w:sz w:val="24"/>
          <w:szCs w:val="24"/>
          <w:highlight w:val="none"/>
        </w:rPr>
        <w:t>16.3在签订合同过程中，如发现成交单位以他人名义磋商或者以其他方式弄虚作假，骗取成交的，采购人有权取消其成交资格。</w:t>
      </w:r>
    </w:p>
    <w:p w14:paraId="0E0E6201">
      <w:pPr>
        <w:numPr>
          <w:ilvl w:val="0"/>
          <w:numId w:val="1"/>
        </w:numPr>
        <w:spacing w:line="520" w:lineRule="exact"/>
        <w:ind w:firstLine="482" w:firstLineChars="200"/>
        <w:outlineLvl w:val="0"/>
        <w:rPr>
          <w:b/>
          <w:bCs/>
          <w:color w:val="auto"/>
          <w:sz w:val="24"/>
          <w:szCs w:val="24"/>
          <w:highlight w:val="none"/>
        </w:rPr>
      </w:pPr>
      <w:bookmarkStart w:id="120" w:name="_Toc23774433"/>
      <w:bookmarkStart w:id="121" w:name="_Toc27882"/>
      <w:bookmarkStart w:id="122" w:name="_Toc270604610"/>
      <w:bookmarkStart w:id="123" w:name="_Toc269470338"/>
      <w:bookmarkStart w:id="124" w:name="_Toc25425"/>
      <w:r>
        <w:rPr>
          <w:rFonts w:hint="eastAsia"/>
          <w:b/>
          <w:bCs/>
          <w:color w:val="auto"/>
          <w:sz w:val="24"/>
          <w:szCs w:val="24"/>
          <w:highlight w:val="none"/>
        </w:rPr>
        <w:t>纪律和监督</w:t>
      </w:r>
      <w:bookmarkEnd w:id="120"/>
      <w:bookmarkEnd w:id="121"/>
      <w:bookmarkEnd w:id="122"/>
      <w:bookmarkEnd w:id="123"/>
      <w:bookmarkEnd w:id="124"/>
      <w:bookmarkStart w:id="125" w:name="_Toc455678149"/>
      <w:bookmarkStart w:id="126" w:name="_Toc31772"/>
      <w:bookmarkStart w:id="127" w:name="_Toc428276606"/>
      <w:bookmarkStart w:id="128" w:name="_Toc428351666"/>
      <w:bookmarkStart w:id="129" w:name="_Toc277149399"/>
      <w:bookmarkStart w:id="130" w:name="_Toc462934323"/>
      <w:bookmarkStart w:id="131" w:name="_Toc2717"/>
      <w:bookmarkStart w:id="132" w:name="_Toc463011302"/>
      <w:bookmarkStart w:id="133" w:name="_Toc270604611"/>
      <w:bookmarkStart w:id="134" w:name="_Toc13152"/>
      <w:bookmarkStart w:id="135" w:name="_Toc454788046"/>
      <w:bookmarkStart w:id="136" w:name="_Toc270604838"/>
      <w:bookmarkStart w:id="137" w:name="_Toc269470339"/>
    </w:p>
    <w:p w14:paraId="21F2FD5B">
      <w:pPr>
        <w:spacing w:line="520" w:lineRule="exact"/>
        <w:ind w:firstLine="482" w:firstLineChars="200"/>
        <w:outlineLvl w:val="0"/>
        <w:rPr>
          <w:b/>
          <w:bCs/>
          <w:color w:val="auto"/>
          <w:sz w:val="24"/>
          <w:szCs w:val="24"/>
          <w:highlight w:val="none"/>
        </w:rPr>
      </w:pPr>
      <w:r>
        <w:rPr>
          <w:rFonts w:hint="eastAsia"/>
          <w:b/>
          <w:bCs/>
          <w:color w:val="auto"/>
          <w:sz w:val="24"/>
          <w:szCs w:val="24"/>
          <w:highlight w:val="none"/>
        </w:rPr>
        <w:t>17.1对采购人的纪律要求</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1EA05E7F">
      <w:pPr>
        <w:spacing w:line="520" w:lineRule="exact"/>
        <w:ind w:firstLine="480" w:firstLineChars="200"/>
        <w:rPr>
          <w:color w:val="auto"/>
          <w:sz w:val="24"/>
          <w:szCs w:val="24"/>
          <w:highlight w:val="none"/>
        </w:rPr>
      </w:pPr>
      <w:r>
        <w:rPr>
          <w:rFonts w:hint="eastAsia"/>
          <w:color w:val="auto"/>
          <w:sz w:val="24"/>
          <w:szCs w:val="24"/>
          <w:highlight w:val="none"/>
        </w:rPr>
        <w:t>17.1.1采购人不得泄漏竞争性磋商中应当保密的情况和资料，不得与供应商串通损害国家利益、社会公共利益或者他人合法权益。</w:t>
      </w:r>
    </w:p>
    <w:p w14:paraId="4BF6585B">
      <w:pPr>
        <w:spacing w:line="520" w:lineRule="exact"/>
        <w:ind w:firstLine="482" w:firstLineChars="200"/>
        <w:rPr>
          <w:b/>
          <w:bCs/>
          <w:color w:val="auto"/>
          <w:sz w:val="24"/>
          <w:szCs w:val="24"/>
          <w:highlight w:val="none"/>
        </w:rPr>
      </w:pPr>
      <w:bookmarkStart w:id="138" w:name="_Toc428276607"/>
      <w:bookmarkStart w:id="139" w:name="_Toc428351667"/>
      <w:bookmarkStart w:id="140" w:name="_Toc462934324"/>
      <w:bookmarkStart w:id="141" w:name="_Toc24245"/>
      <w:bookmarkStart w:id="142" w:name="_Toc455678150"/>
      <w:bookmarkStart w:id="143" w:name="_Toc10123"/>
      <w:bookmarkStart w:id="144" w:name="_Toc454788047"/>
      <w:bookmarkStart w:id="145" w:name="_Toc277149400"/>
      <w:bookmarkStart w:id="146" w:name="_Toc270604612"/>
      <w:bookmarkStart w:id="147" w:name="_Toc463011303"/>
      <w:bookmarkStart w:id="148" w:name="_Toc1136"/>
      <w:bookmarkStart w:id="149" w:name="_Toc270604839"/>
      <w:bookmarkStart w:id="150" w:name="_Toc269470340"/>
      <w:r>
        <w:rPr>
          <w:rFonts w:hint="eastAsia"/>
          <w:b/>
          <w:bCs/>
          <w:color w:val="auto"/>
          <w:sz w:val="24"/>
          <w:szCs w:val="24"/>
          <w:highlight w:val="none"/>
        </w:rPr>
        <w:t>17.2对供应商的纪律要求</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697B1B6D">
      <w:pPr>
        <w:spacing w:line="520" w:lineRule="exact"/>
        <w:ind w:firstLine="480" w:firstLineChars="200"/>
        <w:rPr>
          <w:color w:val="auto"/>
          <w:sz w:val="24"/>
          <w:szCs w:val="24"/>
          <w:highlight w:val="none"/>
        </w:rPr>
      </w:pPr>
      <w:r>
        <w:rPr>
          <w:rFonts w:hint="eastAsia"/>
          <w:color w:val="auto"/>
          <w:sz w:val="24"/>
          <w:szCs w:val="24"/>
          <w:highlight w:val="none"/>
        </w:rPr>
        <w:t>17.2.1供应商不得相互串通或者与采购人串通，不得向采购人或者磋商小组成员行贿谋取成交，不得以他人名义磋商或者以其他方式弄虚作假骗取成交；供应商不得以任何方式干扰、影响磋商工作。</w:t>
      </w:r>
    </w:p>
    <w:p w14:paraId="63F4BA89">
      <w:pPr>
        <w:spacing w:line="520" w:lineRule="exact"/>
        <w:ind w:firstLine="482" w:firstLineChars="200"/>
        <w:rPr>
          <w:b/>
          <w:bCs/>
          <w:color w:val="auto"/>
          <w:sz w:val="24"/>
          <w:szCs w:val="24"/>
          <w:highlight w:val="none"/>
        </w:rPr>
      </w:pPr>
      <w:bookmarkStart w:id="151" w:name="_Toc269470341"/>
      <w:bookmarkStart w:id="152" w:name="_Toc23588"/>
      <w:bookmarkStart w:id="153" w:name="_Toc428351668"/>
      <w:bookmarkStart w:id="154" w:name="_Toc26184"/>
      <w:bookmarkStart w:id="155" w:name="_Toc454788048"/>
      <w:bookmarkStart w:id="156" w:name="_Toc463011304"/>
      <w:bookmarkStart w:id="157" w:name="_Toc270604613"/>
      <w:bookmarkStart w:id="158" w:name="_Toc270604840"/>
      <w:bookmarkStart w:id="159" w:name="_Toc462934325"/>
      <w:bookmarkStart w:id="160" w:name="_Toc15953"/>
      <w:bookmarkStart w:id="161" w:name="_Toc277149401"/>
      <w:bookmarkStart w:id="162" w:name="_Toc428276608"/>
      <w:bookmarkStart w:id="163" w:name="_Toc455678151"/>
      <w:r>
        <w:rPr>
          <w:rFonts w:hint="eastAsia"/>
          <w:b/>
          <w:bCs/>
          <w:color w:val="auto"/>
          <w:sz w:val="24"/>
          <w:szCs w:val="24"/>
          <w:highlight w:val="none"/>
        </w:rPr>
        <w:t>17.3对磋商小组成员的纪律要求</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58217A4B">
      <w:pPr>
        <w:spacing w:line="520" w:lineRule="exact"/>
        <w:ind w:firstLine="480" w:firstLineChars="200"/>
        <w:rPr>
          <w:color w:val="auto"/>
          <w:sz w:val="24"/>
          <w:szCs w:val="24"/>
          <w:highlight w:val="none"/>
        </w:rPr>
      </w:pPr>
      <w:r>
        <w:rPr>
          <w:rFonts w:hint="eastAsia"/>
          <w:color w:val="auto"/>
          <w:sz w:val="24"/>
          <w:szCs w:val="24"/>
          <w:highlight w:val="none"/>
        </w:rPr>
        <w:t>17.3.1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2B6F4EF2">
      <w:pPr>
        <w:spacing w:line="520" w:lineRule="exact"/>
        <w:ind w:firstLine="482" w:firstLineChars="200"/>
        <w:rPr>
          <w:b/>
          <w:bCs/>
          <w:color w:val="auto"/>
          <w:sz w:val="24"/>
          <w:szCs w:val="24"/>
          <w:highlight w:val="none"/>
        </w:rPr>
      </w:pPr>
      <w:bookmarkStart w:id="164" w:name="_Toc428276609"/>
      <w:bookmarkStart w:id="165" w:name="_Toc454788049"/>
      <w:bookmarkStart w:id="166" w:name="_Toc269470342"/>
      <w:bookmarkStart w:id="167" w:name="_Toc455678152"/>
      <w:bookmarkStart w:id="168" w:name="_Toc270604614"/>
      <w:bookmarkStart w:id="169" w:name="_Toc4673"/>
      <w:bookmarkStart w:id="170" w:name="_Toc428351669"/>
      <w:bookmarkStart w:id="171" w:name="_Toc8563"/>
      <w:bookmarkStart w:id="172" w:name="_Toc277149402"/>
      <w:bookmarkStart w:id="173" w:name="_Toc270604841"/>
      <w:bookmarkStart w:id="174" w:name="_Toc463011305"/>
      <w:bookmarkStart w:id="175" w:name="_Toc14202"/>
      <w:bookmarkStart w:id="176" w:name="_Toc462934326"/>
      <w:r>
        <w:rPr>
          <w:rFonts w:hint="eastAsia"/>
          <w:b/>
          <w:bCs/>
          <w:color w:val="auto"/>
          <w:sz w:val="24"/>
          <w:szCs w:val="24"/>
          <w:highlight w:val="none"/>
        </w:rPr>
        <w:t>17.4对与磋商活动有关的工作人员的纪律要求</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5AD0E61B">
      <w:pPr>
        <w:spacing w:line="520" w:lineRule="exact"/>
        <w:ind w:firstLine="480" w:firstLineChars="200"/>
        <w:rPr>
          <w:color w:val="auto"/>
          <w:sz w:val="24"/>
          <w:szCs w:val="24"/>
          <w:highlight w:val="none"/>
        </w:rPr>
      </w:pPr>
      <w:r>
        <w:rPr>
          <w:rFonts w:hint="eastAsia"/>
          <w:color w:val="auto"/>
          <w:sz w:val="24"/>
          <w:szCs w:val="24"/>
          <w:highlight w:val="none"/>
        </w:rPr>
        <w:t>17.4.1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EDAF400">
      <w:pPr>
        <w:spacing w:line="520" w:lineRule="exact"/>
        <w:ind w:firstLine="482" w:firstLineChars="200"/>
        <w:rPr>
          <w:b/>
          <w:bCs/>
          <w:color w:val="auto"/>
          <w:sz w:val="24"/>
          <w:szCs w:val="24"/>
          <w:highlight w:val="none"/>
        </w:rPr>
      </w:pPr>
      <w:bookmarkStart w:id="177" w:name="_Toc269470343"/>
      <w:bookmarkStart w:id="178" w:name="_Toc454788050"/>
      <w:bookmarkStart w:id="179" w:name="_Toc270604615"/>
      <w:bookmarkStart w:id="180" w:name="_Toc277149403"/>
      <w:bookmarkStart w:id="181" w:name="_Toc428351670"/>
      <w:bookmarkStart w:id="182" w:name="_Toc270604842"/>
      <w:bookmarkStart w:id="183" w:name="_Toc428276610"/>
      <w:bookmarkStart w:id="184" w:name="_Toc29089"/>
      <w:r>
        <w:rPr>
          <w:rFonts w:hint="eastAsia"/>
          <w:b/>
          <w:bCs/>
          <w:color w:val="auto"/>
          <w:sz w:val="24"/>
          <w:szCs w:val="24"/>
          <w:highlight w:val="none"/>
        </w:rPr>
        <w:t>17.5</w:t>
      </w:r>
      <w:bookmarkStart w:id="185" w:name="_Toc27033"/>
      <w:r>
        <w:rPr>
          <w:rFonts w:hint="eastAsia"/>
          <w:b/>
          <w:bCs/>
          <w:color w:val="auto"/>
          <w:sz w:val="24"/>
          <w:szCs w:val="24"/>
          <w:highlight w:val="none"/>
        </w:rPr>
        <w:t>询问、质疑和投诉</w:t>
      </w:r>
      <w:bookmarkEnd w:id="177"/>
      <w:bookmarkEnd w:id="178"/>
      <w:bookmarkEnd w:id="179"/>
      <w:bookmarkEnd w:id="180"/>
      <w:bookmarkEnd w:id="181"/>
      <w:bookmarkEnd w:id="182"/>
      <w:bookmarkEnd w:id="183"/>
      <w:bookmarkEnd w:id="184"/>
      <w:bookmarkEnd w:id="185"/>
    </w:p>
    <w:p w14:paraId="566E452A">
      <w:pPr>
        <w:spacing w:line="520" w:lineRule="exact"/>
        <w:ind w:firstLine="480" w:firstLineChars="200"/>
        <w:rPr>
          <w:color w:val="auto"/>
          <w:sz w:val="24"/>
          <w:szCs w:val="24"/>
          <w:highlight w:val="none"/>
        </w:rPr>
      </w:pPr>
      <w:bookmarkStart w:id="186" w:name="_Toc462934328"/>
      <w:bookmarkStart w:id="187" w:name="_Toc455678154"/>
      <w:bookmarkStart w:id="188" w:name="_Toc11785"/>
      <w:bookmarkStart w:id="189" w:name="_Toc17445"/>
      <w:bookmarkStart w:id="190" w:name="_Toc463011307"/>
      <w:r>
        <w:rPr>
          <w:rFonts w:hint="eastAsia"/>
          <w:color w:val="auto"/>
          <w:sz w:val="24"/>
          <w:szCs w:val="24"/>
          <w:highlight w:val="none"/>
        </w:rPr>
        <w:t>17.5.1供应商或有关当事人对磋商过程、成交结果有异议的，可以向采购人或者采购代理机构提出询问。</w:t>
      </w:r>
      <w:bookmarkEnd w:id="186"/>
      <w:bookmarkEnd w:id="187"/>
      <w:bookmarkEnd w:id="188"/>
      <w:bookmarkEnd w:id="189"/>
      <w:bookmarkEnd w:id="190"/>
    </w:p>
    <w:p w14:paraId="2C2783DB">
      <w:pPr>
        <w:spacing w:line="520" w:lineRule="exact"/>
        <w:ind w:firstLine="480" w:firstLineChars="200"/>
        <w:rPr>
          <w:color w:val="auto"/>
          <w:sz w:val="24"/>
          <w:szCs w:val="24"/>
          <w:highlight w:val="none"/>
        </w:rPr>
      </w:pPr>
      <w:bookmarkStart w:id="191" w:name="_Toc27421"/>
      <w:bookmarkStart w:id="192" w:name="_Toc455678155"/>
      <w:bookmarkStart w:id="193" w:name="_Toc463011308"/>
      <w:bookmarkStart w:id="194" w:name="_Toc24621"/>
      <w:bookmarkStart w:id="195" w:name="_Toc462934329"/>
      <w:r>
        <w:rPr>
          <w:rFonts w:hint="eastAsia"/>
          <w:color w:val="auto"/>
          <w:sz w:val="24"/>
          <w:szCs w:val="24"/>
          <w:highlight w:val="none"/>
        </w:rPr>
        <w:t>17.5.2采购人或者采购代理机构应当在三个工作日内对供应商依法提出的询问作出答复。</w:t>
      </w:r>
      <w:bookmarkEnd w:id="191"/>
      <w:bookmarkEnd w:id="192"/>
      <w:bookmarkEnd w:id="193"/>
      <w:bookmarkEnd w:id="194"/>
      <w:bookmarkEnd w:id="195"/>
    </w:p>
    <w:p w14:paraId="2F939672">
      <w:pPr>
        <w:spacing w:line="520" w:lineRule="exact"/>
        <w:ind w:firstLine="480" w:firstLineChars="200"/>
        <w:rPr>
          <w:color w:val="auto"/>
          <w:sz w:val="24"/>
          <w:szCs w:val="24"/>
          <w:highlight w:val="none"/>
        </w:rPr>
      </w:pPr>
      <w:bookmarkStart w:id="196" w:name="_Toc462934330"/>
      <w:bookmarkStart w:id="197" w:name="_Toc455678156"/>
      <w:bookmarkStart w:id="198" w:name="_Toc463011309"/>
      <w:bookmarkStart w:id="199" w:name="_Toc30298"/>
      <w:bookmarkStart w:id="200" w:name="_Toc28381"/>
      <w:r>
        <w:rPr>
          <w:rFonts w:hint="eastAsia"/>
          <w:color w:val="auto"/>
          <w:sz w:val="24"/>
          <w:szCs w:val="24"/>
          <w:highlight w:val="none"/>
        </w:rPr>
        <w:t>17.5.3供应商认为竞争性磋商文件、采购过程使自己的权益受到损害的，可以在知道或者应知其权益受到损害之日起七个工作日内，以书面形式向采购人提出质疑。</w:t>
      </w:r>
      <w:bookmarkEnd w:id="196"/>
      <w:bookmarkEnd w:id="197"/>
      <w:bookmarkEnd w:id="198"/>
      <w:bookmarkEnd w:id="199"/>
      <w:bookmarkEnd w:id="200"/>
    </w:p>
    <w:p w14:paraId="6CA9D144">
      <w:pPr>
        <w:spacing w:line="520" w:lineRule="exact"/>
        <w:ind w:firstLine="480" w:firstLineChars="200"/>
        <w:rPr>
          <w:color w:val="auto"/>
          <w:sz w:val="24"/>
          <w:szCs w:val="24"/>
          <w:highlight w:val="none"/>
        </w:rPr>
      </w:pPr>
      <w:bookmarkStart w:id="201" w:name="_Toc288"/>
      <w:bookmarkStart w:id="202" w:name="_Toc462934331"/>
      <w:bookmarkStart w:id="203" w:name="_Toc16614"/>
      <w:bookmarkStart w:id="204" w:name="_Toc463011310"/>
      <w:r>
        <w:rPr>
          <w:rFonts w:hint="eastAsia"/>
          <w:color w:val="auto"/>
          <w:sz w:val="24"/>
          <w:szCs w:val="24"/>
          <w:highlight w:val="none"/>
        </w:rPr>
        <w:t>17.5.4供应商认为成交结果使自己的权益受到损害的，可以在成交结果公告期限届满之日起七个工作日内，以书面形式向采购人提出质疑，接收质疑函联系部门、电话及地址详见竞争性磋商公告。</w:t>
      </w:r>
      <w:bookmarkEnd w:id="201"/>
      <w:bookmarkEnd w:id="202"/>
      <w:bookmarkEnd w:id="203"/>
      <w:bookmarkEnd w:id="204"/>
      <w:r>
        <w:rPr>
          <w:rFonts w:hint="eastAsia"/>
          <w:color w:val="auto"/>
          <w:sz w:val="24"/>
          <w:szCs w:val="24"/>
          <w:highlight w:val="none"/>
        </w:rPr>
        <w:t>在法定质疑期内供应商针对同一采购程序环节的质疑应当一次性提出。</w:t>
      </w:r>
    </w:p>
    <w:p w14:paraId="22743779">
      <w:pPr>
        <w:spacing w:line="520" w:lineRule="exact"/>
        <w:ind w:firstLine="480" w:firstLineChars="200"/>
        <w:rPr>
          <w:color w:val="auto"/>
          <w:sz w:val="24"/>
          <w:szCs w:val="24"/>
          <w:highlight w:val="none"/>
        </w:rPr>
      </w:pPr>
      <w:bookmarkStart w:id="205" w:name="_Toc462934332"/>
      <w:bookmarkStart w:id="206" w:name="_Toc463011311"/>
      <w:bookmarkStart w:id="207" w:name="_Toc5258"/>
      <w:bookmarkStart w:id="208" w:name="_Toc18478"/>
      <w:bookmarkStart w:id="209" w:name="_Toc455678157"/>
      <w:r>
        <w:rPr>
          <w:rFonts w:hint="eastAsia"/>
          <w:color w:val="auto"/>
          <w:sz w:val="24"/>
          <w:szCs w:val="24"/>
          <w:highlight w:val="none"/>
        </w:rPr>
        <w:t>17.5.5采购人或者采购代理机构应当在收到供应商的书面质疑后七个工作日内作出答复，并以书面形式通知质疑供应商和其他有关供应商，但答复的内容不得涉及商业秘密。</w:t>
      </w:r>
      <w:bookmarkEnd w:id="205"/>
      <w:bookmarkEnd w:id="206"/>
      <w:bookmarkEnd w:id="207"/>
      <w:bookmarkEnd w:id="208"/>
      <w:bookmarkEnd w:id="209"/>
    </w:p>
    <w:p w14:paraId="560441FC">
      <w:pPr>
        <w:spacing w:line="520" w:lineRule="exact"/>
        <w:ind w:firstLine="480" w:firstLineChars="200"/>
        <w:rPr>
          <w:color w:val="auto"/>
          <w:sz w:val="24"/>
          <w:szCs w:val="24"/>
          <w:highlight w:val="none"/>
        </w:rPr>
      </w:pPr>
      <w:bookmarkStart w:id="210" w:name="_Toc455678158"/>
      <w:bookmarkStart w:id="211" w:name="_Toc4898"/>
      <w:bookmarkStart w:id="212" w:name="_Toc21390"/>
      <w:bookmarkStart w:id="213" w:name="_Toc462934333"/>
      <w:bookmarkStart w:id="214" w:name="_Toc463011312"/>
      <w:r>
        <w:rPr>
          <w:rFonts w:hint="eastAsia"/>
          <w:color w:val="auto"/>
          <w:sz w:val="24"/>
          <w:szCs w:val="24"/>
          <w:highlight w:val="none"/>
        </w:rPr>
        <w:t>17.5.6质疑单位对采购人、采购代理机构的答复不满意或者采购人、采购代理机构未在规定的时间内作出答复的，可以在答复期满后十五个工作日内向同级政府采购监督管理部门投诉。</w:t>
      </w:r>
      <w:bookmarkEnd w:id="210"/>
      <w:bookmarkEnd w:id="211"/>
      <w:bookmarkEnd w:id="212"/>
      <w:bookmarkEnd w:id="213"/>
      <w:bookmarkEnd w:id="214"/>
    </w:p>
    <w:p w14:paraId="69652569">
      <w:pPr>
        <w:spacing w:line="520" w:lineRule="exact"/>
        <w:ind w:firstLine="480" w:firstLineChars="200"/>
        <w:rPr>
          <w:color w:val="auto"/>
          <w:sz w:val="24"/>
          <w:szCs w:val="24"/>
          <w:highlight w:val="none"/>
        </w:rPr>
      </w:pPr>
      <w:bookmarkStart w:id="215" w:name="_Toc462934334"/>
      <w:bookmarkStart w:id="216" w:name="_Toc455678159"/>
      <w:bookmarkStart w:id="217" w:name="_Toc17682"/>
      <w:bookmarkStart w:id="218" w:name="_Toc463011313"/>
      <w:bookmarkStart w:id="219" w:name="_Toc11631"/>
      <w:r>
        <w:rPr>
          <w:rFonts w:hint="eastAsia"/>
          <w:color w:val="auto"/>
          <w:sz w:val="24"/>
          <w:szCs w:val="24"/>
          <w:highlight w:val="none"/>
        </w:rPr>
        <w:t>17.5.7供应商质疑、投诉应当有明确的请求和必要的证明材料。供应商投诉的事项不得超出已质疑事项的范围。</w:t>
      </w:r>
      <w:bookmarkEnd w:id="215"/>
      <w:bookmarkEnd w:id="216"/>
      <w:bookmarkEnd w:id="217"/>
      <w:bookmarkEnd w:id="218"/>
      <w:bookmarkEnd w:id="219"/>
    </w:p>
    <w:p w14:paraId="569DB8CA">
      <w:pPr>
        <w:spacing w:line="520" w:lineRule="exact"/>
        <w:ind w:firstLine="482" w:firstLineChars="200"/>
        <w:rPr>
          <w:b/>
          <w:bCs/>
          <w:color w:val="auto"/>
          <w:sz w:val="24"/>
          <w:szCs w:val="24"/>
          <w:highlight w:val="none"/>
        </w:rPr>
      </w:pPr>
      <w:bookmarkStart w:id="220" w:name="_Toc5729"/>
      <w:bookmarkStart w:id="221" w:name="_Toc23774435"/>
      <w:r>
        <w:rPr>
          <w:rFonts w:hint="eastAsia"/>
          <w:b/>
          <w:bCs/>
          <w:color w:val="auto"/>
          <w:sz w:val="24"/>
          <w:szCs w:val="24"/>
          <w:highlight w:val="none"/>
        </w:rPr>
        <w:t>18、需要补充的其他内容</w:t>
      </w:r>
      <w:bookmarkEnd w:id="220"/>
      <w:bookmarkEnd w:id="221"/>
    </w:p>
    <w:p w14:paraId="4A2EDEF4">
      <w:pPr>
        <w:spacing w:line="360" w:lineRule="auto"/>
        <w:ind w:firstLine="410" w:firstLineChars="171"/>
        <w:rPr>
          <w:rFonts w:hint="eastAsia" w:cs="Times New Roman"/>
          <w:color w:val="auto"/>
          <w:sz w:val="24"/>
          <w:highlight w:val="none"/>
          <w:lang w:val="en-US" w:bidi="ar"/>
        </w:rPr>
        <w:sectPr>
          <w:headerReference r:id="rId3" w:type="default"/>
          <w:footerReference r:id="rId4" w:type="default"/>
          <w:pgSz w:w="12240" w:h="15840"/>
          <w:pgMar w:top="1440" w:right="1440" w:bottom="1440" w:left="1440" w:header="851" w:footer="737" w:gutter="0"/>
          <w:pgNumType w:start="1"/>
          <w:cols w:space="720" w:num="1"/>
        </w:sectPr>
      </w:pPr>
      <w:r>
        <w:rPr>
          <w:rFonts w:hint="eastAsia"/>
          <w:color w:val="auto"/>
          <w:sz w:val="24"/>
          <w:szCs w:val="24"/>
          <w:highlight w:val="none"/>
        </w:rPr>
        <w:t>需要补充的其他内容：见供应商须知前附表。</w:t>
      </w:r>
    </w:p>
    <w:p w14:paraId="530BA390">
      <w:pPr>
        <w:widowControl/>
        <w:tabs>
          <w:tab w:val="left" w:pos="1115"/>
        </w:tabs>
        <w:spacing w:line="380" w:lineRule="exact"/>
        <w:ind w:firstLine="482"/>
        <w:jc w:val="center"/>
        <w:outlineLvl w:val="1"/>
        <w:rPr>
          <w:rFonts w:hint="eastAsia"/>
          <w:color w:val="auto"/>
          <w:sz w:val="32"/>
          <w:szCs w:val="40"/>
          <w:highlight w:val="none"/>
        </w:rPr>
      </w:pPr>
      <w:bookmarkStart w:id="222" w:name="_bookmark79"/>
      <w:bookmarkEnd w:id="222"/>
      <w:bookmarkStart w:id="223" w:name="_bookmark78"/>
      <w:bookmarkEnd w:id="223"/>
      <w:bookmarkStart w:id="224" w:name="_bookmark2"/>
      <w:bookmarkEnd w:id="224"/>
      <w:r>
        <w:rPr>
          <w:rFonts w:hint="eastAsia"/>
          <w:b/>
          <w:color w:val="auto"/>
          <w:sz w:val="32"/>
          <w:szCs w:val="44"/>
          <w:highlight w:val="none"/>
        </w:rPr>
        <w:t>第三章</w:t>
      </w:r>
      <w:r>
        <w:rPr>
          <w:rFonts w:hint="eastAsia"/>
          <w:b/>
          <w:color w:val="auto"/>
          <w:sz w:val="32"/>
          <w:szCs w:val="44"/>
          <w:highlight w:val="none"/>
        </w:rPr>
        <w:tab/>
      </w:r>
      <w:r>
        <w:rPr>
          <w:rFonts w:hint="eastAsia"/>
          <w:b/>
          <w:color w:val="auto"/>
          <w:sz w:val="32"/>
          <w:szCs w:val="44"/>
          <w:highlight w:val="none"/>
          <w:lang w:val="en-US"/>
        </w:rPr>
        <w:t>采购内容及技术参数</w:t>
      </w:r>
      <w:bookmarkStart w:id="225" w:name="1._适用性"/>
      <w:bookmarkEnd w:id="225"/>
      <w:bookmarkStart w:id="226" w:name="2._定义"/>
      <w:bookmarkEnd w:id="226"/>
    </w:p>
    <w:tbl>
      <w:tblPr>
        <w:tblStyle w:val="15"/>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816"/>
        <w:gridCol w:w="2279"/>
        <w:gridCol w:w="897"/>
        <w:gridCol w:w="618"/>
        <w:gridCol w:w="931"/>
        <w:gridCol w:w="1089"/>
        <w:gridCol w:w="1487"/>
      </w:tblGrid>
      <w:tr w14:paraId="4988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87" w:type="dxa"/>
            <w:gridSpan w:val="8"/>
            <w:tcBorders>
              <w:top w:val="nil"/>
              <w:left w:val="nil"/>
              <w:bottom w:val="nil"/>
              <w:right w:val="nil"/>
            </w:tcBorders>
            <w:shd w:val="clear" w:color="auto" w:fill="auto"/>
            <w:noWrap/>
            <w:vAlign w:val="center"/>
          </w:tcPr>
          <w:p w14:paraId="3EDA5B4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2025年卢氏县朱阳关镇河南村、鹳河村香菇烘干加工联建项目</w:t>
            </w:r>
          </w:p>
        </w:tc>
      </w:tr>
      <w:tr w14:paraId="4F90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72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(一)烘干车间 （面积：508M²，净层高4m ）</w:t>
            </w:r>
          </w:p>
        </w:tc>
      </w:tr>
      <w:tr w14:paraId="414B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98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1-1主体部分</w:t>
            </w:r>
          </w:p>
        </w:tc>
      </w:tr>
      <w:tr w14:paraId="3DDE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78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F49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B6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94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24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25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A2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3C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08A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E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D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不老泡夹心板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1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50mm厚，板皮双面彩钢，厚0.376mm，密度25KG/M3，B2级阻燃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4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9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BD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0DFD">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FEE7">
            <w:pPr>
              <w:jc w:val="center"/>
              <w:rPr>
                <w:rFonts w:hint="eastAsia" w:ascii="宋体" w:hAnsi="宋体" w:eastAsia="宋体" w:cs="宋体"/>
                <w:i w:val="0"/>
                <w:iCs w:val="0"/>
                <w:color w:val="000000"/>
                <w:sz w:val="16"/>
                <w:szCs w:val="16"/>
                <w:u w:val="none"/>
              </w:rPr>
            </w:pPr>
          </w:p>
        </w:tc>
      </w:tr>
      <w:tr w14:paraId="1170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C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8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5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宽0.9m X 高2m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4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A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D7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409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EEEA">
            <w:pPr>
              <w:jc w:val="center"/>
              <w:rPr>
                <w:rFonts w:hint="eastAsia" w:ascii="宋体" w:hAnsi="宋体" w:eastAsia="宋体" w:cs="宋体"/>
                <w:i w:val="0"/>
                <w:iCs w:val="0"/>
                <w:color w:val="000000"/>
                <w:sz w:val="16"/>
                <w:szCs w:val="16"/>
                <w:u w:val="none"/>
              </w:rPr>
            </w:pPr>
          </w:p>
        </w:tc>
      </w:tr>
      <w:tr w14:paraId="6F83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C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2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双开门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F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宽1.8m X 高2.2m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9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4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22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72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1B80">
            <w:pPr>
              <w:jc w:val="center"/>
              <w:rPr>
                <w:rFonts w:hint="eastAsia" w:ascii="宋体" w:hAnsi="宋体" w:eastAsia="宋体" w:cs="宋体"/>
                <w:i w:val="0"/>
                <w:iCs w:val="0"/>
                <w:color w:val="000000"/>
                <w:sz w:val="16"/>
                <w:szCs w:val="16"/>
                <w:u w:val="none"/>
              </w:rPr>
            </w:pPr>
          </w:p>
        </w:tc>
      </w:tr>
      <w:tr w14:paraId="77E5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B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F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8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宽2.5m X 高3m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8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1CF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6D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7178">
            <w:pPr>
              <w:jc w:val="center"/>
              <w:rPr>
                <w:rFonts w:hint="eastAsia" w:ascii="宋体" w:hAnsi="宋体" w:eastAsia="宋体" w:cs="宋体"/>
                <w:i w:val="0"/>
                <w:iCs w:val="0"/>
                <w:color w:val="000000"/>
                <w:sz w:val="16"/>
                <w:szCs w:val="16"/>
                <w:u w:val="none"/>
              </w:rPr>
            </w:pPr>
          </w:p>
        </w:tc>
      </w:tr>
      <w:tr w14:paraId="26A9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A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B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角铝</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0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宽30mm*高30mm*厚1.6mm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8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0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4AC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66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29E3">
            <w:pPr>
              <w:jc w:val="center"/>
              <w:rPr>
                <w:rFonts w:hint="eastAsia" w:ascii="宋体" w:hAnsi="宋体" w:eastAsia="宋体" w:cs="宋体"/>
                <w:i w:val="0"/>
                <w:iCs w:val="0"/>
                <w:color w:val="000000"/>
                <w:sz w:val="16"/>
                <w:szCs w:val="16"/>
                <w:u w:val="none"/>
              </w:rPr>
            </w:pPr>
          </w:p>
        </w:tc>
      </w:tr>
      <w:tr w14:paraId="23A0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9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C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铝材马槽</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F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宽50mm*高25mm*厚1.0mm，0.55kg/m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1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1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12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B94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C487">
            <w:pPr>
              <w:jc w:val="center"/>
              <w:rPr>
                <w:rFonts w:hint="eastAsia" w:ascii="宋体" w:hAnsi="宋体" w:eastAsia="宋体" w:cs="宋体"/>
                <w:i w:val="0"/>
                <w:iCs w:val="0"/>
                <w:color w:val="000000"/>
                <w:sz w:val="16"/>
                <w:szCs w:val="16"/>
                <w:u w:val="none"/>
              </w:rPr>
            </w:pPr>
          </w:p>
        </w:tc>
      </w:tr>
      <w:tr w14:paraId="77B1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3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18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铝材T型铝</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9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宽50mm*高100mm*厚1.7mm，0.84kg/m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D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7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88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2F9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D0DD">
            <w:pPr>
              <w:jc w:val="center"/>
              <w:rPr>
                <w:rFonts w:hint="eastAsia" w:ascii="宋体" w:hAnsi="宋体" w:eastAsia="宋体" w:cs="宋体"/>
                <w:i w:val="0"/>
                <w:iCs w:val="0"/>
                <w:color w:val="000000"/>
                <w:sz w:val="16"/>
                <w:szCs w:val="16"/>
                <w:u w:val="none"/>
              </w:rPr>
            </w:pPr>
          </w:p>
        </w:tc>
      </w:tr>
      <w:tr w14:paraId="0138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6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9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自攻螺丝</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4C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5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F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C79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071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CB0B">
            <w:pPr>
              <w:jc w:val="center"/>
              <w:rPr>
                <w:rFonts w:hint="eastAsia" w:ascii="宋体" w:hAnsi="宋体" w:eastAsia="宋体" w:cs="宋体"/>
                <w:i w:val="0"/>
                <w:iCs w:val="0"/>
                <w:color w:val="000000"/>
                <w:sz w:val="16"/>
                <w:szCs w:val="16"/>
                <w:u w:val="none"/>
              </w:rPr>
            </w:pPr>
          </w:p>
        </w:tc>
      </w:tr>
      <w:tr w14:paraId="58A8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A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34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拉铆钉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C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M4*19mm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C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8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03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CD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33BB">
            <w:pPr>
              <w:jc w:val="center"/>
              <w:rPr>
                <w:rFonts w:hint="eastAsia" w:ascii="宋体" w:hAnsi="宋体" w:eastAsia="宋体" w:cs="宋体"/>
                <w:i w:val="0"/>
                <w:iCs w:val="0"/>
                <w:color w:val="000000"/>
                <w:sz w:val="16"/>
                <w:szCs w:val="16"/>
                <w:u w:val="none"/>
              </w:rPr>
            </w:pPr>
          </w:p>
        </w:tc>
      </w:tr>
      <w:tr w14:paraId="0DDF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E5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拉铆钉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E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M5*19mm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3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D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FC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27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5B67">
            <w:pPr>
              <w:jc w:val="center"/>
              <w:rPr>
                <w:rFonts w:hint="eastAsia" w:ascii="宋体" w:hAnsi="宋体" w:eastAsia="宋体" w:cs="宋体"/>
                <w:i w:val="0"/>
                <w:iCs w:val="0"/>
                <w:color w:val="000000"/>
                <w:sz w:val="16"/>
                <w:szCs w:val="16"/>
                <w:u w:val="none"/>
              </w:rPr>
            </w:pPr>
          </w:p>
        </w:tc>
      </w:tr>
      <w:tr w14:paraId="1811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2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EE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B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M8mm，0.8kg/m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0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C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D1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8F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31AC">
            <w:pPr>
              <w:jc w:val="center"/>
              <w:rPr>
                <w:rFonts w:hint="eastAsia" w:ascii="宋体" w:hAnsi="宋体" w:eastAsia="宋体" w:cs="宋体"/>
                <w:i w:val="0"/>
                <w:iCs w:val="0"/>
                <w:color w:val="000000"/>
                <w:sz w:val="16"/>
                <w:szCs w:val="16"/>
                <w:u w:val="none"/>
              </w:rPr>
            </w:pPr>
          </w:p>
        </w:tc>
      </w:tr>
      <w:tr w14:paraId="1F7F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8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5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C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8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8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5C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18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CEB2">
            <w:pPr>
              <w:jc w:val="center"/>
              <w:rPr>
                <w:rFonts w:hint="eastAsia" w:ascii="宋体" w:hAnsi="宋体" w:eastAsia="宋体" w:cs="宋体"/>
                <w:i w:val="0"/>
                <w:iCs w:val="0"/>
                <w:color w:val="000000"/>
                <w:sz w:val="16"/>
                <w:szCs w:val="16"/>
                <w:u w:val="none"/>
              </w:rPr>
            </w:pPr>
          </w:p>
        </w:tc>
      </w:tr>
      <w:tr w14:paraId="7EEF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C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F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6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M8X30mm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A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B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01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79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A0F8">
            <w:pPr>
              <w:jc w:val="center"/>
              <w:rPr>
                <w:rFonts w:hint="eastAsia" w:ascii="宋体" w:hAnsi="宋体" w:eastAsia="宋体" w:cs="宋体"/>
                <w:i w:val="0"/>
                <w:iCs w:val="0"/>
                <w:color w:val="000000"/>
                <w:sz w:val="16"/>
                <w:szCs w:val="16"/>
                <w:u w:val="none"/>
              </w:rPr>
            </w:pPr>
          </w:p>
        </w:tc>
      </w:tr>
      <w:tr w14:paraId="1517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E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C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1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M8X80mm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5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6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8D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6B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DD77">
            <w:pPr>
              <w:jc w:val="center"/>
              <w:rPr>
                <w:rFonts w:hint="eastAsia" w:ascii="宋体" w:hAnsi="宋体" w:eastAsia="宋体" w:cs="宋体"/>
                <w:i w:val="0"/>
                <w:iCs w:val="0"/>
                <w:color w:val="000000"/>
                <w:sz w:val="16"/>
                <w:szCs w:val="16"/>
                <w:u w:val="none"/>
              </w:rPr>
            </w:pPr>
          </w:p>
        </w:tc>
      </w:tr>
      <w:tr w14:paraId="6908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4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6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3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4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9C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3DD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6DAA">
            <w:pPr>
              <w:jc w:val="center"/>
              <w:rPr>
                <w:rFonts w:hint="eastAsia" w:ascii="宋体" w:hAnsi="宋体" w:eastAsia="宋体" w:cs="宋体"/>
                <w:i w:val="0"/>
                <w:iCs w:val="0"/>
                <w:color w:val="000000"/>
                <w:sz w:val="16"/>
                <w:szCs w:val="16"/>
                <w:u w:val="none"/>
              </w:rPr>
            </w:pPr>
          </w:p>
        </w:tc>
      </w:tr>
      <w:tr w14:paraId="34BE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A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44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E9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 环保类型 300ml/支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8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A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EA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B8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1529">
            <w:pPr>
              <w:jc w:val="center"/>
              <w:rPr>
                <w:rFonts w:hint="eastAsia" w:ascii="宋体" w:hAnsi="宋体" w:eastAsia="宋体" w:cs="宋体"/>
                <w:i w:val="0"/>
                <w:iCs w:val="0"/>
                <w:color w:val="000000"/>
                <w:sz w:val="16"/>
                <w:szCs w:val="16"/>
                <w:u w:val="none"/>
              </w:rPr>
            </w:pPr>
          </w:p>
        </w:tc>
      </w:tr>
      <w:tr w14:paraId="643E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4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0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发泡胶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F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密度40KG/M3，环保类型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7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0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0E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37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469E">
            <w:pPr>
              <w:jc w:val="center"/>
              <w:rPr>
                <w:rFonts w:hint="eastAsia" w:ascii="宋体" w:hAnsi="宋体" w:eastAsia="宋体" w:cs="宋体"/>
                <w:i w:val="0"/>
                <w:iCs w:val="0"/>
                <w:color w:val="000000"/>
                <w:sz w:val="16"/>
                <w:szCs w:val="16"/>
                <w:u w:val="none"/>
              </w:rPr>
            </w:pPr>
          </w:p>
        </w:tc>
      </w:tr>
      <w:tr w14:paraId="09B1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F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DC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铝材门料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F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宽50mm，厚度1.15mm，0.61kg/m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7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6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BB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AE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F925">
            <w:pPr>
              <w:jc w:val="center"/>
              <w:rPr>
                <w:rFonts w:hint="eastAsia" w:ascii="宋体" w:hAnsi="宋体" w:eastAsia="宋体" w:cs="宋体"/>
                <w:i w:val="0"/>
                <w:iCs w:val="0"/>
                <w:color w:val="000000"/>
                <w:sz w:val="16"/>
                <w:szCs w:val="16"/>
                <w:u w:val="none"/>
              </w:rPr>
            </w:pPr>
          </w:p>
        </w:tc>
      </w:tr>
      <w:tr w14:paraId="7B35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0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3E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门底料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5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宽50mm，厚度1.15mm，0.61kg/m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0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2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32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3C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B303">
            <w:pPr>
              <w:jc w:val="center"/>
              <w:rPr>
                <w:rFonts w:hint="eastAsia" w:ascii="宋体" w:hAnsi="宋体" w:eastAsia="宋体" w:cs="宋体"/>
                <w:i w:val="0"/>
                <w:iCs w:val="0"/>
                <w:color w:val="000000"/>
                <w:sz w:val="16"/>
                <w:szCs w:val="16"/>
                <w:u w:val="none"/>
              </w:rPr>
            </w:pPr>
          </w:p>
        </w:tc>
      </w:tr>
      <w:tr w14:paraId="26A7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D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B6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门胶条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D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7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7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C6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067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D7F7">
            <w:pPr>
              <w:jc w:val="center"/>
              <w:rPr>
                <w:rFonts w:hint="eastAsia" w:ascii="宋体" w:hAnsi="宋体" w:eastAsia="宋体" w:cs="宋体"/>
                <w:i w:val="0"/>
                <w:iCs w:val="0"/>
                <w:color w:val="000000"/>
                <w:sz w:val="16"/>
                <w:szCs w:val="16"/>
                <w:u w:val="none"/>
              </w:rPr>
            </w:pPr>
          </w:p>
        </w:tc>
      </w:tr>
      <w:tr w14:paraId="1222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5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D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扫地条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1B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0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D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4E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04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A730">
            <w:pPr>
              <w:jc w:val="center"/>
              <w:rPr>
                <w:rFonts w:hint="eastAsia" w:ascii="宋体" w:hAnsi="宋体" w:eastAsia="宋体" w:cs="宋体"/>
                <w:i w:val="0"/>
                <w:iCs w:val="0"/>
                <w:color w:val="000000"/>
                <w:sz w:val="16"/>
                <w:szCs w:val="16"/>
                <w:u w:val="none"/>
              </w:rPr>
            </w:pPr>
          </w:p>
        </w:tc>
      </w:tr>
      <w:tr w14:paraId="481E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4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04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A8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不锈钢执手锁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D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0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88A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F8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9F74">
            <w:pPr>
              <w:jc w:val="center"/>
              <w:rPr>
                <w:rFonts w:hint="eastAsia" w:ascii="宋体" w:hAnsi="宋体" w:eastAsia="宋体" w:cs="宋体"/>
                <w:i w:val="0"/>
                <w:iCs w:val="0"/>
                <w:color w:val="000000"/>
                <w:sz w:val="16"/>
                <w:szCs w:val="16"/>
                <w:u w:val="none"/>
              </w:rPr>
            </w:pPr>
          </w:p>
        </w:tc>
      </w:tr>
      <w:tr w14:paraId="0AF6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E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2B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5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6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9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4B0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0F6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0A3F">
            <w:pPr>
              <w:jc w:val="center"/>
              <w:rPr>
                <w:rFonts w:hint="eastAsia" w:ascii="宋体" w:hAnsi="宋体" w:eastAsia="宋体" w:cs="宋体"/>
                <w:i w:val="0"/>
                <w:iCs w:val="0"/>
                <w:color w:val="000000"/>
                <w:sz w:val="16"/>
                <w:szCs w:val="16"/>
                <w:u w:val="none"/>
              </w:rPr>
            </w:pPr>
          </w:p>
        </w:tc>
      </w:tr>
      <w:tr w14:paraId="74D4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B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3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不锈钢合页</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5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8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0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705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696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809B">
            <w:pPr>
              <w:jc w:val="center"/>
              <w:rPr>
                <w:rFonts w:hint="eastAsia" w:ascii="宋体" w:hAnsi="宋体" w:eastAsia="宋体" w:cs="宋体"/>
                <w:i w:val="0"/>
                <w:iCs w:val="0"/>
                <w:color w:val="000000"/>
                <w:sz w:val="16"/>
                <w:szCs w:val="16"/>
                <w:u w:val="none"/>
              </w:rPr>
            </w:pPr>
          </w:p>
        </w:tc>
      </w:tr>
      <w:tr w14:paraId="6F96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F656">
            <w:pPr>
              <w:jc w:val="center"/>
              <w:rPr>
                <w:rFonts w:hint="eastAsia" w:ascii="宋体" w:hAnsi="宋体" w:eastAsia="宋体" w:cs="宋体"/>
                <w:i w:val="0"/>
                <w:iCs w:val="0"/>
                <w:color w:val="000000"/>
                <w:sz w:val="16"/>
                <w:szCs w:val="16"/>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6E3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小计A1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7B73">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4442">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3058">
            <w:pPr>
              <w:jc w:val="center"/>
              <w:rPr>
                <w:rFonts w:hint="eastAsia" w:ascii="宋体" w:hAnsi="宋体" w:eastAsia="宋体" w:cs="宋体"/>
                <w:i w:val="0"/>
                <w:iCs w:val="0"/>
                <w:color w:val="000000"/>
                <w:sz w:val="16"/>
                <w:szCs w:val="16"/>
                <w:u w:val="none"/>
              </w:rPr>
            </w:pPr>
          </w:p>
        </w:tc>
      </w:tr>
      <w:tr w14:paraId="5AA0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0D2D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1-2 照明电部分</w:t>
            </w:r>
          </w:p>
        </w:tc>
      </w:tr>
      <w:tr w14:paraId="3484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0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ABD7">
            <w:pPr>
              <w:keepNext w:val="0"/>
              <w:keepLines w:val="0"/>
              <w:widowControl/>
              <w:suppressLineNumbers w:val="0"/>
              <w:jc w:val="left"/>
              <w:textAlignment w:val="center"/>
              <w:rPr>
                <w:rFonts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总配电箱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0455">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总配电箱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7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B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9C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5C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775B">
            <w:pPr>
              <w:jc w:val="center"/>
              <w:rPr>
                <w:rFonts w:hint="eastAsia" w:ascii="宋体" w:hAnsi="宋体" w:eastAsia="宋体" w:cs="宋体"/>
                <w:i w:val="0"/>
                <w:iCs w:val="0"/>
                <w:color w:val="000000"/>
                <w:sz w:val="18"/>
                <w:szCs w:val="18"/>
                <w:u w:val="none"/>
              </w:rPr>
            </w:pPr>
          </w:p>
        </w:tc>
      </w:tr>
      <w:tr w14:paraId="488D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2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7D78">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吸顶节能LED灯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6AFC">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1X40W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3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D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A7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B0F4">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ACB9">
            <w:pPr>
              <w:jc w:val="center"/>
              <w:rPr>
                <w:rFonts w:hint="default" w:ascii="微软繁宋体" w:hAnsi="微软繁宋体" w:eastAsia="微软繁宋体" w:cs="微软繁宋体"/>
                <w:i w:val="0"/>
                <w:iCs w:val="0"/>
                <w:color w:val="000000"/>
                <w:sz w:val="18"/>
                <w:szCs w:val="18"/>
                <w:u w:val="none"/>
              </w:rPr>
            </w:pPr>
          </w:p>
        </w:tc>
      </w:tr>
      <w:tr w14:paraId="458A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7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3156">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照明开关（双联）</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27EE">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220V  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2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2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ECE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F082">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10E4">
            <w:pPr>
              <w:jc w:val="center"/>
              <w:rPr>
                <w:rFonts w:hint="default" w:ascii="微软繁宋体" w:hAnsi="微软繁宋体" w:eastAsia="微软繁宋体" w:cs="微软繁宋体"/>
                <w:i w:val="0"/>
                <w:iCs w:val="0"/>
                <w:color w:val="000000"/>
                <w:sz w:val="18"/>
                <w:szCs w:val="18"/>
                <w:u w:val="none"/>
              </w:rPr>
            </w:pPr>
          </w:p>
        </w:tc>
      </w:tr>
      <w:tr w14:paraId="77DA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8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9589">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照明开关（单联）</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CF0D">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220V  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B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B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8F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5EFC">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6A1C">
            <w:pPr>
              <w:jc w:val="center"/>
              <w:rPr>
                <w:rFonts w:hint="default" w:ascii="微软繁宋体" w:hAnsi="微软繁宋体" w:eastAsia="微软繁宋体" w:cs="微软繁宋体"/>
                <w:i w:val="0"/>
                <w:iCs w:val="0"/>
                <w:color w:val="000000"/>
                <w:sz w:val="18"/>
                <w:szCs w:val="18"/>
                <w:u w:val="none"/>
              </w:rPr>
            </w:pPr>
          </w:p>
        </w:tc>
      </w:tr>
      <w:tr w14:paraId="415D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3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71D1">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单相五孔插座(加底盒)</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5742">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220V  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4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36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4EEE">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F691">
            <w:pPr>
              <w:jc w:val="center"/>
              <w:rPr>
                <w:rFonts w:hint="default" w:ascii="微软繁宋体" w:hAnsi="微软繁宋体" w:eastAsia="微软繁宋体" w:cs="微软繁宋体"/>
                <w:i w:val="0"/>
                <w:iCs w:val="0"/>
                <w:color w:val="000000"/>
                <w:sz w:val="18"/>
                <w:szCs w:val="18"/>
                <w:u w:val="none"/>
              </w:rPr>
            </w:pPr>
          </w:p>
        </w:tc>
      </w:tr>
      <w:tr w14:paraId="3374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8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02B">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铜芯聚氯乙烯绝缘电线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42D5">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Style w:val="19"/>
                <w:sz w:val="20"/>
                <w:szCs w:val="20"/>
                <w:lang w:val="en-US" w:eastAsia="zh-CN" w:bidi="ar"/>
              </w:rPr>
              <w:t>BVR-1X1.5mm</w:t>
            </w:r>
            <w:r>
              <w:rPr>
                <w:rStyle w:val="20"/>
                <w:sz w:val="20"/>
                <w:szCs w:val="2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2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E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57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9DA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D2BA">
            <w:pPr>
              <w:jc w:val="center"/>
              <w:rPr>
                <w:rFonts w:hint="eastAsia" w:ascii="宋体" w:hAnsi="宋体" w:eastAsia="宋体" w:cs="宋体"/>
                <w:i w:val="0"/>
                <w:iCs w:val="0"/>
                <w:color w:val="000000"/>
                <w:sz w:val="18"/>
                <w:szCs w:val="18"/>
                <w:u w:val="none"/>
              </w:rPr>
            </w:pPr>
          </w:p>
        </w:tc>
      </w:tr>
      <w:tr w14:paraId="461D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6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2F0C">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铜芯聚氯乙烯绝缘电线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E78C">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Style w:val="19"/>
                <w:sz w:val="20"/>
                <w:szCs w:val="20"/>
                <w:lang w:val="en-US" w:eastAsia="zh-CN" w:bidi="ar"/>
              </w:rPr>
              <w:t>BVR-1X2.5mm</w:t>
            </w:r>
            <w:r>
              <w:rPr>
                <w:rStyle w:val="20"/>
                <w:sz w:val="20"/>
                <w:szCs w:val="2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0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0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460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BF2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547E">
            <w:pPr>
              <w:jc w:val="center"/>
              <w:rPr>
                <w:rFonts w:hint="eastAsia" w:ascii="宋体" w:hAnsi="宋体" w:eastAsia="宋体" w:cs="宋体"/>
                <w:i w:val="0"/>
                <w:iCs w:val="0"/>
                <w:color w:val="000000"/>
                <w:sz w:val="18"/>
                <w:szCs w:val="18"/>
                <w:u w:val="none"/>
              </w:rPr>
            </w:pPr>
          </w:p>
        </w:tc>
      </w:tr>
      <w:tr w14:paraId="302B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D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30B9">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铜芯聚氯乙烯绝缘电线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2ED">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Style w:val="19"/>
                <w:sz w:val="20"/>
                <w:szCs w:val="20"/>
                <w:lang w:val="en-US" w:eastAsia="zh-CN" w:bidi="ar"/>
              </w:rPr>
              <w:t>BVR-1X4mm</w:t>
            </w:r>
            <w:r>
              <w:rPr>
                <w:rStyle w:val="20"/>
                <w:sz w:val="20"/>
                <w:szCs w:val="2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B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D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7C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27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B9BB">
            <w:pPr>
              <w:jc w:val="center"/>
              <w:rPr>
                <w:rFonts w:hint="eastAsia" w:ascii="宋体" w:hAnsi="宋体" w:eastAsia="宋体" w:cs="宋体"/>
                <w:i w:val="0"/>
                <w:iCs w:val="0"/>
                <w:color w:val="000000"/>
                <w:sz w:val="18"/>
                <w:szCs w:val="18"/>
                <w:u w:val="none"/>
              </w:rPr>
            </w:pPr>
          </w:p>
        </w:tc>
      </w:tr>
      <w:tr w14:paraId="77B9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E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3FAC">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铜芯聚氯乙烯绝缘电线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DEE0">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Style w:val="19"/>
                <w:sz w:val="20"/>
                <w:szCs w:val="20"/>
                <w:lang w:val="en-US" w:eastAsia="zh-CN" w:bidi="ar"/>
              </w:rPr>
              <w:t>BVR-1X6mm</w:t>
            </w:r>
            <w:r>
              <w:rPr>
                <w:rStyle w:val="20"/>
                <w:sz w:val="20"/>
                <w:szCs w:val="2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A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A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793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54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84DA">
            <w:pPr>
              <w:jc w:val="center"/>
              <w:rPr>
                <w:rFonts w:hint="eastAsia" w:ascii="宋体" w:hAnsi="宋体" w:eastAsia="宋体" w:cs="宋体"/>
                <w:i w:val="0"/>
                <w:iCs w:val="0"/>
                <w:color w:val="000000"/>
                <w:sz w:val="18"/>
                <w:szCs w:val="18"/>
                <w:u w:val="none"/>
              </w:rPr>
            </w:pPr>
          </w:p>
        </w:tc>
      </w:tr>
      <w:tr w14:paraId="760E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D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3C97">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线槽</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14D7">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60mm*20mm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B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9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CE1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670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06F1">
            <w:pPr>
              <w:jc w:val="center"/>
              <w:rPr>
                <w:rFonts w:hint="eastAsia" w:ascii="宋体" w:hAnsi="宋体" w:eastAsia="宋体" w:cs="宋体"/>
                <w:i w:val="0"/>
                <w:iCs w:val="0"/>
                <w:color w:val="000000"/>
                <w:sz w:val="18"/>
                <w:szCs w:val="18"/>
                <w:u w:val="none"/>
              </w:rPr>
            </w:pPr>
          </w:p>
        </w:tc>
      </w:tr>
      <w:tr w14:paraId="1E5B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1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E223">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PVC线管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2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8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E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42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5F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C3C1">
            <w:pPr>
              <w:jc w:val="center"/>
              <w:rPr>
                <w:rFonts w:hint="eastAsia" w:ascii="宋体" w:hAnsi="宋体" w:eastAsia="宋体" w:cs="宋体"/>
                <w:i w:val="0"/>
                <w:iCs w:val="0"/>
                <w:color w:val="000000"/>
                <w:sz w:val="18"/>
                <w:szCs w:val="18"/>
                <w:u w:val="none"/>
              </w:rPr>
            </w:pPr>
          </w:p>
        </w:tc>
      </w:tr>
      <w:tr w14:paraId="5913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2CC4">
            <w:pPr>
              <w:jc w:val="center"/>
              <w:rPr>
                <w:rFonts w:hint="eastAsia" w:ascii="宋体" w:hAnsi="宋体" w:eastAsia="宋体" w:cs="宋体"/>
                <w:i w:val="0"/>
                <w:iCs w:val="0"/>
                <w:color w:val="000000"/>
                <w:sz w:val="16"/>
                <w:szCs w:val="16"/>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707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小计A2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7F4C">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B256">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AC9D">
            <w:pPr>
              <w:jc w:val="center"/>
              <w:rPr>
                <w:rFonts w:hint="eastAsia" w:ascii="宋体" w:hAnsi="宋体" w:eastAsia="宋体" w:cs="宋体"/>
                <w:i w:val="0"/>
                <w:iCs w:val="0"/>
                <w:color w:val="000000"/>
                <w:sz w:val="16"/>
                <w:szCs w:val="16"/>
                <w:u w:val="none"/>
              </w:rPr>
            </w:pPr>
          </w:p>
        </w:tc>
      </w:tr>
      <w:tr w14:paraId="5CD4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8C7B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1-3 室内设备部分（2套）</w:t>
            </w:r>
          </w:p>
        </w:tc>
      </w:tr>
      <w:tr w14:paraId="3D30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9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1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高温热泵一体机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匹主机</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0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EB5B">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ECD9">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7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机组为耐腐蚀、超强厚度的镀锌板制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作，有很强的抗腐蚀能力</w:t>
            </w:r>
          </w:p>
        </w:tc>
      </w:tr>
      <w:tr w14:paraId="1EDF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D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F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风体墙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3AFC">
            <w:pPr>
              <w:jc w:val="center"/>
              <w:rPr>
                <w:rFonts w:hint="eastAsia" w:ascii="宋体" w:hAnsi="宋体" w:eastAsia="宋体" w:cs="宋体"/>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4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A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A06E">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77B9">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F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每个风体墙配 2 台 1.5KW 风机</w:t>
            </w:r>
          </w:p>
        </w:tc>
      </w:tr>
      <w:tr w14:paraId="4B86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C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4B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电辅助</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FBE5">
            <w:pPr>
              <w:jc w:val="center"/>
              <w:rPr>
                <w:rFonts w:hint="eastAsia" w:ascii="宋体" w:hAnsi="宋体" w:eastAsia="宋体" w:cs="宋体"/>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B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5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8CAA">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2680">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5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每组电辅助功率为 13.5KW</w:t>
            </w:r>
          </w:p>
        </w:tc>
      </w:tr>
      <w:tr w14:paraId="4B34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1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2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振动电机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4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0.15kW</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6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B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F4C0">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B647">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3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自动抄排用</w:t>
            </w:r>
          </w:p>
        </w:tc>
      </w:tr>
      <w:tr w14:paraId="1E20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7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8D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烤房推车</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F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1015*870*1870(mm)</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D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4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417D">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42BE">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9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 不锈钢材质,含脚轮</w:t>
            </w:r>
          </w:p>
        </w:tc>
      </w:tr>
      <w:tr w14:paraId="6569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2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E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1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1000*800*50(mm)</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A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70EB">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FBC7">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5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 不锈钢托盘（拉深圆孔）</w:t>
            </w:r>
          </w:p>
        </w:tc>
      </w:tr>
      <w:tr w14:paraId="2E78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26A3">
            <w:pPr>
              <w:jc w:val="center"/>
              <w:rPr>
                <w:rFonts w:hint="eastAsia" w:ascii="宋体" w:hAnsi="宋体" w:eastAsia="宋体" w:cs="宋体"/>
                <w:i w:val="0"/>
                <w:iCs w:val="0"/>
                <w:color w:val="000000"/>
                <w:sz w:val="16"/>
                <w:szCs w:val="16"/>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C2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小计A3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EDBB">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6867">
            <w:pPr>
              <w:jc w:val="center"/>
              <w:rPr>
                <w:rFonts w:hint="eastAsia" w:ascii="宋体" w:hAnsi="宋体" w:eastAsia="宋体" w:cs="宋体"/>
                <w:b/>
                <w:bCs/>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3EA5">
            <w:pPr>
              <w:jc w:val="center"/>
              <w:rPr>
                <w:rFonts w:hint="eastAsia" w:ascii="宋体" w:hAnsi="宋体" w:eastAsia="宋体" w:cs="宋体"/>
                <w:i w:val="0"/>
                <w:iCs w:val="0"/>
                <w:color w:val="000000"/>
                <w:sz w:val="16"/>
                <w:szCs w:val="16"/>
                <w:u w:val="none"/>
              </w:rPr>
            </w:pPr>
          </w:p>
        </w:tc>
      </w:tr>
      <w:tr w14:paraId="00F9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37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（二）冷库库板保温材料(面积：270M²，净层高4.8m)</w:t>
            </w:r>
          </w:p>
        </w:tc>
      </w:tr>
      <w:tr w14:paraId="6AA2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C1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F8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96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12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C7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7D15">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FCF8">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AA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AB7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9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B5A3">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聚氨酯库板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583E">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Style w:val="19"/>
                <w:sz w:val="20"/>
                <w:szCs w:val="20"/>
                <w:lang w:val="en-US" w:eastAsia="zh-CN" w:bidi="ar"/>
              </w:rPr>
              <w:t>双面彩板0.426mm，聚氨酯密40KG/M</w:t>
            </w:r>
            <w:r>
              <w:rPr>
                <w:rStyle w:val="20"/>
                <w:sz w:val="20"/>
                <w:szCs w:val="20"/>
                <w:lang w:val="en-US" w:eastAsia="zh-CN" w:bidi="ar"/>
              </w:rPr>
              <w:t xml:space="preserve">3 </w:t>
            </w:r>
            <w:r>
              <w:rPr>
                <w:rStyle w:val="19"/>
                <w:sz w:val="20"/>
                <w:szCs w:val="20"/>
                <w:lang w:val="en-US" w:eastAsia="zh-CN" w:bidi="ar"/>
              </w:rPr>
              <w:t>厚度10CM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8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DDA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FB9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BAC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6394">
            <w:pPr>
              <w:jc w:val="center"/>
              <w:rPr>
                <w:rFonts w:hint="eastAsia" w:ascii="宋体" w:hAnsi="宋体" w:eastAsia="宋体" w:cs="宋体"/>
                <w:i w:val="0"/>
                <w:iCs w:val="0"/>
                <w:color w:val="000000"/>
                <w:sz w:val="20"/>
                <w:szCs w:val="20"/>
                <w:u w:val="none"/>
              </w:rPr>
            </w:pPr>
          </w:p>
        </w:tc>
      </w:tr>
      <w:tr w14:paraId="0285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7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8E8">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冷库门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0DC9">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双面彩板0.426mm，聚氨酯平移门W2000*H2240厚度10CM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F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8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D1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87B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80A4">
            <w:pPr>
              <w:jc w:val="center"/>
              <w:rPr>
                <w:rFonts w:hint="eastAsia" w:ascii="宋体" w:hAnsi="宋体" w:eastAsia="宋体" w:cs="宋体"/>
                <w:i w:val="0"/>
                <w:iCs w:val="0"/>
                <w:color w:val="000000"/>
                <w:sz w:val="20"/>
                <w:szCs w:val="20"/>
                <w:u w:val="none"/>
              </w:rPr>
            </w:pPr>
          </w:p>
        </w:tc>
      </w:tr>
      <w:tr w14:paraId="15F0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7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AB78">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顶板加固费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BA4B">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磨菇头，丝杆、法兰钩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F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F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5D5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0D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AC66">
            <w:pPr>
              <w:jc w:val="center"/>
              <w:rPr>
                <w:rFonts w:hint="eastAsia" w:ascii="宋体" w:hAnsi="宋体" w:eastAsia="宋体" w:cs="宋体"/>
                <w:i w:val="0"/>
                <w:iCs w:val="0"/>
                <w:color w:val="000000"/>
                <w:sz w:val="20"/>
                <w:szCs w:val="20"/>
                <w:u w:val="none"/>
              </w:rPr>
            </w:pPr>
          </w:p>
        </w:tc>
      </w:tr>
      <w:tr w14:paraId="7A57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5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21A1">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挤塑板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EC0A">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L3000*W600*H40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D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2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22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8E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46E7">
            <w:pPr>
              <w:jc w:val="center"/>
              <w:rPr>
                <w:rFonts w:hint="eastAsia" w:ascii="宋体" w:hAnsi="宋体" w:eastAsia="宋体" w:cs="宋体"/>
                <w:i w:val="0"/>
                <w:iCs w:val="0"/>
                <w:color w:val="000000"/>
                <w:sz w:val="20"/>
                <w:szCs w:val="20"/>
                <w:u w:val="none"/>
              </w:rPr>
            </w:pPr>
          </w:p>
        </w:tc>
      </w:tr>
      <w:tr w14:paraId="33F9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0A4D">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7A8A">
            <w:pPr>
              <w:keepNext w:val="0"/>
              <w:keepLines w:val="0"/>
              <w:widowControl/>
              <w:suppressLineNumbers w:val="0"/>
              <w:jc w:val="left"/>
              <w:textAlignment w:val="center"/>
              <w:rPr>
                <w:rFonts w:hint="default" w:ascii="微软繁宋体" w:hAnsi="微软繁宋体" w:eastAsia="微软繁宋体" w:cs="微软繁宋体"/>
                <w:b/>
                <w:bCs/>
                <w:i w:val="0"/>
                <w:iCs w:val="0"/>
                <w:color w:val="000000"/>
                <w:sz w:val="20"/>
                <w:szCs w:val="20"/>
                <w:u w:val="none"/>
              </w:rPr>
            </w:pPr>
            <w:r>
              <w:rPr>
                <w:rFonts w:hint="default" w:ascii="微软繁宋体" w:hAnsi="微软繁宋体" w:eastAsia="微软繁宋体" w:cs="微软繁宋体"/>
                <w:b/>
                <w:bCs/>
                <w:i w:val="0"/>
                <w:iCs w:val="0"/>
                <w:color w:val="000000"/>
                <w:kern w:val="0"/>
                <w:sz w:val="20"/>
                <w:szCs w:val="20"/>
                <w:u w:val="none"/>
                <w:lang w:val="en-US" w:eastAsia="zh-CN" w:bidi="ar"/>
              </w:rPr>
              <w:t>小计B1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A2A9">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21BD">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5F13">
            <w:pPr>
              <w:jc w:val="center"/>
              <w:rPr>
                <w:rFonts w:hint="eastAsia" w:ascii="宋体" w:hAnsi="宋体" w:eastAsia="宋体" w:cs="宋体"/>
                <w:i w:val="0"/>
                <w:iCs w:val="0"/>
                <w:color w:val="000000"/>
                <w:sz w:val="16"/>
                <w:szCs w:val="16"/>
                <w:u w:val="none"/>
              </w:rPr>
            </w:pPr>
          </w:p>
        </w:tc>
      </w:tr>
      <w:tr w14:paraId="2678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9911">
            <w:pPr>
              <w:keepNext w:val="0"/>
              <w:keepLines w:val="0"/>
              <w:widowControl/>
              <w:suppressLineNumbers w:val="0"/>
              <w:jc w:val="center"/>
              <w:textAlignment w:val="center"/>
              <w:rPr>
                <w:rFonts w:hint="default" w:ascii="微软繁宋体" w:hAnsi="微软繁宋体" w:eastAsia="微软繁宋体" w:cs="微软繁宋体"/>
                <w:b/>
                <w:bCs/>
                <w:i w:val="0"/>
                <w:iCs w:val="0"/>
                <w:color w:val="000000"/>
                <w:sz w:val="20"/>
                <w:szCs w:val="20"/>
                <w:u w:val="none"/>
              </w:rPr>
            </w:pPr>
            <w:r>
              <w:rPr>
                <w:rFonts w:hint="default" w:ascii="微软繁宋体" w:hAnsi="微软繁宋体" w:eastAsia="微软繁宋体" w:cs="微软繁宋体"/>
                <w:b/>
                <w:bCs/>
                <w:i w:val="0"/>
                <w:iCs w:val="0"/>
                <w:color w:val="000000"/>
                <w:kern w:val="0"/>
                <w:sz w:val="20"/>
                <w:szCs w:val="20"/>
                <w:u w:val="none"/>
                <w:lang w:val="en-US" w:eastAsia="zh-CN" w:bidi="ar"/>
              </w:rPr>
              <w:t>冷库设备及配件</w:t>
            </w:r>
          </w:p>
        </w:tc>
      </w:tr>
      <w:tr w14:paraId="12DB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21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风冷机组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4212">
            <w:pPr>
              <w:keepNext w:val="0"/>
              <w:keepLines w:val="0"/>
              <w:widowControl/>
              <w:suppressLineNumbers w:val="0"/>
              <w:jc w:val="center"/>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20HP，压缩机额定功率：16.2KW。压缩机结构形式：涡旋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F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6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99C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00B3">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A1BA">
            <w:pPr>
              <w:jc w:val="center"/>
              <w:rPr>
                <w:rFonts w:hint="eastAsia" w:ascii="宋体" w:hAnsi="宋体" w:eastAsia="宋体" w:cs="宋体"/>
                <w:i w:val="0"/>
                <w:iCs w:val="0"/>
                <w:color w:val="000000"/>
                <w:sz w:val="18"/>
                <w:szCs w:val="18"/>
                <w:u w:val="none"/>
              </w:rPr>
            </w:pPr>
          </w:p>
        </w:tc>
      </w:tr>
      <w:tr w14:paraId="28DE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C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46CD">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蒸发器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715">
            <w:pPr>
              <w:keepNext w:val="0"/>
              <w:keepLines w:val="0"/>
              <w:widowControl/>
              <w:suppressLineNumbers w:val="0"/>
              <w:jc w:val="center"/>
              <w:textAlignment w:val="center"/>
              <w:rPr>
                <w:rFonts w:hint="default" w:ascii="微软繁宋体" w:hAnsi="微软繁宋体" w:eastAsia="微软繁宋体" w:cs="微软繁宋体"/>
                <w:i w:val="0"/>
                <w:iCs w:val="0"/>
                <w:color w:val="000000"/>
                <w:sz w:val="20"/>
                <w:szCs w:val="20"/>
                <w:u w:val="none"/>
              </w:rPr>
            </w:pPr>
            <w:r>
              <w:rPr>
                <w:rStyle w:val="19"/>
                <w:sz w:val="20"/>
                <w:szCs w:val="20"/>
                <w:lang w:val="en-US" w:eastAsia="zh-CN" w:bidi="ar"/>
              </w:rPr>
              <w:t>DD-200，总风量17500m³/.风扇3X</w:t>
            </w:r>
            <w:r>
              <w:rPr>
                <w:rStyle w:val="21"/>
                <w:sz w:val="20"/>
                <w:szCs w:val="20"/>
                <w:lang w:val="en-US" w:eastAsia="zh-CN" w:bidi="ar"/>
              </w:rPr>
              <w:t>Φ</w:t>
            </w:r>
            <w:r>
              <w:rPr>
                <w:rStyle w:val="19"/>
                <w:sz w:val="20"/>
                <w:szCs w:val="20"/>
                <w:lang w:val="en-US" w:eastAsia="zh-CN" w:bidi="ar"/>
              </w:rPr>
              <w:t>5500.风扇功率:3X0.55KW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B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2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06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C51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B118">
            <w:pPr>
              <w:jc w:val="center"/>
              <w:rPr>
                <w:rFonts w:hint="eastAsia" w:ascii="宋体" w:hAnsi="宋体" w:eastAsia="宋体" w:cs="宋体"/>
                <w:i w:val="0"/>
                <w:iCs w:val="0"/>
                <w:color w:val="000000"/>
                <w:sz w:val="18"/>
                <w:szCs w:val="18"/>
                <w:u w:val="none"/>
              </w:rPr>
            </w:pPr>
          </w:p>
        </w:tc>
      </w:tr>
      <w:tr w14:paraId="5F87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7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1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斯波兰膨胀阀</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F26C">
            <w:pPr>
              <w:keepNext w:val="0"/>
              <w:keepLines w:val="0"/>
              <w:widowControl/>
              <w:suppressLineNumbers w:val="0"/>
              <w:jc w:val="center"/>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14C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9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DF6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B6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827F">
            <w:pPr>
              <w:jc w:val="center"/>
              <w:rPr>
                <w:rFonts w:hint="eastAsia" w:ascii="宋体" w:hAnsi="宋体" w:eastAsia="宋体" w:cs="宋体"/>
                <w:i w:val="0"/>
                <w:iCs w:val="0"/>
                <w:color w:val="000000"/>
                <w:sz w:val="18"/>
                <w:szCs w:val="18"/>
                <w:u w:val="none"/>
              </w:rPr>
            </w:pPr>
          </w:p>
        </w:tc>
      </w:tr>
      <w:tr w14:paraId="3E04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5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4B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氨（制冷剂）</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1187">
            <w:pPr>
              <w:keepNext w:val="0"/>
              <w:keepLines w:val="0"/>
              <w:widowControl/>
              <w:suppressLineNumbers w:val="0"/>
              <w:jc w:val="center"/>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R22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7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8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6B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0BE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F3F8">
            <w:pPr>
              <w:jc w:val="center"/>
              <w:rPr>
                <w:rFonts w:hint="eastAsia" w:ascii="宋体" w:hAnsi="宋体" w:eastAsia="宋体" w:cs="宋体"/>
                <w:i w:val="0"/>
                <w:iCs w:val="0"/>
                <w:color w:val="000000"/>
                <w:sz w:val="18"/>
                <w:szCs w:val="18"/>
                <w:u w:val="none"/>
              </w:rPr>
            </w:pPr>
          </w:p>
        </w:tc>
      </w:tr>
      <w:tr w14:paraId="22B0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2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94B4">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冷库专用控制电箱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C099">
            <w:pPr>
              <w:keepNext w:val="0"/>
              <w:keepLines w:val="0"/>
              <w:widowControl/>
              <w:suppressLineNumbers w:val="0"/>
              <w:jc w:val="center"/>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正泰电器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A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1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E58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F4F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FEA">
            <w:pPr>
              <w:jc w:val="center"/>
              <w:rPr>
                <w:rFonts w:hint="eastAsia" w:ascii="宋体" w:hAnsi="宋体" w:eastAsia="宋体" w:cs="宋体"/>
                <w:i w:val="0"/>
                <w:iCs w:val="0"/>
                <w:color w:val="000000"/>
                <w:sz w:val="18"/>
                <w:szCs w:val="18"/>
                <w:u w:val="none"/>
              </w:rPr>
            </w:pPr>
          </w:p>
        </w:tc>
      </w:tr>
      <w:tr w14:paraId="5043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B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E0B9">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数字农业冷库系统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B3EE">
            <w:pPr>
              <w:keepNext w:val="0"/>
              <w:keepLines w:val="0"/>
              <w:widowControl/>
              <w:suppressLineNumbers w:val="0"/>
              <w:jc w:val="center"/>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远程报警，远程采集，远程控制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2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2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87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50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AB48">
            <w:pPr>
              <w:jc w:val="center"/>
              <w:rPr>
                <w:rFonts w:hint="eastAsia" w:ascii="宋体" w:hAnsi="宋体" w:eastAsia="宋体" w:cs="宋体"/>
                <w:i w:val="0"/>
                <w:iCs w:val="0"/>
                <w:color w:val="000000"/>
                <w:sz w:val="18"/>
                <w:szCs w:val="18"/>
                <w:u w:val="none"/>
              </w:rPr>
            </w:pPr>
          </w:p>
        </w:tc>
      </w:tr>
      <w:tr w14:paraId="2306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E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4A2A">
            <w:pPr>
              <w:keepNext w:val="0"/>
              <w:keepLines w:val="0"/>
              <w:widowControl/>
              <w:suppressLineNumbers w:val="0"/>
              <w:jc w:val="left"/>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冷库专用库灯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B850">
            <w:pPr>
              <w:keepNext w:val="0"/>
              <w:keepLines w:val="0"/>
              <w:widowControl/>
              <w:suppressLineNumbers w:val="0"/>
              <w:jc w:val="center"/>
              <w:textAlignment w:val="center"/>
              <w:rPr>
                <w:rFonts w:hint="default" w:ascii="微软繁宋体" w:hAnsi="微软繁宋体" w:eastAsia="微软繁宋体" w:cs="微软繁宋体"/>
                <w:i w:val="0"/>
                <w:iCs w:val="0"/>
                <w:color w:val="000000"/>
                <w:sz w:val="20"/>
                <w:szCs w:val="20"/>
                <w:u w:val="none"/>
              </w:rPr>
            </w:pPr>
            <w:r>
              <w:rPr>
                <w:rFonts w:hint="default" w:ascii="微软繁宋体" w:hAnsi="微软繁宋体" w:eastAsia="微软繁宋体" w:cs="微软繁宋体"/>
                <w:i w:val="0"/>
                <w:iCs w:val="0"/>
                <w:color w:val="000000"/>
                <w:kern w:val="0"/>
                <w:sz w:val="20"/>
                <w:szCs w:val="20"/>
                <w:u w:val="none"/>
                <w:lang w:val="en-US" w:eastAsia="zh-CN" w:bidi="ar"/>
              </w:rPr>
              <w:t>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2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E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05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163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0CB0">
            <w:pPr>
              <w:jc w:val="center"/>
              <w:rPr>
                <w:rFonts w:hint="eastAsia" w:ascii="宋体" w:hAnsi="宋体" w:eastAsia="宋体" w:cs="宋体"/>
                <w:i w:val="0"/>
                <w:iCs w:val="0"/>
                <w:color w:val="000000"/>
                <w:sz w:val="18"/>
                <w:szCs w:val="18"/>
                <w:u w:val="none"/>
              </w:rPr>
            </w:pPr>
          </w:p>
        </w:tc>
      </w:tr>
      <w:tr w14:paraId="75A5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E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C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冷凝水水管、设备连接电缆线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1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不含总电源材料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2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4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7A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C8D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867A">
            <w:pPr>
              <w:jc w:val="center"/>
              <w:rPr>
                <w:rFonts w:hint="eastAsia" w:ascii="宋体" w:hAnsi="宋体" w:eastAsia="宋体" w:cs="宋体"/>
                <w:i w:val="0"/>
                <w:iCs w:val="0"/>
                <w:color w:val="000000"/>
                <w:sz w:val="18"/>
                <w:szCs w:val="18"/>
                <w:u w:val="none"/>
              </w:rPr>
            </w:pPr>
          </w:p>
        </w:tc>
      </w:tr>
      <w:tr w14:paraId="7D50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8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5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辅助材料：氧气、氮气、煤气、固定架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C88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2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4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25C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73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D8C8">
            <w:pPr>
              <w:jc w:val="center"/>
              <w:rPr>
                <w:rFonts w:hint="eastAsia" w:ascii="宋体" w:hAnsi="宋体" w:eastAsia="宋体" w:cs="宋体"/>
                <w:i w:val="0"/>
                <w:iCs w:val="0"/>
                <w:color w:val="000000"/>
                <w:sz w:val="18"/>
                <w:szCs w:val="18"/>
                <w:u w:val="none"/>
              </w:rPr>
            </w:pPr>
          </w:p>
        </w:tc>
      </w:tr>
      <w:tr w14:paraId="2CE1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37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1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含保温管及保温配件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0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9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924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4E4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9883">
            <w:pPr>
              <w:jc w:val="center"/>
              <w:rPr>
                <w:rFonts w:hint="eastAsia" w:ascii="宋体" w:hAnsi="宋体" w:eastAsia="宋体" w:cs="宋体"/>
                <w:i w:val="0"/>
                <w:iCs w:val="0"/>
                <w:color w:val="000000"/>
                <w:sz w:val="18"/>
                <w:szCs w:val="18"/>
                <w:u w:val="none"/>
              </w:rPr>
            </w:pPr>
          </w:p>
        </w:tc>
      </w:tr>
      <w:tr w14:paraId="5A66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3543E903">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4C2F204">
            <w:pPr>
              <w:rPr>
                <w:rFonts w:hint="eastAsia" w:ascii="宋体" w:hAnsi="宋体" w:eastAsia="宋体" w:cs="宋体"/>
                <w:i w:val="0"/>
                <w:iCs w:val="0"/>
                <w:color w:val="000000"/>
                <w:sz w:val="24"/>
                <w:szCs w:val="24"/>
                <w:u w:val="none"/>
              </w:rPr>
            </w:pPr>
          </w:p>
        </w:tc>
        <w:tc>
          <w:tcPr>
            <w:tcW w:w="2400" w:type="dxa"/>
            <w:tcBorders>
              <w:top w:val="nil"/>
              <w:left w:val="nil"/>
              <w:bottom w:val="nil"/>
              <w:right w:val="nil"/>
            </w:tcBorders>
            <w:shd w:val="clear" w:color="auto" w:fill="auto"/>
            <w:vAlign w:val="center"/>
          </w:tcPr>
          <w:p w14:paraId="07013FE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5314388">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70F8601">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2ECDFAF">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2381748">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A236D36">
            <w:pPr>
              <w:jc w:val="center"/>
              <w:rPr>
                <w:rFonts w:hint="eastAsia" w:ascii="宋体" w:hAnsi="宋体" w:eastAsia="宋体" w:cs="宋体"/>
                <w:i w:val="0"/>
                <w:iCs w:val="0"/>
                <w:color w:val="000000"/>
                <w:sz w:val="24"/>
                <w:szCs w:val="24"/>
                <w:u w:val="none"/>
              </w:rPr>
            </w:pPr>
          </w:p>
        </w:tc>
      </w:tr>
      <w:tr w14:paraId="4300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0ED52ED0">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92147FF">
            <w:pPr>
              <w:rPr>
                <w:rFonts w:hint="eastAsia" w:ascii="宋体" w:hAnsi="宋体" w:eastAsia="宋体" w:cs="宋体"/>
                <w:i w:val="0"/>
                <w:iCs w:val="0"/>
                <w:color w:val="000000"/>
                <w:sz w:val="24"/>
                <w:szCs w:val="24"/>
                <w:u w:val="none"/>
              </w:rPr>
            </w:pPr>
          </w:p>
        </w:tc>
        <w:tc>
          <w:tcPr>
            <w:tcW w:w="2400" w:type="dxa"/>
            <w:tcBorders>
              <w:top w:val="nil"/>
              <w:left w:val="nil"/>
              <w:bottom w:val="nil"/>
              <w:right w:val="nil"/>
            </w:tcBorders>
            <w:shd w:val="clear" w:color="auto" w:fill="auto"/>
            <w:vAlign w:val="center"/>
          </w:tcPr>
          <w:p w14:paraId="773A64E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D9575F3">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B6DFDEE">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9511A16">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E945D5F">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64B093B">
            <w:pPr>
              <w:jc w:val="center"/>
              <w:rPr>
                <w:rFonts w:hint="eastAsia" w:ascii="宋体" w:hAnsi="宋体" w:eastAsia="宋体" w:cs="宋体"/>
                <w:i w:val="0"/>
                <w:iCs w:val="0"/>
                <w:color w:val="000000"/>
                <w:sz w:val="24"/>
                <w:szCs w:val="24"/>
                <w:u w:val="none"/>
              </w:rPr>
            </w:pPr>
          </w:p>
        </w:tc>
      </w:tr>
    </w:tbl>
    <w:p w14:paraId="16F4369F">
      <w:pPr>
        <w:widowControl/>
        <w:tabs>
          <w:tab w:val="left" w:pos="1115"/>
        </w:tabs>
        <w:spacing w:line="380" w:lineRule="exact"/>
        <w:ind w:firstLine="482"/>
        <w:jc w:val="center"/>
        <w:outlineLvl w:val="1"/>
        <w:rPr>
          <w:color w:val="auto"/>
          <w:sz w:val="32"/>
          <w:szCs w:val="40"/>
          <w:highlight w:val="none"/>
          <w:shd w:val="clear" w:color="auto" w:fill="FFFF00"/>
        </w:rPr>
      </w:pPr>
      <w:r>
        <w:rPr>
          <w:rFonts w:hint="eastAsia"/>
          <w:color w:val="auto"/>
          <w:sz w:val="32"/>
          <w:szCs w:val="40"/>
          <w:highlight w:val="none"/>
        </w:rPr>
        <w:br w:type="page"/>
      </w:r>
      <w:r>
        <w:rPr>
          <w:rFonts w:hint="eastAsia"/>
          <w:b/>
          <w:color w:val="auto"/>
          <w:sz w:val="32"/>
          <w:szCs w:val="44"/>
          <w:highlight w:val="none"/>
        </w:rPr>
        <w:t>第四章  评审办法</w:t>
      </w:r>
    </w:p>
    <w:p w14:paraId="70DE46F3">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1. 电子化投标文件的评审、比较和否决</w:t>
      </w:r>
    </w:p>
    <w:p w14:paraId="5C297E66">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1.1评标委员会将按照招标文件的规定，仅对在实质上响应招标文件要求的电子化投标文件进行评估和比较。</w:t>
      </w:r>
    </w:p>
    <w:p w14:paraId="731D0EAE">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1.2根据相关法律法规及有关招投标文件规定，结合本项目具体情况，制定本次招标评标办法。并按照“公平、公正、科学、择优”的原则进行评标。采用综合评分法进行评比。</w:t>
      </w:r>
    </w:p>
    <w:p w14:paraId="52B93B81">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1.3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61703C34">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1.4评标时，投标报价是评标的重要依据，但不是唯一依据，采购人不承诺将合同授予报价最低或最高的投标供应商。</w:t>
      </w:r>
    </w:p>
    <w:p w14:paraId="7AB8B9B3">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1.5评标委员会依据本须知规定的评标标准和方法，对电子化投标文件进行评审和比较，向采购人提出书面评标报告，并推荐合格的中标候选人。采购人授权评标委员会根据提出的书面评标报告和推荐的中标候选人按序确定中标供应商。</w:t>
      </w:r>
    </w:p>
    <w:p w14:paraId="5F09E45C">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2．评分标准(采用综合评分法)</w:t>
      </w:r>
    </w:p>
    <w:p w14:paraId="2A200A57">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评标委员会按照《中华人民共和国政府采购法》和《评标委员会和评标方法暂行规定》，结合本项目具体情况，按下列标准打分：</w:t>
      </w:r>
    </w:p>
    <w:p w14:paraId="60D351CC">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第一部分：报价得分；第二部分：技术标评审；第三部分：商务标评审。</w:t>
      </w:r>
    </w:p>
    <w:p w14:paraId="0DAA9B2F">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投标供应商得分=报价得分+技术标评审得分+商务标评审得分。投标供应商的最终得分为各评委所评定分数的算术平均值。</w:t>
      </w:r>
    </w:p>
    <w:p w14:paraId="38A89AEA">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3. 评审程序</w:t>
      </w:r>
    </w:p>
    <w:p w14:paraId="217369DF">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3.1资格性审查</w:t>
      </w:r>
    </w:p>
    <w:p w14:paraId="446BDCCF">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由</w:t>
      </w:r>
      <w:bookmarkStart w:id="227" w:name="OLE_LINK27"/>
      <w:bookmarkStart w:id="228" w:name="OLE_LINK28"/>
      <w:r>
        <w:rPr>
          <w:rFonts w:hint="eastAsia" w:cs="Times New Roman"/>
          <w:color w:val="auto"/>
          <w:sz w:val="24"/>
          <w:highlight w:val="none"/>
          <w:lang w:val="en-US" w:bidi="ar"/>
        </w:rPr>
        <w:t>评标</w:t>
      </w:r>
      <w:r>
        <w:rPr>
          <w:rFonts w:cs="Times New Roman"/>
          <w:color w:val="auto"/>
          <w:sz w:val="24"/>
          <w:highlight w:val="none"/>
          <w:lang w:val="en-US" w:bidi="ar"/>
        </w:rPr>
        <w:t>委员会</w:t>
      </w:r>
      <w:bookmarkEnd w:id="227"/>
      <w:bookmarkEnd w:id="228"/>
      <w:r>
        <w:rPr>
          <w:rFonts w:hint="eastAsia" w:cs="Times New Roman"/>
          <w:color w:val="auto"/>
          <w:sz w:val="24"/>
          <w:highlight w:val="none"/>
          <w:lang w:val="en-US" w:bidi="ar"/>
        </w:rPr>
        <w:t>按照招标文件第二章投标供应商须知前附表的要求，对投标供应商进行审查，有一项不符合的，视为未通过资格审查，不得进入下一评标过程。</w:t>
      </w:r>
    </w:p>
    <w:p w14:paraId="15597E83">
      <w:pPr>
        <w:spacing w:line="360" w:lineRule="auto"/>
        <w:ind w:firstLine="410" w:firstLineChars="171"/>
        <w:rPr>
          <w:rFonts w:cs="Times New Roman"/>
          <w:color w:val="auto"/>
          <w:sz w:val="24"/>
          <w:highlight w:val="none"/>
          <w:lang w:val="en-US" w:bidi="ar"/>
        </w:rPr>
      </w:pPr>
      <w:r>
        <w:rPr>
          <w:rFonts w:hint="eastAsia" w:cs="Times New Roman"/>
          <w:color w:val="auto"/>
          <w:sz w:val="24"/>
          <w:highlight w:val="none"/>
          <w:lang w:val="en-US" w:bidi="ar"/>
        </w:rPr>
        <w:t>3.2 形式和响应性审查</w:t>
      </w:r>
    </w:p>
    <w:p w14:paraId="38F8CE61">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由评标</w:t>
      </w:r>
      <w:r>
        <w:rPr>
          <w:rFonts w:cs="Times New Roman"/>
          <w:color w:val="auto"/>
          <w:sz w:val="24"/>
          <w:highlight w:val="none"/>
          <w:lang w:val="en-US" w:bidi="ar"/>
        </w:rPr>
        <w:t>委员会</w:t>
      </w:r>
      <w:r>
        <w:rPr>
          <w:rFonts w:hint="eastAsia" w:cs="Times New Roman"/>
          <w:color w:val="auto"/>
          <w:sz w:val="24"/>
          <w:highlight w:val="none"/>
          <w:lang w:val="en-US" w:bidi="ar"/>
        </w:rPr>
        <w:t>按照下列内容进行形式和响应性审查，有一项不通过，视为未通过该项审查，不得进入下一评标过程。</w:t>
      </w:r>
    </w:p>
    <w:p w14:paraId="25092DCC">
      <w:pPr>
        <w:spacing w:line="360" w:lineRule="auto"/>
        <w:ind w:firstLine="410" w:firstLineChars="171"/>
        <w:rPr>
          <w:rFonts w:hint="eastAsia" w:cs="Times New Roman"/>
          <w:color w:val="auto"/>
          <w:sz w:val="24"/>
          <w:highlight w:val="none"/>
          <w:lang w:val="en-US" w:bidi="ar"/>
        </w:rPr>
      </w:pPr>
    </w:p>
    <w:p w14:paraId="3E1AC951">
      <w:pPr>
        <w:wordWrap w:val="0"/>
        <w:rPr>
          <w:rFonts w:hint="eastAsia"/>
          <w:color w:val="auto"/>
          <w:sz w:val="21"/>
          <w:szCs w:val="21"/>
          <w:highlight w:val="none"/>
        </w:rPr>
      </w:pPr>
    </w:p>
    <w:p w14:paraId="1541F0C5">
      <w:pPr>
        <w:pStyle w:val="5"/>
        <w:wordWrap w:val="0"/>
        <w:rPr>
          <w:rFonts w:hint="eastAsia" w:ascii="宋体" w:hAnsi="宋体" w:cs="宋体"/>
          <w:color w:val="auto"/>
          <w:sz w:val="21"/>
          <w:szCs w:val="21"/>
          <w:highlight w:val="none"/>
        </w:rPr>
      </w:pPr>
    </w:p>
    <w:tbl>
      <w:tblPr>
        <w:tblStyle w:val="15"/>
        <w:tblW w:w="9819" w:type="dxa"/>
        <w:tblInd w:w="-304"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12"/>
        <w:gridCol w:w="825"/>
        <w:gridCol w:w="1181"/>
        <w:gridCol w:w="2230"/>
        <w:gridCol w:w="4871"/>
      </w:tblGrid>
      <w:tr w14:paraId="0BDF73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712" w:type="dxa"/>
            <w:tcBorders>
              <w:top w:val="single" w:color="auto" w:sz="4" w:space="0"/>
              <w:left w:val="single" w:color="auto" w:sz="4" w:space="0"/>
              <w:bottom w:val="single" w:color="auto" w:sz="4" w:space="0"/>
              <w:right w:val="single" w:color="auto" w:sz="4" w:space="0"/>
            </w:tcBorders>
            <w:noWrap w:val="0"/>
            <w:vAlign w:val="center"/>
          </w:tcPr>
          <w:p w14:paraId="31247C3A">
            <w:pPr>
              <w:adjustRightInd w:val="0"/>
              <w:spacing w:line="360" w:lineRule="auto"/>
              <w:jc w:val="center"/>
              <w:textAlignment w:val="baseline"/>
              <w:rPr>
                <w:b/>
                <w:color w:val="auto"/>
                <w:sz w:val="21"/>
                <w:szCs w:val="21"/>
                <w:highlight w:val="none"/>
              </w:rPr>
            </w:pPr>
            <w:r>
              <w:rPr>
                <w:rFonts w:hint="eastAsia"/>
                <w:b/>
                <w:color w:val="auto"/>
                <w:sz w:val="21"/>
                <w:szCs w:val="21"/>
                <w:highlight w:val="none"/>
                <w:lang w:bidi="ar"/>
              </w:rPr>
              <w:t>编号</w:t>
            </w:r>
          </w:p>
        </w:tc>
        <w:tc>
          <w:tcPr>
            <w:tcW w:w="2006" w:type="dxa"/>
            <w:gridSpan w:val="2"/>
            <w:tcBorders>
              <w:top w:val="single" w:color="auto" w:sz="4" w:space="0"/>
              <w:left w:val="nil"/>
              <w:bottom w:val="single" w:color="auto" w:sz="4" w:space="0"/>
              <w:right w:val="single" w:color="auto" w:sz="4" w:space="0"/>
            </w:tcBorders>
            <w:noWrap w:val="0"/>
            <w:vAlign w:val="center"/>
          </w:tcPr>
          <w:p w14:paraId="1F0F97E1">
            <w:pPr>
              <w:adjustRightInd w:val="0"/>
              <w:spacing w:line="360" w:lineRule="auto"/>
              <w:jc w:val="center"/>
              <w:textAlignment w:val="baseline"/>
              <w:rPr>
                <w:b/>
                <w:color w:val="auto"/>
                <w:sz w:val="21"/>
                <w:szCs w:val="21"/>
                <w:highlight w:val="none"/>
              </w:rPr>
            </w:pPr>
            <w:r>
              <w:rPr>
                <w:rFonts w:hint="eastAsia"/>
                <w:b/>
                <w:color w:val="auto"/>
                <w:sz w:val="21"/>
                <w:szCs w:val="21"/>
                <w:highlight w:val="none"/>
                <w:lang w:bidi="ar"/>
              </w:rPr>
              <w:t>条款号</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710A99E2">
            <w:pPr>
              <w:adjustRightInd w:val="0"/>
              <w:spacing w:line="360" w:lineRule="auto"/>
              <w:jc w:val="center"/>
              <w:textAlignment w:val="baseline"/>
              <w:rPr>
                <w:b/>
                <w:color w:val="auto"/>
                <w:sz w:val="21"/>
                <w:szCs w:val="21"/>
                <w:highlight w:val="none"/>
              </w:rPr>
            </w:pPr>
            <w:r>
              <w:rPr>
                <w:rFonts w:hint="eastAsia"/>
                <w:b/>
                <w:color w:val="auto"/>
                <w:sz w:val="21"/>
                <w:szCs w:val="21"/>
                <w:highlight w:val="none"/>
                <w:lang w:bidi="ar"/>
              </w:rPr>
              <w:t>评审因素</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1971E6A1">
            <w:pPr>
              <w:adjustRightInd w:val="0"/>
              <w:spacing w:line="360" w:lineRule="auto"/>
              <w:jc w:val="center"/>
              <w:textAlignment w:val="baseline"/>
              <w:rPr>
                <w:b/>
                <w:color w:val="auto"/>
                <w:sz w:val="21"/>
                <w:szCs w:val="21"/>
                <w:highlight w:val="none"/>
              </w:rPr>
            </w:pPr>
            <w:r>
              <w:rPr>
                <w:rFonts w:hint="eastAsia"/>
                <w:b/>
                <w:color w:val="auto"/>
                <w:sz w:val="21"/>
                <w:szCs w:val="21"/>
                <w:highlight w:val="none"/>
                <w:lang w:bidi="ar"/>
              </w:rPr>
              <w:t>评审标准</w:t>
            </w:r>
          </w:p>
        </w:tc>
      </w:tr>
      <w:tr w14:paraId="163F13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6" w:hRule="atLeast"/>
        </w:trPr>
        <w:tc>
          <w:tcPr>
            <w:tcW w:w="712" w:type="dxa"/>
            <w:vMerge w:val="restart"/>
            <w:tcBorders>
              <w:top w:val="single" w:color="auto" w:sz="4" w:space="0"/>
              <w:left w:val="single" w:color="auto" w:sz="4" w:space="0"/>
              <w:bottom w:val="single" w:color="auto" w:sz="4" w:space="0"/>
              <w:right w:val="single" w:color="auto" w:sz="4" w:space="0"/>
            </w:tcBorders>
            <w:noWrap w:val="0"/>
            <w:vAlign w:val="center"/>
          </w:tcPr>
          <w:p w14:paraId="7F340837">
            <w:pPr>
              <w:adjustRightInd w:val="0"/>
              <w:spacing w:line="360" w:lineRule="auto"/>
              <w:jc w:val="center"/>
              <w:textAlignment w:val="baseline"/>
              <w:rPr>
                <w:color w:val="auto"/>
                <w:sz w:val="21"/>
                <w:szCs w:val="21"/>
                <w:highlight w:val="none"/>
              </w:rPr>
            </w:pPr>
            <w:r>
              <w:rPr>
                <w:rFonts w:hint="eastAsia"/>
                <w:color w:val="auto"/>
                <w:sz w:val="21"/>
                <w:szCs w:val="21"/>
                <w:highlight w:val="none"/>
                <w:lang w:bidi="ar"/>
              </w:rPr>
              <w:t>1</w:t>
            </w:r>
          </w:p>
        </w:tc>
        <w:tc>
          <w:tcPr>
            <w:tcW w:w="825" w:type="dxa"/>
            <w:vMerge w:val="restart"/>
            <w:tcBorders>
              <w:top w:val="single" w:color="auto" w:sz="4" w:space="0"/>
              <w:left w:val="nil"/>
              <w:bottom w:val="single" w:color="auto" w:sz="4" w:space="0"/>
              <w:right w:val="single" w:color="auto" w:sz="4" w:space="0"/>
            </w:tcBorders>
            <w:noWrap w:val="0"/>
            <w:vAlign w:val="center"/>
          </w:tcPr>
          <w:p w14:paraId="25562860">
            <w:pPr>
              <w:adjustRightInd w:val="0"/>
              <w:spacing w:line="360" w:lineRule="auto"/>
              <w:jc w:val="center"/>
              <w:textAlignment w:val="baseline"/>
              <w:rPr>
                <w:color w:val="auto"/>
                <w:sz w:val="21"/>
                <w:szCs w:val="21"/>
                <w:highlight w:val="none"/>
              </w:rPr>
            </w:pPr>
            <w:r>
              <w:rPr>
                <w:rFonts w:hint="eastAsia"/>
                <w:color w:val="auto"/>
                <w:sz w:val="21"/>
                <w:szCs w:val="21"/>
                <w:highlight w:val="none"/>
                <w:lang w:bidi="ar"/>
              </w:rPr>
              <w:t>2.1.1</w:t>
            </w:r>
          </w:p>
        </w:tc>
        <w:tc>
          <w:tcPr>
            <w:tcW w:w="1181" w:type="dxa"/>
            <w:vMerge w:val="restart"/>
            <w:tcBorders>
              <w:top w:val="single" w:color="auto" w:sz="4" w:space="0"/>
              <w:left w:val="nil"/>
              <w:bottom w:val="single" w:color="auto" w:sz="4" w:space="0"/>
              <w:right w:val="single" w:color="auto" w:sz="4" w:space="0"/>
            </w:tcBorders>
            <w:noWrap w:val="0"/>
            <w:vAlign w:val="center"/>
          </w:tcPr>
          <w:p w14:paraId="120A437A">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形式评审标准</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52EA009F">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投标人名称</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1F256F9E">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与营业执照或法人证书一致</w:t>
            </w:r>
          </w:p>
        </w:tc>
      </w:tr>
      <w:tr w14:paraId="0C49D0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3E048181">
            <w:pPr>
              <w:spacing w:line="360" w:lineRule="auto"/>
              <w:rPr>
                <w:color w:val="auto"/>
                <w:sz w:val="21"/>
                <w:szCs w:val="21"/>
                <w:highlight w:val="none"/>
              </w:rPr>
            </w:pPr>
          </w:p>
        </w:tc>
        <w:tc>
          <w:tcPr>
            <w:tcW w:w="825" w:type="dxa"/>
            <w:vMerge w:val="continue"/>
            <w:tcBorders>
              <w:top w:val="single" w:color="auto" w:sz="4" w:space="0"/>
              <w:left w:val="nil"/>
              <w:bottom w:val="single" w:color="auto" w:sz="4" w:space="0"/>
              <w:right w:val="single" w:color="auto" w:sz="4" w:space="0"/>
            </w:tcBorders>
            <w:noWrap w:val="0"/>
            <w:vAlign w:val="center"/>
          </w:tcPr>
          <w:p w14:paraId="50779FBA">
            <w:pPr>
              <w:spacing w:line="360" w:lineRule="auto"/>
              <w:rPr>
                <w:color w:val="auto"/>
                <w:sz w:val="21"/>
                <w:szCs w:val="21"/>
                <w:highlight w:val="none"/>
              </w:rPr>
            </w:pPr>
          </w:p>
        </w:tc>
        <w:tc>
          <w:tcPr>
            <w:tcW w:w="1181" w:type="dxa"/>
            <w:vMerge w:val="continue"/>
            <w:tcBorders>
              <w:top w:val="single" w:color="auto" w:sz="4" w:space="0"/>
              <w:left w:val="nil"/>
              <w:bottom w:val="single" w:color="auto" w:sz="4" w:space="0"/>
              <w:right w:val="single" w:color="auto" w:sz="4" w:space="0"/>
            </w:tcBorders>
            <w:noWrap w:val="0"/>
            <w:vAlign w:val="center"/>
          </w:tcPr>
          <w:p w14:paraId="32AC17A2">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19F79FB5">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投标函签章</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4462473A">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符合竞争性磋商文件要求的签章或标注的内容</w:t>
            </w:r>
          </w:p>
        </w:tc>
      </w:tr>
      <w:tr w14:paraId="05DAA4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7" w:hRule="atLeast"/>
        </w:trPr>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2B129855">
            <w:pPr>
              <w:spacing w:line="360" w:lineRule="auto"/>
              <w:rPr>
                <w:color w:val="auto"/>
                <w:sz w:val="21"/>
                <w:szCs w:val="21"/>
                <w:highlight w:val="none"/>
              </w:rPr>
            </w:pPr>
          </w:p>
        </w:tc>
        <w:tc>
          <w:tcPr>
            <w:tcW w:w="825" w:type="dxa"/>
            <w:vMerge w:val="continue"/>
            <w:tcBorders>
              <w:top w:val="single" w:color="auto" w:sz="4" w:space="0"/>
              <w:left w:val="nil"/>
              <w:bottom w:val="single" w:color="auto" w:sz="4" w:space="0"/>
              <w:right w:val="single" w:color="auto" w:sz="4" w:space="0"/>
            </w:tcBorders>
            <w:noWrap w:val="0"/>
            <w:vAlign w:val="center"/>
          </w:tcPr>
          <w:p w14:paraId="432E64C2">
            <w:pPr>
              <w:spacing w:line="360" w:lineRule="auto"/>
              <w:rPr>
                <w:color w:val="auto"/>
                <w:sz w:val="21"/>
                <w:szCs w:val="21"/>
                <w:highlight w:val="none"/>
              </w:rPr>
            </w:pPr>
          </w:p>
        </w:tc>
        <w:tc>
          <w:tcPr>
            <w:tcW w:w="1181" w:type="dxa"/>
            <w:vMerge w:val="continue"/>
            <w:tcBorders>
              <w:top w:val="single" w:color="auto" w:sz="4" w:space="0"/>
              <w:left w:val="nil"/>
              <w:bottom w:val="single" w:color="auto" w:sz="4" w:space="0"/>
              <w:right w:val="single" w:color="auto" w:sz="4" w:space="0"/>
            </w:tcBorders>
            <w:noWrap w:val="0"/>
            <w:vAlign w:val="center"/>
          </w:tcPr>
          <w:p w14:paraId="5FE4C0BC">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768CD6CA">
            <w:pPr>
              <w:spacing w:line="360" w:lineRule="auto"/>
              <w:ind w:firstLine="410" w:firstLineChars="171"/>
              <w:rPr>
                <w:rFonts w:hint="eastAsia" w:cs="Times New Roman"/>
                <w:color w:val="auto"/>
                <w:sz w:val="24"/>
                <w:highlight w:val="none"/>
                <w:lang w:val="en-US" w:bidi="ar"/>
              </w:rPr>
            </w:pPr>
            <w:bookmarkStart w:id="250" w:name="_GoBack"/>
            <w:r>
              <w:rPr>
                <w:rFonts w:hint="eastAsia" w:cs="Times New Roman"/>
                <w:color w:val="auto"/>
                <w:sz w:val="24"/>
                <w:highlight w:val="none"/>
                <w:lang w:val="en-US" w:bidi="ar"/>
              </w:rPr>
              <w:t>报价唯一</w:t>
            </w:r>
            <w:bookmarkEnd w:id="250"/>
          </w:p>
        </w:tc>
        <w:tc>
          <w:tcPr>
            <w:tcW w:w="4871" w:type="dxa"/>
            <w:tcBorders>
              <w:top w:val="single" w:color="auto" w:sz="4" w:space="0"/>
              <w:left w:val="single" w:color="auto" w:sz="4" w:space="0"/>
              <w:right w:val="single" w:color="auto" w:sz="4" w:space="0"/>
            </w:tcBorders>
            <w:noWrap w:val="0"/>
            <w:vAlign w:val="center"/>
          </w:tcPr>
          <w:p w14:paraId="6F8EA453">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只能有一个有效报价</w:t>
            </w:r>
          </w:p>
        </w:tc>
      </w:tr>
      <w:tr w14:paraId="10A0B3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7" w:hRule="atLeast"/>
        </w:trPr>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38D03C56">
            <w:pPr>
              <w:spacing w:line="360" w:lineRule="auto"/>
              <w:rPr>
                <w:color w:val="auto"/>
                <w:sz w:val="21"/>
                <w:szCs w:val="21"/>
                <w:highlight w:val="none"/>
              </w:rPr>
            </w:pPr>
          </w:p>
        </w:tc>
        <w:tc>
          <w:tcPr>
            <w:tcW w:w="825" w:type="dxa"/>
            <w:vMerge w:val="continue"/>
            <w:tcBorders>
              <w:top w:val="single" w:color="auto" w:sz="4" w:space="0"/>
              <w:left w:val="nil"/>
              <w:bottom w:val="single" w:color="auto" w:sz="4" w:space="0"/>
              <w:right w:val="single" w:color="auto" w:sz="4" w:space="0"/>
            </w:tcBorders>
            <w:noWrap w:val="0"/>
            <w:vAlign w:val="center"/>
          </w:tcPr>
          <w:p w14:paraId="6A2C79F5">
            <w:pPr>
              <w:spacing w:line="360" w:lineRule="auto"/>
              <w:rPr>
                <w:color w:val="auto"/>
                <w:sz w:val="21"/>
                <w:szCs w:val="21"/>
                <w:highlight w:val="none"/>
              </w:rPr>
            </w:pPr>
          </w:p>
        </w:tc>
        <w:tc>
          <w:tcPr>
            <w:tcW w:w="1181" w:type="dxa"/>
            <w:vMerge w:val="continue"/>
            <w:tcBorders>
              <w:top w:val="single" w:color="auto" w:sz="4" w:space="0"/>
              <w:left w:val="nil"/>
              <w:bottom w:val="single" w:color="auto" w:sz="4" w:space="0"/>
              <w:right w:val="single" w:color="auto" w:sz="4" w:space="0"/>
            </w:tcBorders>
            <w:noWrap w:val="0"/>
            <w:vAlign w:val="center"/>
          </w:tcPr>
          <w:p w14:paraId="1EF95CAC">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3AE07B4F">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响应文件格式</w:t>
            </w:r>
          </w:p>
        </w:tc>
        <w:tc>
          <w:tcPr>
            <w:tcW w:w="4871" w:type="dxa"/>
            <w:tcBorders>
              <w:top w:val="single" w:color="auto" w:sz="4" w:space="0"/>
              <w:left w:val="single" w:color="auto" w:sz="4" w:space="0"/>
              <w:right w:val="single" w:color="auto" w:sz="4" w:space="0"/>
            </w:tcBorders>
            <w:noWrap w:val="0"/>
            <w:vAlign w:val="center"/>
          </w:tcPr>
          <w:p w14:paraId="5E2660B3">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符合“响应文件格式”的要求</w:t>
            </w:r>
          </w:p>
        </w:tc>
      </w:tr>
      <w:tr w14:paraId="6DA1FF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8" w:hRule="atLeast"/>
        </w:trPr>
        <w:tc>
          <w:tcPr>
            <w:tcW w:w="712" w:type="dxa"/>
            <w:vMerge w:val="restart"/>
            <w:tcBorders>
              <w:top w:val="single" w:color="auto" w:sz="4" w:space="0"/>
              <w:left w:val="single" w:color="auto" w:sz="4" w:space="0"/>
              <w:right w:val="single" w:color="auto" w:sz="4" w:space="0"/>
            </w:tcBorders>
            <w:noWrap w:val="0"/>
            <w:vAlign w:val="center"/>
          </w:tcPr>
          <w:p w14:paraId="293C9153">
            <w:pPr>
              <w:adjustRightInd w:val="0"/>
              <w:spacing w:line="360" w:lineRule="auto"/>
              <w:jc w:val="center"/>
              <w:textAlignment w:val="baseline"/>
              <w:rPr>
                <w:color w:val="auto"/>
                <w:sz w:val="21"/>
                <w:szCs w:val="21"/>
                <w:highlight w:val="none"/>
              </w:rPr>
            </w:pPr>
            <w:r>
              <w:rPr>
                <w:rFonts w:hint="eastAsia"/>
                <w:color w:val="auto"/>
                <w:sz w:val="21"/>
                <w:szCs w:val="21"/>
                <w:highlight w:val="none"/>
                <w:lang w:bidi="ar"/>
              </w:rPr>
              <w:t>2</w:t>
            </w:r>
          </w:p>
        </w:tc>
        <w:tc>
          <w:tcPr>
            <w:tcW w:w="825" w:type="dxa"/>
            <w:vMerge w:val="restart"/>
            <w:tcBorders>
              <w:top w:val="single" w:color="auto" w:sz="4" w:space="0"/>
              <w:left w:val="nil"/>
              <w:right w:val="single" w:color="auto" w:sz="4" w:space="0"/>
            </w:tcBorders>
            <w:noWrap w:val="0"/>
            <w:vAlign w:val="center"/>
          </w:tcPr>
          <w:p w14:paraId="40E6FFBE">
            <w:pPr>
              <w:adjustRightInd w:val="0"/>
              <w:spacing w:line="360" w:lineRule="auto"/>
              <w:jc w:val="center"/>
              <w:textAlignment w:val="baseline"/>
              <w:rPr>
                <w:color w:val="auto"/>
                <w:sz w:val="21"/>
                <w:szCs w:val="21"/>
                <w:highlight w:val="none"/>
              </w:rPr>
            </w:pPr>
            <w:r>
              <w:rPr>
                <w:rFonts w:hint="eastAsia"/>
                <w:color w:val="auto"/>
                <w:sz w:val="21"/>
                <w:szCs w:val="21"/>
                <w:highlight w:val="none"/>
                <w:lang w:bidi="ar"/>
              </w:rPr>
              <w:t>2.1.2</w:t>
            </w:r>
          </w:p>
        </w:tc>
        <w:tc>
          <w:tcPr>
            <w:tcW w:w="1181" w:type="dxa"/>
            <w:vMerge w:val="restart"/>
            <w:tcBorders>
              <w:top w:val="single" w:color="auto" w:sz="4" w:space="0"/>
              <w:left w:val="nil"/>
              <w:right w:val="single" w:color="auto" w:sz="4" w:space="0"/>
            </w:tcBorders>
            <w:noWrap w:val="0"/>
            <w:vAlign w:val="center"/>
          </w:tcPr>
          <w:p w14:paraId="0441066C">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资格评审标准</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2629CC74">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独立承担民事责任的独立法人</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7DFBE1D3">
            <w:pPr>
              <w:spacing w:line="360" w:lineRule="auto"/>
              <w:rPr>
                <w:rFonts w:cs="Times New Roman"/>
                <w:color w:val="auto"/>
                <w:sz w:val="24"/>
                <w:highlight w:val="none"/>
                <w:lang w:val="en-US" w:bidi="ar"/>
              </w:rPr>
            </w:pPr>
            <w:r>
              <w:rPr>
                <w:rFonts w:hint="eastAsia" w:cs="Times New Roman"/>
                <w:color w:val="auto"/>
                <w:sz w:val="24"/>
                <w:highlight w:val="none"/>
                <w:lang w:val="en-US" w:bidi="ar"/>
              </w:rPr>
              <w:t>具有有效的营业执照、税务登记证、组织机构代码证(或“三证合一”的营业执照)</w:t>
            </w:r>
          </w:p>
        </w:tc>
      </w:tr>
      <w:tr w14:paraId="4457A9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trPr>
        <w:tc>
          <w:tcPr>
            <w:tcW w:w="712" w:type="dxa"/>
            <w:vMerge w:val="continue"/>
            <w:tcBorders>
              <w:left w:val="single" w:color="auto" w:sz="4" w:space="0"/>
              <w:right w:val="single" w:color="auto" w:sz="4" w:space="0"/>
            </w:tcBorders>
            <w:noWrap w:val="0"/>
            <w:vAlign w:val="center"/>
          </w:tcPr>
          <w:p w14:paraId="1D4C2799">
            <w:pPr>
              <w:spacing w:line="360" w:lineRule="auto"/>
              <w:rPr>
                <w:color w:val="auto"/>
                <w:sz w:val="21"/>
                <w:szCs w:val="21"/>
                <w:highlight w:val="none"/>
              </w:rPr>
            </w:pPr>
          </w:p>
        </w:tc>
        <w:tc>
          <w:tcPr>
            <w:tcW w:w="825" w:type="dxa"/>
            <w:vMerge w:val="continue"/>
            <w:tcBorders>
              <w:left w:val="nil"/>
              <w:right w:val="single" w:color="auto" w:sz="4" w:space="0"/>
            </w:tcBorders>
            <w:noWrap w:val="0"/>
            <w:vAlign w:val="center"/>
          </w:tcPr>
          <w:p w14:paraId="2186404E">
            <w:pPr>
              <w:spacing w:line="360" w:lineRule="auto"/>
              <w:rPr>
                <w:color w:val="auto"/>
                <w:sz w:val="21"/>
                <w:szCs w:val="21"/>
                <w:highlight w:val="none"/>
              </w:rPr>
            </w:pPr>
          </w:p>
        </w:tc>
        <w:tc>
          <w:tcPr>
            <w:tcW w:w="1181" w:type="dxa"/>
            <w:vMerge w:val="continue"/>
            <w:tcBorders>
              <w:left w:val="nil"/>
              <w:right w:val="single" w:color="auto" w:sz="4" w:space="0"/>
            </w:tcBorders>
            <w:noWrap w:val="0"/>
            <w:vAlign w:val="center"/>
          </w:tcPr>
          <w:p w14:paraId="3115CAEB">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2613B7C5">
            <w:pPr>
              <w:spacing w:line="360" w:lineRule="auto"/>
              <w:rPr>
                <w:rFonts w:hint="eastAsia" w:cs="Times New Roman"/>
                <w:color w:val="auto"/>
                <w:sz w:val="24"/>
                <w:highlight w:val="none"/>
                <w:lang w:val="en-US" w:bidi="ar"/>
              </w:rPr>
            </w:pPr>
            <w:r>
              <w:rPr>
                <w:rFonts w:hint="eastAsia"/>
                <w:color w:val="auto"/>
                <w:sz w:val="24"/>
                <w:szCs w:val="24"/>
                <w:highlight w:val="none"/>
                <w:lang w:val="en-US"/>
              </w:rPr>
              <w:t>需落实的政府采购政策</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61AB3462">
            <w:pPr>
              <w:spacing w:line="360" w:lineRule="auto"/>
              <w:ind w:firstLine="410" w:firstLineChars="171"/>
              <w:rPr>
                <w:rFonts w:hint="eastAsia" w:cs="Times New Roman"/>
                <w:color w:val="auto"/>
                <w:sz w:val="24"/>
                <w:highlight w:val="none"/>
                <w:lang w:val="en-US" w:bidi="ar"/>
              </w:rPr>
            </w:pPr>
            <w:r>
              <w:rPr>
                <w:rFonts w:hint="eastAsia"/>
                <w:color w:val="auto"/>
                <w:sz w:val="24"/>
                <w:szCs w:val="24"/>
                <w:highlight w:val="none"/>
                <w:lang w:val="en-US"/>
              </w:rPr>
              <w:t>落实政府采购政策满足的资格要求：根据《政府采购促进中小企业发展管理办法》（财库〔2020〕46号）规定，本项目专门面向中小企业采购,同时供应商须提供《中小企业声明函》</w:t>
            </w:r>
          </w:p>
        </w:tc>
      </w:tr>
      <w:tr w14:paraId="52475F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trPr>
        <w:tc>
          <w:tcPr>
            <w:tcW w:w="712" w:type="dxa"/>
            <w:vMerge w:val="continue"/>
            <w:tcBorders>
              <w:left w:val="single" w:color="auto" w:sz="4" w:space="0"/>
              <w:right w:val="single" w:color="auto" w:sz="4" w:space="0"/>
            </w:tcBorders>
            <w:noWrap w:val="0"/>
            <w:vAlign w:val="center"/>
          </w:tcPr>
          <w:p w14:paraId="6346496E">
            <w:pPr>
              <w:spacing w:line="360" w:lineRule="auto"/>
              <w:rPr>
                <w:color w:val="auto"/>
                <w:sz w:val="21"/>
                <w:szCs w:val="21"/>
                <w:highlight w:val="none"/>
              </w:rPr>
            </w:pPr>
          </w:p>
        </w:tc>
        <w:tc>
          <w:tcPr>
            <w:tcW w:w="825" w:type="dxa"/>
            <w:vMerge w:val="continue"/>
            <w:tcBorders>
              <w:left w:val="nil"/>
              <w:right w:val="single" w:color="auto" w:sz="4" w:space="0"/>
            </w:tcBorders>
            <w:noWrap w:val="0"/>
            <w:vAlign w:val="center"/>
          </w:tcPr>
          <w:p w14:paraId="165963B6">
            <w:pPr>
              <w:spacing w:line="360" w:lineRule="auto"/>
              <w:rPr>
                <w:color w:val="auto"/>
                <w:sz w:val="21"/>
                <w:szCs w:val="21"/>
                <w:highlight w:val="none"/>
              </w:rPr>
            </w:pPr>
          </w:p>
        </w:tc>
        <w:tc>
          <w:tcPr>
            <w:tcW w:w="1181" w:type="dxa"/>
            <w:vMerge w:val="continue"/>
            <w:tcBorders>
              <w:left w:val="nil"/>
              <w:right w:val="single" w:color="auto" w:sz="4" w:space="0"/>
            </w:tcBorders>
            <w:noWrap w:val="0"/>
            <w:vAlign w:val="center"/>
          </w:tcPr>
          <w:p w14:paraId="15D460C0">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2FA46931">
            <w:pPr>
              <w:spacing w:line="360" w:lineRule="auto"/>
              <w:rPr>
                <w:rFonts w:cs="Times New Roman"/>
                <w:color w:val="auto"/>
                <w:sz w:val="24"/>
                <w:highlight w:val="none"/>
                <w:lang w:val="en-US" w:bidi="ar"/>
              </w:rPr>
            </w:pPr>
            <w:r>
              <w:rPr>
                <w:rFonts w:hint="eastAsia" w:cs="Times New Roman"/>
                <w:color w:val="auto"/>
                <w:sz w:val="24"/>
                <w:highlight w:val="none"/>
                <w:lang w:val="en-US" w:bidi="ar"/>
              </w:rPr>
              <w:t>具有履行本项目采购内容所必须的设备和专业技术服务能力</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6BEBD7CA">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提供证明材料或承诺书</w:t>
            </w:r>
          </w:p>
        </w:tc>
      </w:tr>
      <w:tr w14:paraId="163E63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43" w:hRule="atLeast"/>
        </w:trPr>
        <w:tc>
          <w:tcPr>
            <w:tcW w:w="712" w:type="dxa"/>
            <w:vMerge w:val="continue"/>
            <w:tcBorders>
              <w:left w:val="single" w:color="auto" w:sz="4" w:space="0"/>
              <w:right w:val="single" w:color="auto" w:sz="4" w:space="0"/>
            </w:tcBorders>
            <w:noWrap w:val="0"/>
            <w:vAlign w:val="center"/>
          </w:tcPr>
          <w:p w14:paraId="5A311F0C">
            <w:pPr>
              <w:spacing w:line="360" w:lineRule="auto"/>
              <w:rPr>
                <w:color w:val="auto"/>
                <w:sz w:val="21"/>
                <w:szCs w:val="21"/>
                <w:highlight w:val="none"/>
              </w:rPr>
            </w:pPr>
          </w:p>
        </w:tc>
        <w:tc>
          <w:tcPr>
            <w:tcW w:w="825" w:type="dxa"/>
            <w:vMerge w:val="continue"/>
            <w:tcBorders>
              <w:left w:val="nil"/>
              <w:right w:val="single" w:color="auto" w:sz="4" w:space="0"/>
            </w:tcBorders>
            <w:noWrap w:val="0"/>
            <w:vAlign w:val="center"/>
          </w:tcPr>
          <w:p w14:paraId="2C38577B">
            <w:pPr>
              <w:spacing w:line="360" w:lineRule="auto"/>
              <w:rPr>
                <w:color w:val="auto"/>
                <w:sz w:val="21"/>
                <w:szCs w:val="21"/>
                <w:highlight w:val="none"/>
              </w:rPr>
            </w:pPr>
          </w:p>
        </w:tc>
        <w:tc>
          <w:tcPr>
            <w:tcW w:w="1181" w:type="dxa"/>
            <w:vMerge w:val="continue"/>
            <w:tcBorders>
              <w:left w:val="nil"/>
              <w:right w:val="single" w:color="auto" w:sz="4" w:space="0"/>
            </w:tcBorders>
            <w:noWrap w:val="0"/>
            <w:vAlign w:val="center"/>
          </w:tcPr>
          <w:p w14:paraId="7CED61F6">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469B8967">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依法缴纳税收和缴纳社会保障资金</w:t>
            </w:r>
          </w:p>
        </w:tc>
        <w:tc>
          <w:tcPr>
            <w:tcW w:w="4871" w:type="dxa"/>
            <w:tcBorders>
              <w:top w:val="single" w:color="auto" w:sz="4" w:space="0"/>
              <w:left w:val="single" w:color="auto" w:sz="4" w:space="0"/>
              <w:right w:val="single" w:color="auto" w:sz="4" w:space="0"/>
            </w:tcBorders>
            <w:noWrap w:val="0"/>
            <w:vAlign w:val="center"/>
          </w:tcPr>
          <w:p w14:paraId="3CDECFD8">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提供近半年任意连续三个月依法缴纳税收和缴纳社会保障资金，依法免税的供应商，应提供相应文件证明其依法免税；</w:t>
            </w:r>
          </w:p>
        </w:tc>
      </w:tr>
      <w:tr w14:paraId="42E0BC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6" w:hRule="atLeast"/>
        </w:trPr>
        <w:tc>
          <w:tcPr>
            <w:tcW w:w="712" w:type="dxa"/>
            <w:vMerge w:val="continue"/>
            <w:tcBorders>
              <w:left w:val="single" w:color="auto" w:sz="4" w:space="0"/>
              <w:right w:val="single" w:color="auto" w:sz="4" w:space="0"/>
            </w:tcBorders>
            <w:noWrap w:val="0"/>
            <w:vAlign w:val="center"/>
          </w:tcPr>
          <w:p w14:paraId="0D765A12">
            <w:pPr>
              <w:spacing w:line="360" w:lineRule="auto"/>
              <w:rPr>
                <w:color w:val="auto"/>
                <w:sz w:val="21"/>
                <w:szCs w:val="21"/>
                <w:highlight w:val="none"/>
              </w:rPr>
            </w:pPr>
          </w:p>
        </w:tc>
        <w:tc>
          <w:tcPr>
            <w:tcW w:w="825" w:type="dxa"/>
            <w:vMerge w:val="continue"/>
            <w:tcBorders>
              <w:left w:val="nil"/>
              <w:right w:val="single" w:color="auto" w:sz="4" w:space="0"/>
            </w:tcBorders>
            <w:noWrap w:val="0"/>
            <w:vAlign w:val="center"/>
          </w:tcPr>
          <w:p w14:paraId="7FFCFCE7">
            <w:pPr>
              <w:spacing w:line="360" w:lineRule="auto"/>
              <w:rPr>
                <w:color w:val="auto"/>
                <w:sz w:val="21"/>
                <w:szCs w:val="21"/>
                <w:highlight w:val="none"/>
              </w:rPr>
            </w:pPr>
          </w:p>
        </w:tc>
        <w:tc>
          <w:tcPr>
            <w:tcW w:w="1181" w:type="dxa"/>
            <w:vMerge w:val="continue"/>
            <w:tcBorders>
              <w:left w:val="nil"/>
              <w:right w:val="single" w:color="auto" w:sz="4" w:space="0"/>
            </w:tcBorders>
            <w:noWrap w:val="0"/>
            <w:vAlign w:val="center"/>
          </w:tcPr>
          <w:p w14:paraId="0C59BB88">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36DBBCDA">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财务状况</w:t>
            </w:r>
          </w:p>
        </w:tc>
        <w:tc>
          <w:tcPr>
            <w:tcW w:w="4871" w:type="dxa"/>
            <w:tcBorders>
              <w:top w:val="single" w:color="auto" w:sz="4" w:space="0"/>
              <w:left w:val="single" w:color="auto" w:sz="4" w:space="0"/>
              <w:right w:val="single" w:color="auto" w:sz="4" w:space="0"/>
            </w:tcBorders>
            <w:noWrap w:val="0"/>
            <w:vAlign w:val="center"/>
          </w:tcPr>
          <w:p w14:paraId="76BA534F">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提供</w:t>
            </w:r>
            <w:r>
              <w:rPr>
                <w:rFonts w:cs="Times New Roman"/>
                <w:color w:val="auto"/>
                <w:sz w:val="24"/>
                <w:highlight w:val="none"/>
                <w:lang w:val="en-US" w:bidi="ar"/>
              </w:rPr>
              <w:t>2024年度财务报表或第三方审计机构出具的财务报告</w:t>
            </w:r>
            <w:r>
              <w:rPr>
                <w:rFonts w:hint="eastAsia" w:cs="Times New Roman"/>
                <w:color w:val="auto"/>
                <w:sz w:val="24"/>
                <w:highlight w:val="none"/>
                <w:lang w:val="en-US" w:bidi="ar"/>
              </w:rPr>
              <w:t>，</w:t>
            </w:r>
            <w:r>
              <w:rPr>
                <w:rFonts w:cs="Times New Roman"/>
                <w:color w:val="auto"/>
                <w:sz w:val="24"/>
                <w:highlight w:val="none"/>
                <w:lang w:val="en-US" w:bidi="ar"/>
              </w:rPr>
              <w:t>2025年新成立公司提供最新的财务报表及说明</w:t>
            </w:r>
            <w:r>
              <w:rPr>
                <w:rFonts w:hint="eastAsia" w:cs="Times New Roman"/>
                <w:color w:val="auto"/>
                <w:sz w:val="24"/>
                <w:highlight w:val="none"/>
                <w:lang w:val="en-US" w:bidi="ar"/>
              </w:rPr>
              <w:t>；</w:t>
            </w:r>
          </w:p>
        </w:tc>
      </w:tr>
      <w:tr w14:paraId="6EDF13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trPr>
        <w:tc>
          <w:tcPr>
            <w:tcW w:w="712" w:type="dxa"/>
            <w:vMerge w:val="continue"/>
            <w:tcBorders>
              <w:left w:val="single" w:color="auto" w:sz="4" w:space="0"/>
              <w:right w:val="single" w:color="auto" w:sz="4" w:space="0"/>
            </w:tcBorders>
            <w:noWrap w:val="0"/>
            <w:vAlign w:val="center"/>
          </w:tcPr>
          <w:p w14:paraId="5DC43055">
            <w:pPr>
              <w:spacing w:line="360" w:lineRule="auto"/>
              <w:rPr>
                <w:color w:val="auto"/>
                <w:sz w:val="21"/>
                <w:szCs w:val="21"/>
                <w:highlight w:val="none"/>
              </w:rPr>
            </w:pPr>
          </w:p>
        </w:tc>
        <w:tc>
          <w:tcPr>
            <w:tcW w:w="825" w:type="dxa"/>
            <w:vMerge w:val="continue"/>
            <w:tcBorders>
              <w:left w:val="nil"/>
              <w:right w:val="single" w:color="auto" w:sz="4" w:space="0"/>
            </w:tcBorders>
            <w:noWrap w:val="0"/>
            <w:vAlign w:val="center"/>
          </w:tcPr>
          <w:p w14:paraId="3970735D">
            <w:pPr>
              <w:spacing w:line="360" w:lineRule="auto"/>
              <w:rPr>
                <w:color w:val="auto"/>
                <w:sz w:val="21"/>
                <w:szCs w:val="21"/>
                <w:highlight w:val="none"/>
              </w:rPr>
            </w:pPr>
          </w:p>
        </w:tc>
        <w:tc>
          <w:tcPr>
            <w:tcW w:w="1181" w:type="dxa"/>
            <w:vMerge w:val="continue"/>
            <w:tcBorders>
              <w:left w:val="nil"/>
              <w:right w:val="single" w:color="auto" w:sz="4" w:space="0"/>
            </w:tcBorders>
            <w:noWrap w:val="0"/>
            <w:vAlign w:val="center"/>
          </w:tcPr>
          <w:p w14:paraId="0CB6D9A1">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25987D3D">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无行贿犯罪记录</w:t>
            </w:r>
          </w:p>
        </w:tc>
        <w:tc>
          <w:tcPr>
            <w:tcW w:w="4871" w:type="dxa"/>
            <w:tcBorders>
              <w:top w:val="single" w:color="auto" w:sz="4" w:space="0"/>
              <w:left w:val="single" w:color="auto" w:sz="4" w:space="0"/>
              <w:right w:val="single" w:color="auto" w:sz="4" w:space="0"/>
            </w:tcBorders>
            <w:noWrap w:val="0"/>
            <w:vAlign w:val="center"/>
          </w:tcPr>
          <w:p w14:paraId="3388E639">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参加政府采购活动前3年内无行贿犯罪记录（提供《中国裁判文书网》查询结果网页截图或投标人自行承诺的无行贿犯罪承诺书，查询&lt;或承诺&gt;对象为“企业，法定代表人，项目负责人”）</w:t>
            </w:r>
          </w:p>
        </w:tc>
      </w:tr>
      <w:tr w14:paraId="0B5199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86" w:hRule="atLeast"/>
        </w:trPr>
        <w:tc>
          <w:tcPr>
            <w:tcW w:w="712" w:type="dxa"/>
            <w:vMerge w:val="continue"/>
            <w:tcBorders>
              <w:left w:val="single" w:color="auto" w:sz="4" w:space="0"/>
              <w:right w:val="single" w:color="auto" w:sz="4" w:space="0"/>
            </w:tcBorders>
            <w:noWrap w:val="0"/>
            <w:vAlign w:val="center"/>
          </w:tcPr>
          <w:p w14:paraId="47499DF8">
            <w:pPr>
              <w:adjustRightInd w:val="0"/>
              <w:spacing w:line="360" w:lineRule="auto"/>
              <w:jc w:val="center"/>
              <w:textAlignment w:val="baseline"/>
              <w:rPr>
                <w:color w:val="auto"/>
                <w:sz w:val="21"/>
                <w:szCs w:val="21"/>
                <w:highlight w:val="none"/>
              </w:rPr>
            </w:pPr>
          </w:p>
        </w:tc>
        <w:tc>
          <w:tcPr>
            <w:tcW w:w="825" w:type="dxa"/>
            <w:vMerge w:val="continue"/>
            <w:tcBorders>
              <w:left w:val="nil"/>
              <w:right w:val="single" w:color="auto" w:sz="4" w:space="0"/>
            </w:tcBorders>
            <w:noWrap w:val="0"/>
            <w:vAlign w:val="center"/>
          </w:tcPr>
          <w:p w14:paraId="6F55D333">
            <w:pPr>
              <w:adjustRightInd w:val="0"/>
              <w:spacing w:line="360" w:lineRule="auto"/>
              <w:jc w:val="center"/>
              <w:textAlignment w:val="baseline"/>
              <w:rPr>
                <w:color w:val="auto"/>
                <w:sz w:val="21"/>
                <w:szCs w:val="21"/>
                <w:highlight w:val="none"/>
              </w:rPr>
            </w:pPr>
          </w:p>
        </w:tc>
        <w:tc>
          <w:tcPr>
            <w:tcW w:w="1181" w:type="dxa"/>
            <w:vMerge w:val="continue"/>
            <w:tcBorders>
              <w:left w:val="nil"/>
              <w:right w:val="single" w:color="auto" w:sz="4" w:space="0"/>
            </w:tcBorders>
            <w:noWrap w:val="0"/>
            <w:vAlign w:val="center"/>
          </w:tcPr>
          <w:p w14:paraId="4EC9A544">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right w:val="single" w:color="auto" w:sz="4" w:space="0"/>
            </w:tcBorders>
            <w:noWrap w:val="0"/>
            <w:vAlign w:val="center"/>
          </w:tcPr>
          <w:p w14:paraId="11F0ECA0">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参加政府采购活动前3年内无商业贿赂和不正当竞争行为</w:t>
            </w:r>
          </w:p>
        </w:tc>
        <w:tc>
          <w:tcPr>
            <w:tcW w:w="4871" w:type="dxa"/>
            <w:tcBorders>
              <w:left w:val="single" w:color="auto" w:sz="4" w:space="0"/>
              <w:bottom w:val="single" w:color="auto" w:sz="4" w:space="0"/>
              <w:right w:val="single" w:color="auto" w:sz="4" w:space="0"/>
            </w:tcBorders>
            <w:noWrap w:val="0"/>
            <w:vAlign w:val="center"/>
          </w:tcPr>
          <w:p w14:paraId="556CBFF5">
            <w:pPr>
              <w:spacing w:line="360" w:lineRule="auto"/>
              <w:ind w:firstLine="410" w:firstLineChars="171"/>
              <w:rPr>
                <w:rFonts w:cs="Times New Roman"/>
                <w:color w:val="auto"/>
                <w:sz w:val="24"/>
                <w:highlight w:val="none"/>
                <w:lang w:val="en-US" w:bidi="ar"/>
              </w:rPr>
            </w:pPr>
            <w:r>
              <w:rPr>
                <w:rFonts w:cs="Times New Roman"/>
                <w:color w:val="auto"/>
                <w:sz w:val="24"/>
                <w:highlight w:val="none"/>
                <w:lang w:val="en-US" w:bidi="ar"/>
              </w:rPr>
              <w:t>提供企业注册地工商管理部门出具的无商业贿赂和不正当竞争行为的查询证明（若当地工商管理部门不办理此项业务，供应商须自行出具本企业无商业贿赂和不正当竞争行为承诺书）</w:t>
            </w:r>
          </w:p>
        </w:tc>
      </w:tr>
      <w:tr w14:paraId="55A609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6" w:hRule="atLeast"/>
        </w:trPr>
        <w:tc>
          <w:tcPr>
            <w:tcW w:w="712" w:type="dxa"/>
            <w:vMerge w:val="continue"/>
            <w:tcBorders>
              <w:left w:val="single" w:color="auto" w:sz="4" w:space="0"/>
              <w:bottom w:val="nil"/>
              <w:right w:val="single" w:color="auto" w:sz="4" w:space="0"/>
            </w:tcBorders>
            <w:noWrap w:val="0"/>
            <w:vAlign w:val="center"/>
          </w:tcPr>
          <w:p w14:paraId="01A69007">
            <w:pPr>
              <w:spacing w:line="360" w:lineRule="auto"/>
              <w:rPr>
                <w:color w:val="auto"/>
                <w:sz w:val="21"/>
                <w:szCs w:val="21"/>
                <w:highlight w:val="none"/>
              </w:rPr>
            </w:pPr>
          </w:p>
        </w:tc>
        <w:tc>
          <w:tcPr>
            <w:tcW w:w="825" w:type="dxa"/>
            <w:vMerge w:val="continue"/>
            <w:tcBorders>
              <w:left w:val="nil"/>
              <w:bottom w:val="single" w:color="auto" w:sz="4" w:space="0"/>
              <w:right w:val="single" w:color="auto" w:sz="4" w:space="0"/>
            </w:tcBorders>
            <w:noWrap w:val="0"/>
            <w:vAlign w:val="center"/>
          </w:tcPr>
          <w:p w14:paraId="2F2DD166">
            <w:pPr>
              <w:spacing w:line="360" w:lineRule="auto"/>
              <w:rPr>
                <w:color w:val="auto"/>
                <w:sz w:val="21"/>
                <w:szCs w:val="21"/>
                <w:highlight w:val="none"/>
              </w:rPr>
            </w:pPr>
          </w:p>
        </w:tc>
        <w:tc>
          <w:tcPr>
            <w:tcW w:w="1181" w:type="dxa"/>
            <w:vMerge w:val="continue"/>
            <w:tcBorders>
              <w:left w:val="nil"/>
              <w:bottom w:val="single" w:color="auto" w:sz="4" w:space="0"/>
              <w:right w:val="single" w:color="auto" w:sz="4" w:space="0"/>
            </w:tcBorders>
            <w:noWrap w:val="0"/>
            <w:vAlign w:val="center"/>
          </w:tcPr>
          <w:p w14:paraId="2A5E90CF">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6F8C56D7">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“信用中国”网站、“中国政府采购网”查询截图</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779581D5">
            <w:pPr>
              <w:wordWrap w:val="0"/>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截图需显示日期，查询时间为自公告发布之日起至磋商截止时间前</w:t>
            </w:r>
          </w:p>
        </w:tc>
      </w:tr>
      <w:tr w14:paraId="0850DC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trPr>
        <w:tc>
          <w:tcPr>
            <w:tcW w:w="712" w:type="dxa"/>
            <w:vMerge w:val="restart"/>
            <w:tcBorders>
              <w:top w:val="single" w:color="auto" w:sz="4" w:space="0"/>
              <w:left w:val="single" w:color="auto" w:sz="4" w:space="0"/>
              <w:bottom w:val="single" w:color="auto" w:sz="4" w:space="0"/>
              <w:right w:val="single" w:color="auto" w:sz="4" w:space="0"/>
            </w:tcBorders>
            <w:noWrap w:val="0"/>
            <w:vAlign w:val="center"/>
          </w:tcPr>
          <w:p w14:paraId="4FB9E97B">
            <w:pPr>
              <w:adjustRightInd w:val="0"/>
              <w:spacing w:line="360" w:lineRule="auto"/>
              <w:jc w:val="center"/>
              <w:textAlignment w:val="baseline"/>
              <w:rPr>
                <w:color w:val="auto"/>
                <w:sz w:val="21"/>
                <w:szCs w:val="21"/>
                <w:highlight w:val="none"/>
              </w:rPr>
            </w:pPr>
            <w:r>
              <w:rPr>
                <w:rFonts w:hint="eastAsia"/>
                <w:color w:val="auto"/>
                <w:sz w:val="21"/>
                <w:szCs w:val="21"/>
                <w:highlight w:val="none"/>
                <w:lang w:bidi="ar"/>
              </w:rPr>
              <w:t>3</w:t>
            </w:r>
          </w:p>
        </w:tc>
        <w:tc>
          <w:tcPr>
            <w:tcW w:w="825" w:type="dxa"/>
            <w:vMerge w:val="restart"/>
            <w:tcBorders>
              <w:top w:val="single" w:color="auto" w:sz="4" w:space="0"/>
              <w:left w:val="nil"/>
              <w:bottom w:val="single" w:color="auto" w:sz="4" w:space="0"/>
              <w:right w:val="single" w:color="auto" w:sz="4" w:space="0"/>
            </w:tcBorders>
            <w:noWrap w:val="0"/>
            <w:vAlign w:val="center"/>
          </w:tcPr>
          <w:p w14:paraId="1971D7D4">
            <w:pPr>
              <w:adjustRightInd w:val="0"/>
              <w:spacing w:line="360" w:lineRule="auto"/>
              <w:jc w:val="center"/>
              <w:textAlignment w:val="baseline"/>
              <w:rPr>
                <w:color w:val="auto"/>
                <w:sz w:val="21"/>
                <w:szCs w:val="21"/>
                <w:highlight w:val="none"/>
              </w:rPr>
            </w:pPr>
            <w:r>
              <w:rPr>
                <w:rFonts w:hint="eastAsia"/>
                <w:color w:val="auto"/>
                <w:sz w:val="21"/>
                <w:szCs w:val="21"/>
                <w:highlight w:val="none"/>
                <w:lang w:bidi="ar"/>
              </w:rPr>
              <w:t>2.1.3</w:t>
            </w:r>
          </w:p>
        </w:tc>
        <w:tc>
          <w:tcPr>
            <w:tcW w:w="1181" w:type="dxa"/>
            <w:vMerge w:val="restart"/>
            <w:tcBorders>
              <w:top w:val="single" w:color="auto" w:sz="4" w:space="0"/>
              <w:left w:val="nil"/>
              <w:bottom w:val="single" w:color="auto" w:sz="4" w:space="0"/>
              <w:right w:val="single" w:color="auto" w:sz="4" w:space="0"/>
            </w:tcBorders>
            <w:noWrap w:val="0"/>
            <w:vAlign w:val="center"/>
          </w:tcPr>
          <w:p w14:paraId="7B94C156">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响应性评审标准</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6FEF4FC1">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投标报价</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74F33F9E">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投标报价未超过最高限价</w:t>
            </w:r>
          </w:p>
        </w:tc>
      </w:tr>
      <w:tr w14:paraId="68DD0F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trPr>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16C10FDF">
            <w:pPr>
              <w:adjustRightInd w:val="0"/>
              <w:spacing w:line="360" w:lineRule="auto"/>
              <w:jc w:val="center"/>
              <w:textAlignment w:val="baseline"/>
              <w:rPr>
                <w:rFonts w:hint="eastAsia"/>
                <w:color w:val="auto"/>
                <w:sz w:val="21"/>
                <w:szCs w:val="21"/>
                <w:highlight w:val="none"/>
                <w:lang w:bidi="ar"/>
              </w:rPr>
            </w:pPr>
          </w:p>
        </w:tc>
        <w:tc>
          <w:tcPr>
            <w:tcW w:w="825" w:type="dxa"/>
            <w:vMerge w:val="continue"/>
            <w:tcBorders>
              <w:top w:val="single" w:color="auto" w:sz="4" w:space="0"/>
              <w:left w:val="nil"/>
              <w:bottom w:val="single" w:color="auto" w:sz="4" w:space="0"/>
              <w:right w:val="single" w:color="auto" w:sz="4" w:space="0"/>
            </w:tcBorders>
            <w:noWrap w:val="0"/>
            <w:vAlign w:val="center"/>
          </w:tcPr>
          <w:p w14:paraId="55FEDD8B">
            <w:pPr>
              <w:adjustRightInd w:val="0"/>
              <w:spacing w:line="360" w:lineRule="auto"/>
              <w:jc w:val="center"/>
              <w:textAlignment w:val="baseline"/>
              <w:rPr>
                <w:rFonts w:hint="eastAsia"/>
                <w:color w:val="auto"/>
                <w:sz w:val="21"/>
                <w:szCs w:val="21"/>
                <w:highlight w:val="none"/>
                <w:lang w:bidi="ar"/>
              </w:rPr>
            </w:pPr>
          </w:p>
        </w:tc>
        <w:tc>
          <w:tcPr>
            <w:tcW w:w="1181" w:type="dxa"/>
            <w:vMerge w:val="continue"/>
            <w:tcBorders>
              <w:top w:val="single" w:color="auto" w:sz="4" w:space="0"/>
              <w:left w:val="nil"/>
              <w:bottom w:val="single" w:color="auto" w:sz="4" w:space="0"/>
              <w:right w:val="single" w:color="auto" w:sz="4" w:space="0"/>
            </w:tcBorders>
            <w:noWrap w:val="0"/>
            <w:vAlign w:val="center"/>
          </w:tcPr>
          <w:p w14:paraId="272EA57F">
            <w:pPr>
              <w:spacing w:line="360" w:lineRule="auto"/>
              <w:jc w:val="center"/>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18BDBF11">
            <w:pPr>
              <w:spacing w:before="240"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磋商范围</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44FF4EE9">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符合第二章“供应商须知”采购内容规定</w:t>
            </w:r>
          </w:p>
        </w:tc>
      </w:tr>
      <w:tr w14:paraId="6165B8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5A3A7E7C">
            <w:pPr>
              <w:spacing w:line="360" w:lineRule="auto"/>
              <w:rPr>
                <w:color w:val="auto"/>
                <w:sz w:val="21"/>
                <w:szCs w:val="21"/>
                <w:highlight w:val="none"/>
              </w:rPr>
            </w:pPr>
          </w:p>
        </w:tc>
        <w:tc>
          <w:tcPr>
            <w:tcW w:w="825" w:type="dxa"/>
            <w:vMerge w:val="continue"/>
            <w:tcBorders>
              <w:top w:val="single" w:color="auto" w:sz="4" w:space="0"/>
              <w:left w:val="nil"/>
              <w:bottom w:val="single" w:color="auto" w:sz="4" w:space="0"/>
              <w:right w:val="single" w:color="auto" w:sz="4" w:space="0"/>
            </w:tcBorders>
            <w:noWrap w:val="0"/>
            <w:vAlign w:val="center"/>
          </w:tcPr>
          <w:p w14:paraId="71573042">
            <w:pPr>
              <w:spacing w:line="360" w:lineRule="auto"/>
              <w:rPr>
                <w:color w:val="auto"/>
                <w:sz w:val="21"/>
                <w:szCs w:val="21"/>
                <w:highlight w:val="none"/>
              </w:rPr>
            </w:pPr>
          </w:p>
        </w:tc>
        <w:tc>
          <w:tcPr>
            <w:tcW w:w="1181" w:type="dxa"/>
            <w:vMerge w:val="continue"/>
            <w:tcBorders>
              <w:top w:val="single" w:color="auto" w:sz="4" w:space="0"/>
              <w:left w:val="nil"/>
              <w:bottom w:val="single" w:color="auto" w:sz="4" w:space="0"/>
              <w:right w:val="single" w:color="auto" w:sz="4" w:space="0"/>
            </w:tcBorders>
            <w:noWrap w:val="0"/>
            <w:vAlign w:val="center"/>
          </w:tcPr>
          <w:p w14:paraId="51468B48">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0ABB559B">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供货期限</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306E1243">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符合第二章“供应商须知”规定</w:t>
            </w:r>
          </w:p>
        </w:tc>
      </w:tr>
      <w:tr w14:paraId="4E5E2F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22980A65">
            <w:pPr>
              <w:spacing w:line="360" w:lineRule="auto"/>
              <w:rPr>
                <w:color w:val="auto"/>
                <w:sz w:val="21"/>
                <w:szCs w:val="21"/>
                <w:highlight w:val="none"/>
              </w:rPr>
            </w:pPr>
          </w:p>
        </w:tc>
        <w:tc>
          <w:tcPr>
            <w:tcW w:w="825" w:type="dxa"/>
            <w:vMerge w:val="continue"/>
            <w:tcBorders>
              <w:top w:val="single" w:color="auto" w:sz="4" w:space="0"/>
              <w:left w:val="nil"/>
              <w:bottom w:val="single" w:color="auto" w:sz="4" w:space="0"/>
              <w:right w:val="single" w:color="auto" w:sz="4" w:space="0"/>
            </w:tcBorders>
            <w:noWrap w:val="0"/>
            <w:vAlign w:val="center"/>
          </w:tcPr>
          <w:p w14:paraId="61741465">
            <w:pPr>
              <w:spacing w:line="360" w:lineRule="auto"/>
              <w:rPr>
                <w:color w:val="auto"/>
                <w:sz w:val="21"/>
                <w:szCs w:val="21"/>
                <w:highlight w:val="none"/>
              </w:rPr>
            </w:pPr>
          </w:p>
        </w:tc>
        <w:tc>
          <w:tcPr>
            <w:tcW w:w="1181" w:type="dxa"/>
            <w:vMerge w:val="continue"/>
            <w:tcBorders>
              <w:top w:val="single" w:color="auto" w:sz="4" w:space="0"/>
              <w:left w:val="nil"/>
              <w:bottom w:val="single" w:color="auto" w:sz="4" w:space="0"/>
              <w:right w:val="single" w:color="auto" w:sz="4" w:space="0"/>
            </w:tcBorders>
            <w:noWrap w:val="0"/>
            <w:vAlign w:val="center"/>
          </w:tcPr>
          <w:p w14:paraId="29DE7013">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6D01DD77">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供货</w:t>
            </w:r>
            <w:r>
              <w:rPr>
                <w:rFonts w:cs="Times New Roman"/>
                <w:color w:val="auto"/>
                <w:sz w:val="24"/>
                <w:highlight w:val="none"/>
                <w:lang w:val="en-US" w:bidi="ar"/>
              </w:rPr>
              <w:t>地点</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537AD19B">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符合第二章“供应商须知”规定</w:t>
            </w:r>
          </w:p>
        </w:tc>
      </w:tr>
      <w:tr w14:paraId="35410D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38D4FE27">
            <w:pPr>
              <w:spacing w:line="360" w:lineRule="auto"/>
              <w:rPr>
                <w:color w:val="auto"/>
                <w:sz w:val="21"/>
                <w:szCs w:val="21"/>
                <w:highlight w:val="none"/>
              </w:rPr>
            </w:pPr>
          </w:p>
        </w:tc>
        <w:tc>
          <w:tcPr>
            <w:tcW w:w="825" w:type="dxa"/>
            <w:vMerge w:val="continue"/>
            <w:tcBorders>
              <w:top w:val="single" w:color="auto" w:sz="4" w:space="0"/>
              <w:left w:val="nil"/>
              <w:bottom w:val="single" w:color="auto" w:sz="4" w:space="0"/>
              <w:right w:val="single" w:color="auto" w:sz="4" w:space="0"/>
            </w:tcBorders>
            <w:noWrap w:val="0"/>
            <w:vAlign w:val="center"/>
          </w:tcPr>
          <w:p w14:paraId="34B49A3A">
            <w:pPr>
              <w:spacing w:line="360" w:lineRule="auto"/>
              <w:rPr>
                <w:color w:val="auto"/>
                <w:sz w:val="21"/>
                <w:szCs w:val="21"/>
                <w:highlight w:val="none"/>
              </w:rPr>
            </w:pPr>
          </w:p>
        </w:tc>
        <w:tc>
          <w:tcPr>
            <w:tcW w:w="1181" w:type="dxa"/>
            <w:vMerge w:val="continue"/>
            <w:tcBorders>
              <w:top w:val="single" w:color="auto" w:sz="4" w:space="0"/>
              <w:left w:val="nil"/>
              <w:bottom w:val="single" w:color="auto" w:sz="4" w:space="0"/>
              <w:right w:val="single" w:color="auto" w:sz="4" w:space="0"/>
            </w:tcBorders>
            <w:noWrap w:val="0"/>
            <w:vAlign w:val="center"/>
          </w:tcPr>
          <w:p w14:paraId="5A539E6B">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426271C3">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质量要求</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539FE2A8">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符合第二章“供应商须知”规定</w:t>
            </w:r>
          </w:p>
        </w:tc>
      </w:tr>
      <w:tr w14:paraId="28F569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5" w:hRule="atLeast"/>
        </w:trPr>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7DFEB712">
            <w:pPr>
              <w:spacing w:line="360" w:lineRule="auto"/>
              <w:rPr>
                <w:color w:val="auto"/>
                <w:sz w:val="21"/>
                <w:szCs w:val="21"/>
                <w:highlight w:val="none"/>
              </w:rPr>
            </w:pPr>
          </w:p>
        </w:tc>
        <w:tc>
          <w:tcPr>
            <w:tcW w:w="825" w:type="dxa"/>
            <w:vMerge w:val="continue"/>
            <w:tcBorders>
              <w:top w:val="single" w:color="auto" w:sz="4" w:space="0"/>
              <w:left w:val="nil"/>
              <w:bottom w:val="single" w:color="auto" w:sz="4" w:space="0"/>
              <w:right w:val="single" w:color="auto" w:sz="4" w:space="0"/>
            </w:tcBorders>
            <w:noWrap w:val="0"/>
            <w:vAlign w:val="center"/>
          </w:tcPr>
          <w:p w14:paraId="76FC098D">
            <w:pPr>
              <w:spacing w:line="360" w:lineRule="auto"/>
              <w:rPr>
                <w:color w:val="auto"/>
                <w:sz w:val="21"/>
                <w:szCs w:val="21"/>
                <w:highlight w:val="none"/>
              </w:rPr>
            </w:pPr>
          </w:p>
        </w:tc>
        <w:tc>
          <w:tcPr>
            <w:tcW w:w="1181" w:type="dxa"/>
            <w:vMerge w:val="continue"/>
            <w:tcBorders>
              <w:top w:val="single" w:color="auto" w:sz="4" w:space="0"/>
              <w:left w:val="nil"/>
              <w:bottom w:val="single" w:color="auto" w:sz="4" w:space="0"/>
              <w:right w:val="single" w:color="auto" w:sz="4" w:space="0"/>
            </w:tcBorders>
            <w:noWrap w:val="0"/>
            <w:vAlign w:val="center"/>
          </w:tcPr>
          <w:p w14:paraId="3785BBB6">
            <w:pPr>
              <w:spacing w:line="360" w:lineRule="auto"/>
              <w:ind w:firstLine="410" w:firstLineChars="171"/>
              <w:rPr>
                <w:rFonts w:hint="eastAsia" w:cs="Times New Roman"/>
                <w:color w:val="auto"/>
                <w:sz w:val="24"/>
                <w:highlight w:val="none"/>
                <w:lang w:val="en-US" w:bidi="ar"/>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53CF130A">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磋商有效期</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25EB91BA">
            <w:pPr>
              <w:spacing w:line="360" w:lineRule="auto"/>
              <w:ind w:firstLine="410" w:firstLineChars="171"/>
              <w:rPr>
                <w:rFonts w:hint="eastAsia" w:cs="Times New Roman"/>
                <w:color w:val="auto"/>
                <w:sz w:val="24"/>
                <w:highlight w:val="none"/>
                <w:lang w:val="en-US" w:bidi="ar"/>
              </w:rPr>
            </w:pPr>
            <w:r>
              <w:rPr>
                <w:rFonts w:hint="eastAsia" w:cs="Times New Roman"/>
                <w:color w:val="auto"/>
                <w:sz w:val="24"/>
                <w:highlight w:val="none"/>
                <w:lang w:val="en-US" w:bidi="ar"/>
              </w:rPr>
              <w:t>符合第二章“供应商须知”规定</w:t>
            </w:r>
          </w:p>
        </w:tc>
      </w:tr>
    </w:tbl>
    <w:p w14:paraId="3EA76038">
      <w:pPr>
        <w:wordWrap w:val="0"/>
        <w:spacing w:line="420" w:lineRule="exact"/>
        <w:ind w:firstLine="426" w:firstLineChars="177"/>
        <w:rPr>
          <w:rFonts w:hint="eastAsia"/>
          <w:b/>
          <w:bCs/>
          <w:color w:val="auto"/>
          <w:sz w:val="24"/>
          <w:szCs w:val="24"/>
          <w:highlight w:val="none"/>
        </w:rPr>
      </w:pPr>
    </w:p>
    <w:p w14:paraId="1579E477">
      <w:pPr>
        <w:pStyle w:val="14"/>
        <w:ind w:left="440" w:firstLine="420"/>
        <w:rPr>
          <w:rFonts w:hint="eastAsia"/>
          <w:color w:val="auto"/>
          <w:highlight w:val="none"/>
        </w:rPr>
      </w:pPr>
    </w:p>
    <w:p w14:paraId="707A4D73">
      <w:pPr>
        <w:wordWrap w:val="0"/>
        <w:spacing w:line="420" w:lineRule="exact"/>
        <w:ind w:firstLine="426" w:firstLineChars="177"/>
        <w:rPr>
          <w:b/>
          <w:bCs/>
          <w:color w:val="auto"/>
          <w:sz w:val="24"/>
          <w:szCs w:val="24"/>
          <w:highlight w:val="none"/>
        </w:rPr>
      </w:pPr>
      <w:r>
        <w:rPr>
          <w:rFonts w:hint="eastAsia"/>
          <w:b/>
          <w:bCs/>
          <w:color w:val="auto"/>
          <w:sz w:val="24"/>
          <w:szCs w:val="24"/>
          <w:highlight w:val="none"/>
        </w:rPr>
        <w:t>3.3详细评审</w:t>
      </w:r>
    </w:p>
    <w:tbl>
      <w:tblPr>
        <w:tblStyle w:val="15"/>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000"/>
        <w:gridCol w:w="1299"/>
        <w:gridCol w:w="6226"/>
        <w:gridCol w:w="911"/>
      </w:tblGrid>
      <w:tr w14:paraId="7CA6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A030C92">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25060B1">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项目</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244C726">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分值</w:t>
            </w:r>
          </w:p>
        </w:tc>
        <w:tc>
          <w:tcPr>
            <w:tcW w:w="6226" w:type="dxa"/>
            <w:tcBorders>
              <w:top w:val="single" w:color="auto" w:sz="4" w:space="0"/>
              <w:left w:val="single" w:color="auto" w:sz="4" w:space="0"/>
              <w:bottom w:val="single" w:color="auto" w:sz="4" w:space="0"/>
              <w:right w:val="single" w:color="auto" w:sz="4" w:space="0"/>
            </w:tcBorders>
            <w:noWrap w:val="0"/>
            <w:vAlign w:val="center"/>
          </w:tcPr>
          <w:p w14:paraId="6C4A03C2">
            <w:pPr>
              <w:spacing w:line="360" w:lineRule="auto"/>
              <w:ind w:firstLine="410" w:firstLineChars="171"/>
              <w:jc w:val="center"/>
              <w:rPr>
                <w:rFonts w:hint="eastAsia" w:cs="Times New Roman"/>
                <w:color w:val="auto"/>
                <w:sz w:val="24"/>
                <w:highlight w:val="none"/>
                <w:lang w:val="en-US" w:bidi="ar"/>
              </w:rPr>
            </w:pPr>
            <w:r>
              <w:rPr>
                <w:rFonts w:hint="eastAsia" w:cs="Times New Roman"/>
                <w:color w:val="auto"/>
                <w:sz w:val="24"/>
                <w:highlight w:val="none"/>
                <w:lang w:val="en-US" w:bidi="ar"/>
              </w:rPr>
              <w:t>评分标准</w:t>
            </w:r>
          </w:p>
        </w:tc>
        <w:tc>
          <w:tcPr>
            <w:tcW w:w="911" w:type="dxa"/>
            <w:tcBorders>
              <w:top w:val="single" w:color="auto" w:sz="4" w:space="0"/>
              <w:left w:val="single" w:color="auto" w:sz="4" w:space="0"/>
              <w:bottom w:val="single" w:color="auto" w:sz="4" w:space="0"/>
              <w:right w:val="single" w:color="auto" w:sz="4" w:space="0"/>
            </w:tcBorders>
            <w:noWrap w:val="0"/>
            <w:vAlign w:val="top"/>
          </w:tcPr>
          <w:p w14:paraId="62BA2BCC">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备注</w:t>
            </w:r>
          </w:p>
        </w:tc>
      </w:tr>
      <w:tr w14:paraId="585A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F56D7DD">
            <w:pPr>
              <w:spacing w:line="360" w:lineRule="auto"/>
              <w:ind w:firstLine="410" w:firstLineChars="171"/>
              <w:jc w:val="center"/>
              <w:rPr>
                <w:rFonts w:hint="eastAsia" w:cs="Times New Roman"/>
                <w:color w:val="auto"/>
                <w:sz w:val="24"/>
                <w:highlight w:val="none"/>
                <w:lang w:val="en-US" w:bidi="ar"/>
              </w:rPr>
            </w:pPr>
            <w:r>
              <w:rPr>
                <w:rFonts w:hint="eastAsia" w:cs="Times New Roman"/>
                <w:color w:val="auto"/>
                <w:sz w:val="24"/>
                <w:highlight w:val="none"/>
                <w:lang w:val="en-US" w:bidi="ar"/>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D166483">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报价部分</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5AF39DF">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报价</w:t>
            </w:r>
          </w:p>
          <w:p w14:paraId="7232FF4A">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eastAsia="zh-CN" w:bidi="ar"/>
              </w:rPr>
              <w:t>30</w:t>
            </w:r>
            <w:r>
              <w:rPr>
                <w:rFonts w:hint="eastAsia" w:cs="Times New Roman"/>
                <w:color w:val="auto"/>
                <w:sz w:val="24"/>
                <w:highlight w:val="none"/>
                <w:lang w:val="en-US" w:bidi="ar"/>
              </w:rPr>
              <w:t>分</w:t>
            </w:r>
          </w:p>
        </w:tc>
        <w:tc>
          <w:tcPr>
            <w:tcW w:w="6226" w:type="dxa"/>
            <w:tcBorders>
              <w:top w:val="single" w:color="auto" w:sz="4" w:space="0"/>
              <w:left w:val="single" w:color="auto" w:sz="4" w:space="0"/>
              <w:bottom w:val="single" w:color="auto" w:sz="4" w:space="0"/>
              <w:right w:val="single" w:color="auto" w:sz="4" w:space="0"/>
            </w:tcBorders>
            <w:noWrap w:val="0"/>
            <w:vAlign w:val="center"/>
          </w:tcPr>
          <w:p w14:paraId="3AABB56C">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价格分采用低价优先法计算，即通过资格性和初步审查且第二轮投标价格最低的投标报价为评标基准价，其价格得分为满分</w:t>
            </w:r>
            <w:r>
              <w:rPr>
                <w:rFonts w:hint="eastAsia" w:cs="Times New Roman"/>
                <w:color w:val="auto"/>
                <w:sz w:val="24"/>
                <w:highlight w:val="none"/>
                <w:lang w:val="en-US" w:eastAsia="zh-CN" w:bidi="ar"/>
              </w:rPr>
              <w:t>30</w:t>
            </w:r>
            <w:r>
              <w:rPr>
                <w:rFonts w:hint="eastAsia" w:cs="Times New Roman"/>
                <w:color w:val="auto"/>
                <w:sz w:val="24"/>
                <w:highlight w:val="none"/>
                <w:lang w:val="en-US" w:bidi="ar"/>
              </w:rPr>
              <w:t>分。</w:t>
            </w:r>
          </w:p>
          <w:p w14:paraId="66DB5A87">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其他投标供应商的价格分统一按照下列公式计算：</w:t>
            </w:r>
          </w:p>
          <w:p w14:paraId="69E4B60C">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投标报价得分＝（评标基准价/投标报价）×</w:t>
            </w:r>
            <w:r>
              <w:rPr>
                <w:rFonts w:hint="eastAsia" w:cs="Times New Roman"/>
                <w:color w:val="auto"/>
                <w:sz w:val="24"/>
                <w:highlight w:val="none"/>
                <w:lang w:val="en-US" w:eastAsia="zh-CN" w:bidi="ar"/>
              </w:rPr>
              <w:t>30</w:t>
            </w:r>
            <w:r>
              <w:rPr>
                <w:rFonts w:hint="eastAsia" w:cs="Times New Roman"/>
                <w:color w:val="auto"/>
                <w:sz w:val="24"/>
                <w:highlight w:val="none"/>
                <w:lang w:val="en-US" w:bidi="ar"/>
              </w:rPr>
              <w:t>％×100</w:t>
            </w:r>
          </w:p>
        </w:tc>
        <w:tc>
          <w:tcPr>
            <w:tcW w:w="911" w:type="dxa"/>
            <w:tcBorders>
              <w:top w:val="single" w:color="auto" w:sz="4" w:space="0"/>
              <w:left w:val="single" w:color="auto" w:sz="4" w:space="0"/>
              <w:bottom w:val="single" w:color="auto" w:sz="4" w:space="0"/>
              <w:right w:val="single" w:color="auto" w:sz="4" w:space="0"/>
            </w:tcBorders>
            <w:noWrap w:val="0"/>
            <w:vAlign w:val="top"/>
          </w:tcPr>
          <w:p w14:paraId="3177D8CE">
            <w:pPr>
              <w:spacing w:line="360" w:lineRule="auto"/>
              <w:ind w:firstLine="410" w:firstLineChars="171"/>
              <w:jc w:val="center"/>
              <w:rPr>
                <w:rFonts w:hint="eastAsia" w:cs="Times New Roman"/>
                <w:color w:val="auto"/>
                <w:sz w:val="24"/>
                <w:highlight w:val="none"/>
                <w:lang w:val="en-US" w:bidi="ar"/>
              </w:rPr>
            </w:pPr>
          </w:p>
        </w:tc>
      </w:tr>
      <w:tr w14:paraId="3441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722" w:type="dxa"/>
            <w:vMerge w:val="restart"/>
            <w:tcBorders>
              <w:left w:val="single" w:color="auto" w:sz="4" w:space="0"/>
              <w:right w:val="single" w:color="auto" w:sz="4" w:space="0"/>
            </w:tcBorders>
            <w:noWrap w:val="0"/>
            <w:vAlign w:val="center"/>
          </w:tcPr>
          <w:p w14:paraId="1C161622">
            <w:pPr>
              <w:spacing w:line="360" w:lineRule="auto"/>
              <w:ind w:firstLine="410" w:firstLineChars="171"/>
              <w:jc w:val="center"/>
              <w:rPr>
                <w:rFonts w:hint="eastAsia" w:cs="Times New Roman"/>
                <w:color w:val="auto"/>
                <w:sz w:val="24"/>
                <w:highlight w:val="none"/>
                <w:lang w:val="en-US" w:bidi="ar"/>
              </w:rPr>
            </w:pPr>
            <w:r>
              <w:rPr>
                <w:rFonts w:hint="eastAsia" w:cs="Times New Roman"/>
                <w:color w:val="auto"/>
                <w:sz w:val="24"/>
                <w:highlight w:val="none"/>
                <w:lang w:val="en-US" w:bidi="ar"/>
              </w:rPr>
              <w:t>2</w:t>
            </w:r>
          </w:p>
        </w:tc>
        <w:tc>
          <w:tcPr>
            <w:tcW w:w="1000" w:type="dxa"/>
            <w:vMerge w:val="restart"/>
            <w:tcBorders>
              <w:left w:val="single" w:color="auto" w:sz="4" w:space="0"/>
              <w:right w:val="single" w:color="auto" w:sz="4" w:space="0"/>
            </w:tcBorders>
            <w:noWrap w:val="0"/>
            <w:vAlign w:val="center"/>
          </w:tcPr>
          <w:p w14:paraId="13D5756B">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商务部分（</w:t>
            </w:r>
            <w:r>
              <w:rPr>
                <w:rFonts w:hint="eastAsia" w:cs="Times New Roman"/>
                <w:color w:val="auto"/>
                <w:sz w:val="24"/>
                <w:highlight w:val="none"/>
                <w:lang w:val="en-US" w:eastAsia="zh-CN" w:bidi="ar"/>
              </w:rPr>
              <w:t>3</w:t>
            </w:r>
            <w:r>
              <w:rPr>
                <w:rFonts w:cs="Times New Roman"/>
                <w:color w:val="auto"/>
                <w:sz w:val="24"/>
                <w:highlight w:val="none"/>
                <w:lang w:val="en-US" w:bidi="ar"/>
              </w:rPr>
              <w:t>5</w:t>
            </w:r>
            <w:r>
              <w:rPr>
                <w:rFonts w:hint="eastAsia" w:cs="Times New Roman"/>
                <w:color w:val="auto"/>
                <w:sz w:val="24"/>
                <w:highlight w:val="none"/>
                <w:lang w:val="en-US" w:bidi="ar"/>
              </w:rPr>
              <w:t>分）</w:t>
            </w:r>
          </w:p>
        </w:tc>
        <w:tc>
          <w:tcPr>
            <w:tcW w:w="1299" w:type="dxa"/>
            <w:tcBorders>
              <w:top w:val="single" w:color="auto" w:sz="4" w:space="0"/>
              <w:left w:val="single" w:color="auto" w:sz="4" w:space="0"/>
              <w:right w:val="single" w:color="auto" w:sz="4" w:space="0"/>
            </w:tcBorders>
            <w:noWrap w:val="0"/>
            <w:vAlign w:val="center"/>
          </w:tcPr>
          <w:p w14:paraId="19229C52">
            <w:pPr>
              <w:spacing w:line="360" w:lineRule="auto"/>
              <w:rPr>
                <w:rFonts w:hint="eastAsia" w:eastAsia="宋体" w:cs="Times New Roman"/>
                <w:color w:val="auto"/>
                <w:sz w:val="24"/>
                <w:highlight w:val="none"/>
                <w:lang w:val="en-US" w:eastAsia="zh-CN" w:bidi="ar"/>
              </w:rPr>
            </w:pPr>
            <w:r>
              <w:rPr>
                <w:rFonts w:hint="eastAsia"/>
                <w:bCs/>
                <w:color w:val="auto"/>
                <w:sz w:val="24"/>
                <w:szCs w:val="24"/>
                <w:highlight w:val="none"/>
              </w:rPr>
              <w:t>投标</w:t>
            </w:r>
            <w:r>
              <w:rPr>
                <w:rFonts w:hint="eastAsia"/>
                <w:bCs/>
                <w:color w:val="auto"/>
                <w:sz w:val="24"/>
                <w:szCs w:val="24"/>
                <w:highlight w:val="none"/>
                <w:lang w:val="en-US"/>
              </w:rPr>
              <w:t>人</w:t>
            </w:r>
            <w:r>
              <w:rPr>
                <w:rFonts w:hint="eastAsia"/>
                <w:bCs/>
                <w:color w:val="auto"/>
                <w:sz w:val="24"/>
                <w:szCs w:val="24"/>
                <w:highlight w:val="none"/>
                <w:lang w:val="en-US" w:eastAsia="zh-CN"/>
              </w:rPr>
              <w:t>综合</w:t>
            </w:r>
            <w:r>
              <w:rPr>
                <w:rFonts w:hint="eastAsia"/>
                <w:bCs/>
                <w:color w:val="auto"/>
                <w:sz w:val="24"/>
                <w:szCs w:val="24"/>
                <w:highlight w:val="none"/>
                <w:lang w:val="en-US"/>
              </w:rPr>
              <w:t>实力</w:t>
            </w:r>
            <w:r>
              <w:rPr>
                <w:rFonts w:hint="eastAsia"/>
                <w:bCs/>
                <w:color w:val="auto"/>
                <w:sz w:val="24"/>
                <w:szCs w:val="24"/>
                <w:highlight w:val="none"/>
                <w:lang w:val="en-US" w:eastAsia="zh-CN"/>
              </w:rPr>
              <w:t>（3分）</w:t>
            </w:r>
          </w:p>
        </w:tc>
        <w:tc>
          <w:tcPr>
            <w:tcW w:w="6226" w:type="dxa"/>
            <w:tcBorders>
              <w:top w:val="single" w:color="auto" w:sz="4" w:space="0"/>
              <w:left w:val="single" w:color="auto" w:sz="4" w:space="0"/>
              <w:bottom w:val="single" w:color="auto" w:sz="4" w:space="0"/>
              <w:right w:val="single" w:color="auto" w:sz="4" w:space="0"/>
            </w:tcBorders>
            <w:noWrap w:val="0"/>
            <w:vAlign w:val="center"/>
          </w:tcPr>
          <w:p w14:paraId="1981FADE">
            <w:pPr>
              <w:adjustRightInd w:val="0"/>
              <w:snapToGrid w:val="0"/>
              <w:spacing w:before="62" w:beforeLines="20" w:after="62" w:afterLines="20" w:line="360" w:lineRule="auto"/>
              <w:rPr>
                <w:bCs/>
                <w:color w:val="auto"/>
                <w:sz w:val="24"/>
                <w:szCs w:val="24"/>
                <w:highlight w:val="none"/>
              </w:rPr>
            </w:pPr>
            <w:r>
              <w:rPr>
                <w:rFonts w:hint="eastAsia"/>
                <w:bCs/>
                <w:color w:val="auto"/>
                <w:sz w:val="24"/>
                <w:szCs w:val="24"/>
                <w:highlight w:val="none"/>
                <w:lang w:val="en-US"/>
              </w:rPr>
              <w:t>1</w:t>
            </w:r>
            <w:r>
              <w:rPr>
                <w:rFonts w:hint="eastAsia"/>
                <w:bCs/>
                <w:color w:val="auto"/>
                <w:sz w:val="24"/>
                <w:szCs w:val="24"/>
                <w:highlight w:val="none"/>
              </w:rPr>
              <w:t>、投标人具有 ISO9001 质量管理体系认证证书得 1 分；</w:t>
            </w:r>
          </w:p>
          <w:p w14:paraId="7C747462">
            <w:pPr>
              <w:adjustRightInd w:val="0"/>
              <w:snapToGrid w:val="0"/>
              <w:spacing w:before="62" w:beforeLines="20" w:after="62" w:afterLines="20" w:line="360" w:lineRule="auto"/>
              <w:rPr>
                <w:bCs/>
                <w:color w:val="auto"/>
                <w:sz w:val="24"/>
                <w:szCs w:val="24"/>
                <w:highlight w:val="none"/>
              </w:rPr>
            </w:pPr>
            <w:r>
              <w:rPr>
                <w:rFonts w:hint="eastAsia"/>
                <w:bCs/>
                <w:color w:val="auto"/>
                <w:sz w:val="24"/>
                <w:szCs w:val="24"/>
                <w:highlight w:val="none"/>
              </w:rPr>
              <w:t>2、投标人具有 ISO14001 环境管理体系认证证书得 1 分；</w:t>
            </w:r>
          </w:p>
          <w:p w14:paraId="2A4E1C0D">
            <w:pPr>
              <w:adjustRightInd w:val="0"/>
              <w:snapToGrid w:val="0"/>
              <w:spacing w:before="62" w:beforeLines="20" w:after="62" w:afterLines="20" w:line="360" w:lineRule="auto"/>
              <w:rPr>
                <w:rFonts w:hint="eastAsia"/>
                <w:lang w:val="en-US"/>
              </w:rPr>
            </w:pPr>
            <w:r>
              <w:rPr>
                <w:rFonts w:hint="eastAsia"/>
                <w:bCs/>
                <w:color w:val="auto"/>
                <w:sz w:val="24"/>
                <w:szCs w:val="24"/>
                <w:highlight w:val="none"/>
                <w:lang w:val="en-US" w:eastAsia="zh-CN"/>
              </w:rPr>
              <w:t>3</w:t>
            </w:r>
            <w:r>
              <w:rPr>
                <w:rFonts w:hint="eastAsia"/>
                <w:bCs/>
                <w:color w:val="auto"/>
                <w:sz w:val="24"/>
                <w:szCs w:val="24"/>
                <w:highlight w:val="none"/>
              </w:rPr>
              <w:t>、投标人具有 ISO/IEC20000 信息技术服务管理体系认证证书 的得 1 分；</w:t>
            </w:r>
          </w:p>
        </w:tc>
        <w:tc>
          <w:tcPr>
            <w:tcW w:w="911" w:type="dxa"/>
            <w:tcBorders>
              <w:top w:val="single" w:color="auto" w:sz="4" w:space="0"/>
              <w:left w:val="single" w:color="auto" w:sz="4" w:space="0"/>
              <w:bottom w:val="single" w:color="auto" w:sz="4" w:space="0"/>
              <w:right w:val="single" w:color="auto" w:sz="4" w:space="0"/>
            </w:tcBorders>
            <w:noWrap w:val="0"/>
            <w:vAlign w:val="top"/>
          </w:tcPr>
          <w:p w14:paraId="752325EA">
            <w:pPr>
              <w:spacing w:line="360" w:lineRule="auto"/>
              <w:ind w:firstLine="410" w:firstLineChars="171"/>
              <w:rPr>
                <w:rFonts w:hint="eastAsia" w:cs="Times New Roman"/>
                <w:color w:val="auto"/>
                <w:sz w:val="24"/>
                <w:highlight w:val="none"/>
                <w:lang w:val="en-US" w:bidi="ar"/>
              </w:rPr>
            </w:pPr>
          </w:p>
        </w:tc>
      </w:tr>
      <w:tr w14:paraId="7BAF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2" w:type="dxa"/>
            <w:vMerge w:val="continue"/>
            <w:tcBorders>
              <w:left w:val="single" w:color="auto" w:sz="4" w:space="0"/>
              <w:right w:val="single" w:color="auto" w:sz="4" w:space="0"/>
            </w:tcBorders>
            <w:noWrap w:val="0"/>
            <w:vAlign w:val="center"/>
          </w:tcPr>
          <w:p w14:paraId="69580C64">
            <w:pPr>
              <w:spacing w:line="360" w:lineRule="auto"/>
              <w:ind w:firstLine="410" w:firstLineChars="171"/>
              <w:rPr>
                <w:rFonts w:hint="eastAsia" w:cs="Times New Roman"/>
                <w:color w:val="auto"/>
                <w:sz w:val="24"/>
                <w:highlight w:val="none"/>
                <w:lang w:val="en-US" w:bidi="ar"/>
              </w:rPr>
            </w:pPr>
          </w:p>
        </w:tc>
        <w:tc>
          <w:tcPr>
            <w:tcW w:w="1000" w:type="dxa"/>
            <w:vMerge w:val="continue"/>
            <w:tcBorders>
              <w:left w:val="single" w:color="auto" w:sz="4" w:space="0"/>
              <w:right w:val="single" w:color="auto" w:sz="4" w:space="0"/>
            </w:tcBorders>
            <w:noWrap w:val="0"/>
            <w:vAlign w:val="center"/>
          </w:tcPr>
          <w:p w14:paraId="18A460C2">
            <w:pPr>
              <w:spacing w:line="360" w:lineRule="auto"/>
              <w:ind w:firstLine="410" w:firstLineChars="171"/>
              <w:rPr>
                <w:rFonts w:hint="eastAsia" w:cs="Times New Roman"/>
                <w:color w:val="auto"/>
                <w:sz w:val="24"/>
                <w:highlight w:val="none"/>
                <w:lang w:val="en-US" w:bidi="ar"/>
              </w:rPr>
            </w:pPr>
          </w:p>
        </w:tc>
        <w:tc>
          <w:tcPr>
            <w:tcW w:w="1299" w:type="dxa"/>
            <w:tcBorders>
              <w:top w:val="single" w:color="auto" w:sz="4" w:space="0"/>
              <w:left w:val="single" w:color="auto" w:sz="4" w:space="0"/>
              <w:right w:val="single" w:color="auto" w:sz="4" w:space="0"/>
            </w:tcBorders>
            <w:noWrap w:val="0"/>
            <w:vAlign w:val="center"/>
          </w:tcPr>
          <w:p w14:paraId="032C06B5">
            <w:pPr>
              <w:spacing w:line="360" w:lineRule="auto"/>
              <w:rPr>
                <w:rFonts w:hint="eastAsia" w:cs="Times New Roman"/>
                <w:color w:val="auto"/>
                <w:sz w:val="24"/>
                <w:highlight w:val="none"/>
                <w:lang w:val="en-US" w:bidi="ar"/>
              </w:rPr>
            </w:pPr>
            <w:r>
              <w:rPr>
                <w:rFonts w:hint="eastAsia"/>
                <w:bCs/>
                <w:color w:val="auto"/>
                <w:sz w:val="24"/>
                <w:szCs w:val="24"/>
                <w:highlight w:val="none"/>
                <w:lang w:val="en-US" w:eastAsia="zh-CN"/>
              </w:rPr>
              <w:t>类似业绩</w:t>
            </w:r>
            <w:r>
              <w:rPr>
                <w:rFonts w:hint="eastAsia"/>
                <w:bCs/>
                <w:color w:val="auto"/>
                <w:sz w:val="24"/>
                <w:szCs w:val="24"/>
                <w:highlight w:val="none"/>
              </w:rPr>
              <w:t>（</w:t>
            </w:r>
            <w:r>
              <w:rPr>
                <w:rFonts w:hint="eastAsia"/>
                <w:bCs/>
                <w:color w:val="auto"/>
                <w:sz w:val="24"/>
                <w:szCs w:val="24"/>
                <w:highlight w:val="none"/>
                <w:lang w:val="en-US" w:eastAsia="zh-CN"/>
              </w:rPr>
              <w:t>3</w:t>
            </w:r>
            <w:r>
              <w:rPr>
                <w:rFonts w:hint="eastAsia"/>
                <w:bCs/>
                <w:color w:val="auto"/>
                <w:sz w:val="24"/>
                <w:szCs w:val="24"/>
                <w:highlight w:val="none"/>
              </w:rPr>
              <w:t>分）</w:t>
            </w:r>
          </w:p>
        </w:tc>
        <w:tc>
          <w:tcPr>
            <w:tcW w:w="6226" w:type="dxa"/>
            <w:tcBorders>
              <w:top w:val="single" w:color="auto" w:sz="4" w:space="0"/>
              <w:left w:val="single" w:color="auto" w:sz="4" w:space="0"/>
              <w:bottom w:val="single" w:color="auto" w:sz="4" w:space="0"/>
              <w:right w:val="single" w:color="auto" w:sz="4" w:space="0"/>
            </w:tcBorders>
            <w:noWrap w:val="0"/>
            <w:vAlign w:val="center"/>
          </w:tcPr>
          <w:p w14:paraId="0C403666">
            <w:pPr>
              <w:adjustRightInd w:val="0"/>
              <w:snapToGrid w:val="0"/>
              <w:spacing w:before="62" w:beforeLines="20" w:after="62" w:afterLines="20" w:line="360" w:lineRule="auto"/>
              <w:rPr>
                <w:rFonts w:hint="eastAsia" w:eastAsia="宋体"/>
                <w:bCs/>
                <w:color w:val="auto"/>
                <w:sz w:val="24"/>
                <w:szCs w:val="24"/>
                <w:highlight w:val="none"/>
                <w:lang w:eastAsia="zh-CN"/>
              </w:rPr>
            </w:pPr>
            <w:r>
              <w:rPr>
                <w:rFonts w:hint="eastAsia"/>
                <w:bCs/>
                <w:color w:val="auto"/>
                <w:sz w:val="24"/>
                <w:szCs w:val="24"/>
                <w:highlight w:val="none"/>
              </w:rPr>
              <w:t>投标人2022年1月1日</w:t>
            </w:r>
            <w:r>
              <w:rPr>
                <w:bCs/>
                <w:color w:val="auto"/>
                <w:sz w:val="24"/>
                <w:szCs w:val="24"/>
                <w:highlight w:val="none"/>
              </w:rPr>
              <w:t>以来</w:t>
            </w:r>
            <w:r>
              <w:rPr>
                <w:rFonts w:hint="eastAsia"/>
                <w:bCs/>
                <w:color w:val="auto"/>
                <w:sz w:val="24"/>
                <w:szCs w:val="24"/>
                <w:highlight w:val="none"/>
              </w:rPr>
              <w:t>具有类似项目业绩的，每有一份得 1 分，最高得 3 分（提供合同扫描件，</w:t>
            </w:r>
            <w:r>
              <w:rPr>
                <w:bCs/>
                <w:color w:val="auto"/>
                <w:sz w:val="24"/>
                <w:szCs w:val="24"/>
                <w:highlight w:val="none"/>
              </w:rPr>
              <w:t>时间以合同签订</w:t>
            </w:r>
            <w:r>
              <w:rPr>
                <w:rFonts w:hint="eastAsia"/>
                <w:bCs/>
                <w:color w:val="auto"/>
                <w:sz w:val="24"/>
                <w:szCs w:val="24"/>
                <w:highlight w:val="none"/>
              </w:rPr>
              <w:t>时间</w:t>
            </w:r>
            <w:r>
              <w:rPr>
                <w:bCs/>
                <w:color w:val="auto"/>
                <w:sz w:val="24"/>
                <w:szCs w:val="24"/>
                <w:highlight w:val="none"/>
              </w:rPr>
              <w:t>为准</w:t>
            </w:r>
            <w:r>
              <w:rPr>
                <w:rFonts w:hint="eastAsia"/>
                <w:bCs/>
                <w:color w:val="auto"/>
                <w:sz w:val="24"/>
                <w:szCs w:val="24"/>
                <w:highlight w:val="none"/>
              </w:rPr>
              <w:t>）</w:t>
            </w:r>
          </w:p>
        </w:tc>
        <w:tc>
          <w:tcPr>
            <w:tcW w:w="911" w:type="dxa"/>
            <w:tcBorders>
              <w:top w:val="single" w:color="auto" w:sz="4" w:space="0"/>
              <w:left w:val="single" w:color="auto" w:sz="4" w:space="0"/>
              <w:bottom w:val="single" w:color="auto" w:sz="4" w:space="0"/>
              <w:right w:val="single" w:color="auto" w:sz="4" w:space="0"/>
            </w:tcBorders>
            <w:noWrap w:val="0"/>
            <w:vAlign w:val="top"/>
          </w:tcPr>
          <w:p w14:paraId="261F7D1C">
            <w:pPr>
              <w:spacing w:line="360" w:lineRule="auto"/>
              <w:ind w:firstLine="410" w:firstLineChars="171"/>
              <w:rPr>
                <w:rFonts w:hint="eastAsia" w:cs="Times New Roman"/>
                <w:color w:val="auto"/>
                <w:sz w:val="24"/>
                <w:highlight w:val="none"/>
                <w:lang w:val="en-US" w:bidi="ar"/>
              </w:rPr>
            </w:pPr>
          </w:p>
        </w:tc>
      </w:tr>
      <w:tr w14:paraId="0731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22" w:type="dxa"/>
            <w:vMerge w:val="continue"/>
            <w:tcBorders>
              <w:left w:val="single" w:color="auto" w:sz="4" w:space="0"/>
              <w:right w:val="single" w:color="auto" w:sz="4" w:space="0"/>
            </w:tcBorders>
            <w:noWrap w:val="0"/>
            <w:vAlign w:val="center"/>
          </w:tcPr>
          <w:p w14:paraId="18D97606">
            <w:pPr>
              <w:spacing w:line="360" w:lineRule="auto"/>
              <w:ind w:firstLine="410" w:firstLineChars="171"/>
              <w:rPr>
                <w:rFonts w:hint="eastAsia" w:cs="Times New Roman"/>
                <w:color w:val="auto"/>
                <w:sz w:val="24"/>
                <w:highlight w:val="none"/>
                <w:lang w:val="en-US" w:bidi="ar"/>
              </w:rPr>
            </w:pPr>
          </w:p>
        </w:tc>
        <w:tc>
          <w:tcPr>
            <w:tcW w:w="1000" w:type="dxa"/>
            <w:vMerge w:val="continue"/>
            <w:tcBorders>
              <w:left w:val="single" w:color="auto" w:sz="4" w:space="0"/>
              <w:right w:val="single" w:color="auto" w:sz="4" w:space="0"/>
            </w:tcBorders>
            <w:noWrap w:val="0"/>
            <w:vAlign w:val="center"/>
          </w:tcPr>
          <w:p w14:paraId="20938F7F">
            <w:pPr>
              <w:spacing w:line="360" w:lineRule="auto"/>
              <w:ind w:firstLine="410" w:firstLineChars="171"/>
              <w:rPr>
                <w:rFonts w:hint="eastAsia" w:cs="Times New Roman"/>
                <w:color w:val="auto"/>
                <w:sz w:val="24"/>
                <w:highlight w:val="none"/>
                <w:lang w:val="en-US" w:bidi="ar"/>
              </w:rPr>
            </w:pPr>
          </w:p>
        </w:tc>
        <w:tc>
          <w:tcPr>
            <w:tcW w:w="1299" w:type="dxa"/>
            <w:tcBorders>
              <w:top w:val="single" w:color="auto" w:sz="4" w:space="0"/>
              <w:left w:val="single" w:color="auto" w:sz="4" w:space="0"/>
              <w:right w:val="single" w:color="auto" w:sz="4" w:space="0"/>
            </w:tcBorders>
            <w:noWrap w:val="0"/>
            <w:vAlign w:val="center"/>
          </w:tcPr>
          <w:p w14:paraId="735FE572">
            <w:pPr>
              <w:spacing w:line="480" w:lineRule="exact"/>
              <w:jc w:val="center"/>
              <w:rPr>
                <w:color w:val="auto"/>
                <w:sz w:val="24"/>
                <w:szCs w:val="24"/>
                <w:highlight w:val="none"/>
              </w:rPr>
            </w:pPr>
            <w:r>
              <w:rPr>
                <w:rFonts w:hint="eastAsia"/>
                <w:color w:val="auto"/>
                <w:sz w:val="24"/>
                <w:szCs w:val="24"/>
                <w:highlight w:val="none"/>
              </w:rPr>
              <w:t>实施方案（</w:t>
            </w:r>
            <w:r>
              <w:rPr>
                <w:rFonts w:hint="eastAsia"/>
                <w:color w:val="auto"/>
                <w:sz w:val="24"/>
                <w:szCs w:val="24"/>
                <w:highlight w:val="none"/>
                <w:lang w:val="en-US" w:eastAsia="zh-CN"/>
              </w:rPr>
              <w:t>15</w:t>
            </w:r>
            <w:r>
              <w:rPr>
                <w:rFonts w:hint="eastAsia"/>
                <w:color w:val="auto"/>
                <w:sz w:val="24"/>
                <w:szCs w:val="24"/>
                <w:highlight w:val="none"/>
              </w:rPr>
              <w:t>分）</w:t>
            </w:r>
          </w:p>
        </w:tc>
        <w:tc>
          <w:tcPr>
            <w:tcW w:w="6226" w:type="dxa"/>
            <w:tcBorders>
              <w:top w:val="single" w:color="auto" w:sz="4" w:space="0"/>
              <w:left w:val="single" w:color="auto" w:sz="4" w:space="0"/>
              <w:bottom w:val="single" w:color="auto" w:sz="4" w:space="0"/>
              <w:right w:val="single" w:color="auto" w:sz="4" w:space="0"/>
            </w:tcBorders>
            <w:noWrap w:val="0"/>
            <w:vAlign w:val="center"/>
          </w:tcPr>
          <w:p w14:paraId="64D62F29">
            <w:pPr>
              <w:spacing w:line="480" w:lineRule="exact"/>
              <w:rPr>
                <w:color w:val="auto"/>
                <w:sz w:val="24"/>
                <w:szCs w:val="24"/>
                <w:highlight w:val="none"/>
              </w:rPr>
            </w:pPr>
            <w:r>
              <w:rPr>
                <w:rFonts w:hint="eastAsia"/>
                <w:color w:val="auto"/>
                <w:sz w:val="24"/>
                <w:szCs w:val="24"/>
                <w:highlight w:val="none"/>
              </w:rPr>
              <w:t>根据供应商提供的实施方案，从项目需求理解分析、安装调试规划、项目供货及实施计划、组织机构、项目管理措施、质量保证措施等方面进行评议：</w:t>
            </w:r>
          </w:p>
          <w:p w14:paraId="31A71DBF">
            <w:pPr>
              <w:spacing w:line="480" w:lineRule="exact"/>
              <w:rPr>
                <w:color w:val="auto"/>
                <w:sz w:val="24"/>
                <w:szCs w:val="24"/>
                <w:highlight w:val="none"/>
              </w:rPr>
            </w:pPr>
            <w:r>
              <w:rPr>
                <w:rFonts w:hint="eastAsia"/>
                <w:bCs/>
                <w:color w:val="auto"/>
                <w:sz w:val="24"/>
                <w:szCs w:val="24"/>
                <w:highlight w:val="none"/>
                <w:lang w:val="en-US"/>
              </w:rPr>
              <w:t>1</w:t>
            </w:r>
            <w:r>
              <w:rPr>
                <w:rFonts w:hint="eastAsia"/>
                <w:bCs/>
                <w:color w:val="auto"/>
                <w:sz w:val="24"/>
                <w:szCs w:val="24"/>
                <w:highlight w:val="none"/>
              </w:rPr>
              <w:t>、</w:t>
            </w:r>
            <w:r>
              <w:rPr>
                <w:color w:val="auto"/>
                <w:sz w:val="24"/>
                <w:szCs w:val="24"/>
                <w:highlight w:val="none"/>
              </w:rPr>
              <w:t>对项目需求理解分析透彻、安装调试规划科学、项目供货及实施计划合理、组织机构完善、项目管理措施到位、质量保证措施全面的得</w:t>
            </w:r>
            <w:r>
              <w:rPr>
                <w:rFonts w:hint="eastAsia"/>
                <w:color w:val="auto"/>
                <w:sz w:val="24"/>
                <w:szCs w:val="24"/>
                <w:highlight w:val="none"/>
                <w:lang w:val="en-US" w:eastAsia="zh-CN"/>
              </w:rPr>
              <w:t>15</w:t>
            </w:r>
            <w:r>
              <w:rPr>
                <w:color w:val="auto"/>
                <w:sz w:val="24"/>
                <w:szCs w:val="24"/>
                <w:highlight w:val="none"/>
              </w:rPr>
              <w:t>分；</w:t>
            </w:r>
          </w:p>
          <w:p w14:paraId="3B28952D">
            <w:pPr>
              <w:spacing w:line="480" w:lineRule="exact"/>
              <w:rPr>
                <w:color w:val="auto"/>
                <w:sz w:val="24"/>
                <w:szCs w:val="24"/>
                <w:highlight w:val="none"/>
              </w:rPr>
            </w:pPr>
            <w:r>
              <w:rPr>
                <w:color w:val="auto"/>
                <w:sz w:val="24"/>
                <w:szCs w:val="24"/>
                <w:highlight w:val="none"/>
              </w:rPr>
              <w:t>2</w:t>
            </w:r>
            <w:r>
              <w:rPr>
                <w:rFonts w:hint="eastAsia"/>
                <w:bCs/>
                <w:color w:val="auto"/>
                <w:sz w:val="24"/>
                <w:szCs w:val="24"/>
                <w:highlight w:val="none"/>
              </w:rPr>
              <w:t>、</w:t>
            </w:r>
            <w:r>
              <w:rPr>
                <w:color w:val="auto"/>
                <w:sz w:val="24"/>
                <w:szCs w:val="24"/>
                <w:highlight w:val="none"/>
              </w:rPr>
              <w:t>对项目需求理解分析透彻、安装调试规划科学、项目供货及实施计划较合理、组织机构较完善、项目管理措施基本到位、质量保证措施较全面的得</w:t>
            </w:r>
            <w:r>
              <w:rPr>
                <w:rFonts w:hint="eastAsia"/>
                <w:color w:val="auto"/>
                <w:sz w:val="24"/>
                <w:szCs w:val="24"/>
                <w:highlight w:val="none"/>
                <w:lang w:val="en-US" w:eastAsia="zh-CN"/>
              </w:rPr>
              <w:t>10</w:t>
            </w:r>
            <w:r>
              <w:rPr>
                <w:color w:val="auto"/>
                <w:sz w:val="24"/>
                <w:szCs w:val="24"/>
                <w:highlight w:val="none"/>
              </w:rPr>
              <w:t>分；</w:t>
            </w:r>
          </w:p>
          <w:p w14:paraId="1471D2E6">
            <w:pPr>
              <w:spacing w:line="480" w:lineRule="exact"/>
              <w:rPr>
                <w:color w:val="auto"/>
                <w:sz w:val="24"/>
                <w:szCs w:val="24"/>
                <w:highlight w:val="none"/>
              </w:rPr>
            </w:pPr>
            <w:r>
              <w:rPr>
                <w:color w:val="auto"/>
                <w:sz w:val="24"/>
                <w:szCs w:val="24"/>
                <w:highlight w:val="none"/>
              </w:rPr>
              <w:t>3</w:t>
            </w:r>
            <w:r>
              <w:rPr>
                <w:rFonts w:hint="eastAsia"/>
                <w:bCs/>
                <w:color w:val="auto"/>
                <w:sz w:val="24"/>
                <w:szCs w:val="24"/>
                <w:highlight w:val="none"/>
              </w:rPr>
              <w:t>、</w:t>
            </w:r>
            <w:r>
              <w:rPr>
                <w:color w:val="auto"/>
                <w:sz w:val="24"/>
                <w:szCs w:val="24"/>
                <w:highlight w:val="none"/>
              </w:rPr>
              <w:t>对项目需求理解分析较透彻、安装调试规划较科学、项目供货及实施计划较合理、组织机构待完善、项目管理及质量保证措施不够全面的得</w:t>
            </w:r>
            <w:r>
              <w:rPr>
                <w:rFonts w:hint="eastAsia"/>
                <w:color w:val="auto"/>
                <w:sz w:val="24"/>
                <w:szCs w:val="24"/>
                <w:highlight w:val="none"/>
                <w:lang w:val="en-US" w:eastAsia="zh-CN"/>
              </w:rPr>
              <w:t>6</w:t>
            </w:r>
            <w:r>
              <w:rPr>
                <w:color w:val="auto"/>
                <w:sz w:val="24"/>
                <w:szCs w:val="24"/>
                <w:highlight w:val="none"/>
              </w:rPr>
              <w:t>分；</w:t>
            </w:r>
          </w:p>
          <w:p w14:paraId="60176765">
            <w:pPr>
              <w:spacing w:line="480" w:lineRule="exact"/>
              <w:rPr>
                <w:color w:val="auto"/>
                <w:sz w:val="24"/>
                <w:szCs w:val="24"/>
                <w:highlight w:val="none"/>
              </w:rPr>
            </w:pPr>
            <w:r>
              <w:rPr>
                <w:color w:val="auto"/>
                <w:sz w:val="24"/>
                <w:szCs w:val="24"/>
                <w:highlight w:val="none"/>
              </w:rPr>
              <w:t>4</w:t>
            </w:r>
            <w:r>
              <w:rPr>
                <w:rFonts w:hint="eastAsia"/>
                <w:bCs/>
                <w:color w:val="auto"/>
                <w:sz w:val="24"/>
                <w:szCs w:val="24"/>
                <w:highlight w:val="none"/>
              </w:rPr>
              <w:t>、</w:t>
            </w:r>
            <w:r>
              <w:rPr>
                <w:color w:val="auto"/>
                <w:sz w:val="24"/>
                <w:szCs w:val="24"/>
                <w:highlight w:val="none"/>
              </w:rPr>
              <w:t>对项目需求理解分析不到位，产品的安装调试规划缺乏科学性，项目供货及实施计划、组织机构较差得2分；</w:t>
            </w:r>
          </w:p>
          <w:p w14:paraId="566163B0">
            <w:pPr>
              <w:spacing w:line="480" w:lineRule="exact"/>
              <w:rPr>
                <w:color w:val="auto"/>
                <w:sz w:val="24"/>
                <w:szCs w:val="24"/>
                <w:highlight w:val="none"/>
              </w:rPr>
            </w:pPr>
            <w:r>
              <w:rPr>
                <w:color w:val="auto"/>
                <w:sz w:val="24"/>
                <w:szCs w:val="24"/>
                <w:highlight w:val="none"/>
              </w:rPr>
              <w:t>5</w:t>
            </w:r>
            <w:r>
              <w:rPr>
                <w:rFonts w:hint="eastAsia"/>
                <w:bCs/>
                <w:color w:val="auto"/>
                <w:sz w:val="24"/>
                <w:szCs w:val="24"/>
                <w:highlight w:val="none"/>
              </w:rPr>
              <w:t>、</w:t>
            </w:r>
            <w:r>
              <w:rPr>
                <w:color w:val="auto"/>
                <w:sz w:val="24"/>
                <w:szCs w:val="24"/>
                <w:highlight w:val="none"/>
              </w:rPr>
              <w:t>实施组织方案存在严重缺项，或无此内容的不得分。</w:t>
            </w:r>
          </w:p>
        </w:tc>
        <w:tc>
          <w:tcPr>
            <w:tcW w:w="911" w:type="dxa"/>
            <w:tcBorders>
              <w:top w:val="single" w:color="auto" w:sz="4" w:space="0"/>
              <w:left w:val="single" w:color="auto" w:sz="4" w:space="0"/>
              <w:bottom w:val="single" w:color="auto" w:sz="4" w:space="0"/>
              <w:right w:val="single" w:color="auto" w:sz="4" w:space="0"/>
            </w:tcBorders>
            <w:noWrap w:val="0"/>
            <w:vAlign w:val="top"/>
          </w:tcPr>
          <w:p w14:paraId="0D3F5E69">
            <w:pPr>
              <w:spacing w:line="360" w:lineRule="auto"/>
              <w:ind w:firstLine="410" w:firstLineChars="171"/>
              <w:rPr>
                <w:rFonts w:hint="eastAsia" w:cs="Times New Roman"/>
                <w:color w:val="auto"/>
                <w:sz w:val="24"/>
                <w:highlight w:val="none"/>
                <w:lang w:val="en-US" w:bidi="ar"/>
              </w:rPr>
            </w:pPr>
          </w:p>
        </w:tc>
      </w:tr>
      <w:tr w14:paraId="64ED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722" w:type="dxa"/>
            <w:vMerge w:val="continue"/>
            <w:tcBorders>
              <w:left w:val="single" w:color="auto" w:sz="4" w:space="0"/>
              <w:right w:val="single" w:color="auto" w:sz="4" w:space="0"/>
            </w:tcBorders>
            <w:noWrap w:val="0"/>
            <w:vAlign w:val="center"/>
          </w:tcPr>
          <w:p w14:paraId="735A5749">
            <w:pPr>
              <w:spacing w:line="360" w:lineRule="auto"/>
              <w:ind w:firstLine="410" w:firstLineChars="171"/>
              <w:rPr>
                <w:rFonts w:hint="eastAsia" w:cs="Times New Roman"/>
                <w:color w:val="auto"/>
                <w:sz w:val="24"/>
                <w:highlight w:val="none"/>
                <w:lang w:val="en-US" w:bidi="ar"/>
              </w:rPr>
            </w:pPr>
          </w:p>
        </w:tc>
        <w:tc>
          <w:tcPr>
            <w:tcW w:w="1000" w:type="dxa"/>
            <w:vMerge w:val="continue"/>
            <w:tcBorders>
              <w:left w:val="single" w:color="auto" w:sz="4" w:space="0"/>
              <w:right w:val="single" w:color="auto" w:sz="4" w:space="0"/>
            </w:tcBorders>
            <w:noWrap w:val="0"/>
            <w:vAlign w:val="center"/>
          </w:tcPr>
          <w:p w14:paraId="4D41FA02">
            <w:pPr>
              <w:spacing w:line="360" w:lineRule="auto"/>
              <w:ind w:firstLine="410" w:firstLineChars="171"/>
              <w:rPr>
                <w:rFonts w:hint="eastAsia" w:cs="Times New Roman"/>
                <w:color w:val="auto"/>
                <w:sz w:val="24"/>
                <w:highlight w:val="none"/>
                <w:lang w:val="en-US" w:bidi="ar"/>
              </w:rPr>
            </w:pPr>
          </w:p>
        </w:tc>
        <w:tc>
          <w:tcPr>
            <w:tcW w:w="1299" w:type="dxa"/>
            <w:tcBorders>
              <w:top w:val="single" w:color="auto" w:sz="4" w:space="0"/>
              <w:left w:val="single" w:color="auto" w:sz="4" w:space="0"/>
              <w:right w:val="single" w:color="auto" w:sz="4" w:space="0"/>
            </w:tcBorders>
            <w:noWrap w:val="0"/>
            <w:vAlign w:val="center"/>
          </w:tcPr>
          <w:p w14:paraId="702D5F81">
            <w:pPr>
              <w:spacing w:line="480" w:lineRule="exact"/>
              <w:jc w:val="center"/>
              <w:rPr>
                <w:rFonts w:hint="eastAsia"/>
                <w:color w:val="auto"/>
                <w:sz w:val="24"/>
                <w:szCs w:val="24"/>
                <w:highlight w:val="none"/>
              </w:rPr>
            </w:pPr>
            <w:r>
              <w:rPr>
                <w:rFonts w:hint="eastAsia"/>
                <w:color w:val="auto"/>
                <w:sz w:val="24"/>
                <w:szCs w:val="24"/>
                <w:highlight w:val="none"/>
              </w:rPr>
              <w:t>售后服务方案（</w:t>
            </w:r>
            <w:r>
              <w:rPr>
                <w:rFonts w:hint="eastAsia"/>
                <w:color w:val="auto"/>
                <w:sz w:val="24"/>
                <w:szCs w:val="24"/>
                <w:highlight w:val="none"/>
                <w:lang w:val="en-US" w:eastAsia="zh-CN"/>
              </w:rPr>
              <w:t>10</w:t>
            </w:r>
            <w:r>
              <w:rPr>
                <w:color w:val="auto"/>
                <w:sz w:val="24"/>
                <w:szCs w:val="24"/>
                <w:highlight w:val="none"/>
              </w:rPr>
              <w:t>分）</w:t>
            </w:r>
          </w:p>
        </w:tc>
        <w:tc>
          <w:tcPr>
            <w:tcW w:w="6226" w:type="dxa"/>
            <w:tcBorders>
              <w:top w:val="single" w:color="auto" w:sz="4" w:space="0"/>
              <w:left w:val="single" w:color="auto" w:sz="4" w:space="0"/>
              <w:bottom w:val="single" w:color="auto" w:sz="4" w:space="0"/>
              <w:right w:val="single" w:color="auto" w:sz="4" w:space="0"/>
            </w:tcBorders>
            <w:noWrap w:val="0"/>
            <w:vAlign w:val="center"/>
          </w:tcPr>
          <w:p w14:paraId="725E67FF">
            <w:pPr>
              <w:spacing w:line="480" w:lineRule="exact"/>
              <w:rPr>
                <w:color w:val="auto"/>
                <w:sz w:val="24"/>
                <w:szCs w:val="24"/>
                <w:highlight w:val="none"/>
              </w:rPr>
            </w:pPr>
            <w:r>
              <w:rPr>
                <w:rFonts w:hint="eastAsia"/>
                <w:color w:val="auto"/>
                <w:sz w:val="24"/>
                <w:szCs w:val="24"/>
                <w:highlight w:val="none"/>
              </w:rPr>
              <w:t>投标人结合采购需求，针对本项目的实际情况，提供详细的售后服务方案，主要内容包含但不仅限于：售后服务内容、服务响应时间、报修方式、定期巡检、应急预案、质保期内外售后服务承诺等相关工作内容。评标委员会根据投标人提供的售后服务方案的完整性、可行性等进行综合评价：</w:t>
            </w:r>
          </w:p>
          <w:p w14:paraId="713C952F">
            <w:pPr>
              <w:spacing w:line="480" w:lineRule="exact"/>
              <w:rPr>
                <w:color w:val="auto"/>
                <w:sz w:val="24"/>
                <w:szCs w:val="24"/>
                <w:highlight w:val="none"/>
              </w:rPr>
            </w:pPr>
            <w:r>
              <w:rPr>
                <w:rFonts w:hint="eastAsia"/>
                <w:color w:val="auto"/>
                <w:sz w:val="24"/>
                <w:szCs w:val="24"/>
                <w:highlight w:val="none"/>
              </w:rPr>
              <w:t>（1）综合考虑各方面需求，服务方案内容详尽、完整可行，优于项目建设和采购需求，得</w:t>
            </w:r>
            <w:r>
              <w:rPr>
                <w:rFonts w:hint="eastAsia"/>
                <w:color w:val="auto"/>
                <w:sz w:val="24"/>
                <w:szCs w:val="24"/>
                <w:highlight w:val="none"/>
                <w:lang w:val="en-US" w:eastAsia="zh-CN"/>
              </w:rPr>
              <w:t>10</w:t>
            </w:r>
            <w:r>
              <w:rPr>
                <w:rFonts w:hint="eastAsia"/>
                <w:color w:val="auto"/>
                <w:sz w:val="24"/>
                <w:szCs w:val="24"/>
                <w:highlight w:val="none"/>
              </w:rPr>
              <w:t>分；</w:t>
            </w:r>
          </w:p>
          <w:p w14:paraId="6754225B">
            <w:pPr>
              <w:spacing w:line="480" w:lineRule="exact"/>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）服务方案内容基本完整、不够详尽，能够基本满足项目基本要求，得</w:t>
            </w:r>
            <w:r>
              <w:rPr>
                <w:rFonts w:hint="eastAsia"/>
                <w:color w:val="auto"/>
                <w:sz w:val="24"/>
                <w:szCs w:val="24"/>
                <w:highlight w:val="none"/>
                <w:lang w:val="en-US" w:eastAsia="zh-CN"/>
              </w:rPr>
              <w:t>7</w:t>
            </w:r>
            <w:r>
              <w:rPr>
                <w:rFonts w:hint="eastAsia"/>
                <w:color w:val="auto"/>
                <w:sz w:val="24"/>
                <w:szCs w:val="24"/>
                <w:highlight w:val="none"/>
              </w:rPr>
              <w:t xml:space="preserve">分； </w:t>
            </w:r>
          </w:p>
          <w:p w14:paraId="39C77551">
            <w:pPr>
              <w:spacing w:line="480" w:lineRule="exact"/>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）服务方案内容不够完整，有部分缺项，不符合本项目实际服务需要，得</w:t>
            </w:r>
            <w:r>
              <w:rPr>
                <w:rFonts w:hint="eastAsia"/>
                <w:color w:val="auto"/>
                <w:sz w:val="24"/>
                <w:szCs w:val="24"/>
                <w:highlight w:val="none"/>
                <w:lang w:val="en-US" w:eastAsia="zh-CN"/>
              </w:rPr>
              <w:t>4</w:t>
            </w:r>
            <w:r>
              <w:rPr>
                <w:rFonts w:hint="eastAsia"/>
                <w:color w:val="auto"/>
                <w:sz w:val="24"/>
                <w:szCs w:val="24"/>
                <w:highlight w:val="none"/>
              </w:rPr>
              <w:t>分；</w:t>
            </w:r>
          </w:p>
          <w:p w14:paraId="764F9FED">
            <w:pPr>
              <w:widowControl/>
              <w:spacing w:line="480" w:lineRule="exact"/>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）未提供方案，不得分。</w:t>
            </w:r>
          </w:p>
        </w:tc>
        <w:tc>
          <w:tcPr>
            <w:tcW w:w="911" w:type="dxa"/>
            <w:tcBorders>
              <w:top w:val="single" w:color="auto" w:sz="4" w:space="0"/>
              <w:left w:val="single" w:color="auto" w:sz="4" w:space="0"/>
              <w:bottom w:val="single" w:color="auto" w:sz="4" w:space="0"/>
              <w:right w:val="single" w:color="auto" w:sz="4" w:space="0"/>
            </w:tcBorders>
            <w:noWrap w:val="0"/>
            <w:vAlign w:val="top"/>
          </w:tcPr>
          <w:p w14:paraId="02BD92B5">
            <w:pPr>
              <w:spacing w:line="360" w:lineRule="auto"/>
              <w:ind w:firstLine="410" w:firstLineChars="171"/>
              <w:rPr>
                <w:rFonts w:hint="eastAsia" w:cs="Times New Roman"/>
                <w:color w:val="auto"/>
                <w:sz w:val="24"/>
                <w:highlight w:val="none"/>
                <w:lang w:val="en-US" w:bidi="ar"/>
              </w:rPr>
            </w:pPr>
          </w:p>
        </w:tc>
      </w:tr>
      <w:tr w14:paraId="6FE7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722" w:type="dxa"/>
            <w:vMerge w:val="continue"/>
            <w:tcBorders>
              <w:left w:val="single" w:color="auto" w:sz="4" w:space="0"/>
              <w:right w:val="single" w:color="auto" w:sz="4" w:space="0"/>
            </w:tcBorders>
            <w:noWrap w:val="0"/>
            <w:vAlign w:val="center"/>
          </w:tcPr>
          <w:p w14:paraId="6F33B5B4">
            <w:pPr>
              <w:spacing w:line="360" w:lineRule="auto"/>
              <w:ind w:firstLine="410" w:firstLineChars="171"/>
              <w:rPr>
                <w:rFonts w:hint="eastAsia" w:cs="Times New Roman"/>
                <w:color w:val="auto"/>
                <w:sz w:val="24"/>
                <w:highlight w:val="none"/>
                <w:lang w:val="en-US" w:bidi="ar"/>
              </w:rPr>
            </w:pPr>
          </w:p>
        </w:tc>
        <w:tc>
          <w:tcPr>
            <w:tcW w:w="1000" w:type="dxa"/>
            <w:vMerge w:val="continue"/>
            <w:tcBorders>
              <w:left w:val="single" w:color="auto" w:sz="4" w:space="0"/>
              <w:right w:val="single" w:color="auto" w:sz="4" w:space="0"/>
            </w:tcBorders>
            <w:noWrap w:val="0"/>
            <w:vAlign w:val="center"/>
          </w:tcPr>
          <w:p w14:paraId="2C90568C">
            <w:pPr>
              <w:spacing w:line="360" w:lineRule="auto"/>
              <w:ind w:firstLine="410" w:firstLineChars="171"/>
              <w:rPr>
                <w:rFonts w:hint="eastAsia" w:cs="Times New Roman"/>
                <w:color w:val="auto"/>
                <w:sz w:val="24"/>
                <w:highlight w:val="none"/>
                <w:lang w:val="en-US" w:bidi="ar"/>
              </w:rPr>
            </w:pPr>
          </w:p>
        </w:tc>
        <w:tc>
          <w:tcPr>
            <w:tcW w:w="1299" w:type="dxa"/>
            <w:tcBorders>
              <w:top w:val="single" w:color="auto" w:sz="4" w:space="0"/>
              <w:left w:val="single" w:color="auto" w:sz="4" w:space="0"/>
              <w:right w:val="single" w:color="auto" w:sz="4" w:space="0"/>
            </w:tcBorders>
            <w:noWrap w:val="0"/>
            <w:vAlign w:val="center"/>
          </w:tcPr>
          <w:p w14:paraId="12436CAC">
            <w:pPr>
              <w:spacing w:line="360" w:lineRule="auto"/>
              <w:jc w:val="center"/>
              <w:rPr>
                <w:rFonts w:hint="eastAsia" w:cs="Times New Roman"/>
                <w:color w:val="auto"/>
                <w:kern w:val="0"/>
                <w:sz w:val="24"/>
                <w:szCs w:val="22"/>
                <w:highlight w:val="none"/>
                <w:lang w:val="en-US" w:eastAsia="zh-CN" w:bidi="ar"/>
              </w:rPr>
            </w:pPr>
            <w:r>
              <w:rPr>
                <w:rFonts w:hint="eastAsia" w:cs="Times New Roman"/>
                <w:color w:val="auto"/>
                <w:kern w:val="0"/>
                <w:sz w:val="24"/>
                <w:szCs w:val="22"/>
                <w:highlight w:val="none"/>
                <w:lang w:val="en-US" w:eastAsia="zh-CN" w:bidi="ar"/>
              </w:rPr>
              <w:t>培训方案（3分）</w:t>
            </w:r>
          </w:p>
          <w:p w14:paraId="2C2CD9AF">
            <w:pPr>
              <w:spacing w:line="480" w:lineRule="exact"/>
              <w:jc w:val="center"/>
              <w:rPr>
                <w:rFonts w:hint="eastAsia"/>
                <w:color w:val="auto"/>
                <w:sz w:val="24"/>
                <w:szCs w:val="24"/>
                <w:highlight w:val="none"/>
              </w:rPr>
            </w:pPr>
          </w:p>
        </w:tc>
        <w:tc>
          <w:tcPr>
            <w:tcW w:w="6226" w:type="dxa"/>
            <w:tcBorders>
              <w:top w:val="single" w:color="auto" w:sz="4" w:space="0"/>
              <w:left w:val="single" w:color="auto" w:sz="4" w:space="0"/>
              <w:bottom w:val="single" w:color="auto" w:sz="4" w:space="0"/>
              <w:right w:val="single" w:color="auto" w:sz="4" w:space="0"/>
            </w:tcBorders>
            <w:noWrap w:val="0"/>
            <w:vAlign w:val="center"/>
          </w:tcPr>
          <w:p w14:paraId="2A28DE46">
            <w:pPr>
              <w:widowControl/>
              <w:spacing w:line="480" w:lineRule="exact"/>
              <w:rPr>
                <w:rFonts w:hint="eastAsia"/>
                <w:color w:val="auto"/>
                <w:sz w:val="24"/>
                <w:szCs w:val="24"/>
                <w:highlight w:val="none"/>
              </w:rPr>
            </w:pPr>
            <w:r>
              <w:rPr>
                <w:rFonts w:hint="eastAsia" w:cs="Times New Roman"/>
                <w:color w:val="auto"/>
                <w:kern w:val="0"/>
                <w:sz w:val="24"/>
                <w:szCs w:val="22"/>
                <w:highlight w:val="none"/>
                <w:lang w:val="en-US" w:eastAsia="zh-CN" w:bidi="ar"/>
              </w:rPr>
              <w:t>培训方案详尽、符合项目特点，针对性强，确保满足培训效果的得3分；培训方案相对符合项目特点，基本满足培训效果的得2分；培训方案内容薄弱，泛泛而谈，不具有针对性，不贴合项目实际需求的得1分；未提供或不适用于本项目的不得分。</w:t>
            </w:r>
          </w:p>
        </w:tc>
        <w:tc>
          <w:tcPr>
            <w:tcW w:w="911" w:type="dxa"/>
            <w:tcBorders>
              <w:top w:val="single" w:color="auto" w:sz="4" w:space="0"/>
              <w:left w:val="single" w:color="auto" w:sz="4" w:space="0"/>
              <w:bottom w:val="single" w:color="auto" w:sz="4" w:space="0"/>
              <w:right w:val="single" w:color="auto" w:sz="4" w:space="0"/>
            </w:tcBorders>
            <w:noWrap w:val="0"/>
            <w:vAlign w:val="top"/>
          </w:tcPr>
          <w:p w14:paraId="1E9FB934">
            <w:pPr>
              <w:spacing w:line="360" w:lineRule="auto"/>
              <w:ind w:firstLine="410" w:firstLineChars="171"/>
              <w:rPr>
                <w:rFonts w:hint="eastAsia" w:cs="Times New Roman"/>
                <w:color w:val="auto"/>
                <w:sz w:val="24"/>
                <w:highlight w:val="none"/>
                <w:lang w:val="en-US" w:bidi="ar"/>
              </w:rPr>
            </w:pPr>
          </w:p>
        </w:tc>
      </w:tr>
      <w:tr w14:paraId="4A37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722" w:type="dxa"/>
            <w:vMerge w:val="continue"/>
            <w:tcBorders>
              <w:left w:val="single" w:color="auto" w:sz="4" w:space="0"/>
              <w:right w:val="single" w:color="auto" w:sz="4" w:space="0"/>
            </w:tcBorders>
            <w:noWrap w:val="0"/>
            <w:vAlign w:val="center"/>
          </w:tcPr>
          <w:p w14:paraId="46647312">
            <w:pPr>
              <w:spacing w:line="360" w:lineRule="auto"/>
              <w:ind w:firstLine="410" w:firstLineChars="171"/>
              <w:rPr>
                <w:rFonts w:hint="eastAsia" w:cs="Times New Roman"/>
                <w:color w:val="auto"/>
                <w:sz w:val="24"/>
                <w:highlight w:val="none"/>
                <w:lang w:val="en-US" w:bidi="ar"/>
              </w:rPr>
            </w:pPr>
          </w:p>
        </w:tc>
        <w:tc>
          <w:tcPr>
            <w:tcW w:w="1000" w:type="dxa"/>
            <w:vMerge w:val="continue"/>
            <w:tcBorders>
              <w:left w:val="single" w:color="auto" w:sz="4" w:space="0"/>
              <w:right w:val="single" w:color="auto" w:sz="4" w:space="0"/>
            </w:tcBorders>
            <w:noWrap w:val="0"/>
            <w:vAlign w:val="center"/>
          </w:tcPr>
          <w:p w14:paraId="7F4A3356">
            <w:pPr>
              <w:spacing w:line="360" w:lineRule="auto"/>
              <w:ind w:firstLine="410" w:firstLineChars="171"/>
              <w:rPr>
                <w:rFonts w:hint="eastAsia" w:cs="Times New Roman"/>
                <w:color w:val="auto"/>
                <w:sz w:val="24"/>
                <w:highlight w:val="none"/>
                <w:lang w:val="en-US" w:bidi="ar"/>
              </w:rPr>
            </w:pPr>
          </w:p>
        </w:tc>
        <w:tc>
          <w:tcPr>
            <w:tcW w:w="1299" w:type="dxa"/>
            <w:tcBorders>
              <w:top w:val="single" w:color="auto" w:sz="4" w:space="0"/>
              <w:left w:val="single" w:color="auto" w:sz="4" w:space="0"/>
              <w:right w:val="single" w:color="auto" w:sz="4" w:space="0"/>
            </w:tcBorders>
            <w:noWrap w:val="0"/>
            <w:vAlign w:val="center"/>
          </w:tcPr>
          <w:p w14:paraId="6719BAB4">
            <w:pPr>
              <w:spacing w:line="480" w:lineRule="exact"/>
              <w:jc w:val="center"/>
              <w:rPr>
                <w:color w:val="auto"/>
                <w:sz w:val="24"/>
                <w:szCs w:val="24"/>
                <w:highlight w:val="none"/>
              </w:rPr>
            </w:pPr>
            <w:r>
              <w:rPr>
                <w:rFonts w:hint="eastAsia" w:ascii="宋体" w:hAnsi="宋体" w:eastAsia="宋体" w:cs="宋体"/>
                <w:color w:val="auto"/>
                <w:sz w:val="24"/>
                <w:szCs w:val="24"/>
                <w:highlight w:val="none"/>
                <w:lang w:val="en-US" w:eastAsia="zh-CN"/>
              </w:rPr>
              <w:t>政府采购节能环保产品</w:t>
            </w:r>
            <w:r>
              <w:rPr>
                <w:rFonts w:hint="eastAsia" w:ascii="宋体" w:hAnsi="宋体" w:eastAsia="宋体" w:cs="宋体"/>
                <w:bCs/>
                <w:color w:val="auto"/>
                <w:kern w:val="2"/>
                <w:sz w:val="24"/>
                <w:szCs w:val="24"/>
                <w:highlight w:val="none"/>
                <w:lang w:val="en-US" w:eastAsia="zh-CN"/>
              </w:rPr>
              <w:t>（1分）</w:t>
            </w:r>
          </w:p>
        </w:tc>
        <w:tc>
          <w:tcPr>
            <w:tcW w:w="6226" w:type="dxa"/>
            <w:tcBorders>
              <w:top w:val="single" w:color="auto" w:sz="4" w:space="0"/>
              <w:left w:val="single" w:color="auto" w:sz="4" w:space="0"/>
              <w:bottom w:val="single" w:color="auto" w:sz="4" w:space="0"/>
              <w:right w:val="single" w:color="auto" w:sz="4" w:space="0"/>
            </w:tcBorders>
            <w:noWrap w:val="0"/>
            <w:vAlign w:val="center"/>
          </w:tcPr>
          <w:p w14:paraId="3F8AE566">
            <w:pPr>
              <w:widowControl/>
              <w:spacing w:line="480" w:lineRule="exact"/>
              <w:rPr>
                <w:rFonts w:hint="eastAsia"/>
                <w:color w:val="auto"/>
                <w:sz w:val="24"/>
                <w:szCs w:val="24"/>
                <w:highlight w:val="none"/>
              </w:rPr>
            </w:pPr>
            <w:r>
              <w:rPr>
                <w:rFonts w:hint="eastAsia"/>
                <w:color w:val="auto"/>
                <w:sz w:val="24"/>
                <w:szCs w:val="24"/>
                <w:highlight w:val="none"/>
              </w:rPr>
              <w:t>投标人所投的任意产品获得国家确定的认证机构出具的处于有效期内的节能产品或环境标志产品认证证书的，每提供一项得</w:t>
            </w:r>
            <w:r>
              <w:rPr>
                <w:rFonts w:hint="eastAsia"/>
                <w:color w:val="auto"/>
                <w:sz w:val="24"/>
                <w:szCs w:val="24"/>
                <w:highlight w:val="none"/>
                <w:lang w:val="en-US" w:eastAsia="zh-CN"/>
              </w:rPr>
              <w:t>0.5</w:t>
            </w:r>
            <w:r>
              <w:rPr>
                <w:rFonts w:hint="eastAsia"/>
                <w:color w:val="auto"/>
                <w:sz w:val="24"/>
                <w:szCs w:val="24"/>
                <w:highlight w:val="none"/>
              </w:rPr>
              <w:t>分，最高得</w:t>
            </w:r>
            <w:r>
              <w:rPr>
                <w:rFonts w:hint="eastAsia"/>
                <w:color w:val="auto"/>
                <w:sz w:val="24"/>
                <w:szCs w:val="24"/>
                <w:highlight w:val="none"/>
                <w:lang w:val="en-US" w:eastAsia="zh-CN"/>
              </w:rPr>
              <w:t>1</w:t>
            </w:r>
            <w:r>
              <w:rPr>
                <w:rFonts w:hint="eastAsia"/>
                <w:color w:val="auto"/>
                <w:sz w:val="24"/>
                <w:szCs w:val="24"/>
                <w:highlight w:val="none"/>
              </w:rPr>
              <w:t>分。</w:t>
            </w:r>
          </w:p>
          <w:p w14:paraId="3B1942E3">
            <w:pPr>
              <w:widowControl/>
              <w:spacing w:line="480" w:lineRule="exact"/>
              <w:rPr>
                <w:color w:val="auto"/>
                <w:sz w:val="24"/>
                <w:szCs w:val="24"/>
                <w:highlight w:val="none"/>
              </w:rPr>
            </w:pPr>
            <w:r>
              <w:rPr>
                <w:rFonts w:hint="eastAsia"/>
                <w:color w:val="auto"/>
                <w:sz w:val="24"/>
                <w:szCs w:val="24"/>
                <w:highlight w:val="none"/>
              </w:rPr>
              <w:t>提供有效认证证书扫描件，未按要求提供或扫描件不清晰导致无法识别的不得分。</w:t>
            </w:r>
          </w:p>
        </w:tc>
        <w:tc>
          <w:tcPr>
            <w:tcW w:w="911" w:type="dxa"/>
            <w:tcBorders>
              <w:top w:val="single" w:color="auto" w:sz="4" w:space="0"/>
              <w:left w:val="single" w:color="auto" w:sz="4" w:space="0"/>
              <w:bottom w:val="single" w:color="auto" w:sz="4" w:space="0"/>
              <w:right w:val="single" w:color="auto" w:sz="4" w:space="0"/>
            </w:tcBorders>
            <w:noWrap w:val="0"/>
            <w:vAlign w:val="top"/>
          </w:tcPr>
          <w:p w14:paraId="7AD7541B">
            <w:pPr>
              <w:spacing w:line="360" w:lineRule="auto"/>
              <w:ind w:firstLine="410" w:firstLineChars="171"/>
              <w:rPr>
                <w:rFonts w:hint="eastAsia" w:cs="Times New Roman"/>
                <w:color w:val="auto"/>
                <w:sz w:val="24"/>
                <w:highlight w:val="none"/>
                <w:lang w:val="en-US" w:bidi="ar"/>
              </w:rPr>
            </w:pPr>
          </w:p>
        </w:tc>
      </w:tr>
      <w:tr w14:paraId="23B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tcBorders>
              <w:left w:val="single" w:color="auto" w:sz="4" w:space="0"/>
              <w:right w:val="single" w:color="auto" w:sz="4" w:space="0"/>
            </w:tcBorders>
            <w:noWrap w:val="0"/>
            <w:vAlign w:val="center"/>
          </w:tcPr>
          <w:p w14:paraId="6FB6D05A">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3</w:t>
            </w:r>
          </w:p>
        </w:tc>
        <w:tc>
          <w:tcPr>
            <w:tcW w:w="1000" w:type="dxa"/>
            <w:tcBorders>
              <w:left w:val="single" w:color="auto" w:sz="4" w:space="0"/>
              <w:right w:val="single" w:color="auto" w:sz="4" w:space="0"/>
            </w:tcBorders>
            <w:noWrap w:val="0"/>
            <w:vAlign w:val="center"/>
          </w:tcPr>
          <w:p w14:paraId="06A2640B">
            <w:pPr>
              <w:spacing w:line="360" w:lineRule="auto"/>
              <w:jc w:val="center"/>
              <w:rPr>
                <w:rFonts w:hint="eastAsia" w:cs="Times New Roman"/>
                <w:color w:val="auto"/>
                <w:sz w:val="24"/>
                <w:highlight w:val="none"/>
                <w:lang w:val="en-US" w:bidi="ar"/>
              </w:rPr>
            </w:pPr>
            <w:r>
              <w:rPr>
                <w:rFonts w:hint="eastAsia" w:cs="Times New Roman"/>
                <w:color w:val="auto"/>
                <w:sz w:val="24"/>
                <w:highlight w:val="none"/>
                <w:lang w:val="en-US" w:bidi="ar"/>
              </w:rPr>
              <w:t>技术部分（</w:t>
            </w:r>
            <w:r>
              <w:rPr>
                <w:rFonts w:cs="Times New Roman"/>
                <w:color w:val="auto"/>
                <w:sz w:val="24"/>
                <w:highlight w:val="none"/>
                <w:lang w:val="en-US" w:bidi="ar"/>
              </w:rPr>
              <w:t>35</w:t>
            </w:r>
            <w:r>
              <w:rPr>
                <w:rFonts w:hint="eastAsia" w:cs="Times New Roman"/>
                <w:color w:val="auto"/>
                <w:sz w:val="24"/>
                <w:highlight w:val="none"/>
                <w:lang w:val="en-US" w:bidi="ar"/>
              </w:rPr>
              <w:t>分）</w:t>
            </w:r>
          </w:p>
        </w:tc>
        <w:tc>
          <w:tcPr>
            <w:tcW w:w="1299" w:type="dxa"/>
            <w:tcBorders>
              <w:top w:val="single" w:color="auto" w:sz="4" w:space="0"/>
              <w:left w:val="single" w:color="auto" w:sz="4" w:space="0"/>
              <w:right w:val="single" w:color="auto" w:sz="4" w:space="0"/>
            </w:tcBorders>
            <w:noWrap w:val="0"/>
            <w:vAlign w:val="center"/>
          </w:tcPr>
          <w:p w14:paraId="043CB0D6">
            <w:pPr>
              <w:spacing w:line="360" w:lineRule="auto"/>
              <w:jc w:val="center"/>
              <w:rPr>
                <w:rFonts w:hint="eastAsia" w:cs="Times New Roman"/>
                <w:color w:val="auto"/>
                <w:sz w:val="24"/>
                <w:highlight w:val="none"/>
                <w:lang w:val="en-US" w:bidi="ar"/>
              </w:rPr>
            </w:pPr>
            <w:r>
              <w:rPr>
                <w:rFonts w:hint="eastAsia" w:cs="Times New Roman"/>
                <w:color w:val="auto"/>
                <w:sz w:val="24"/>
                <w:szCs w:val="24"/>
                <w:highlight w:val="none"/>
              </w:rPr>
              <w:t>所投项目技术参数要求（</w:t>
            </w:r>
            <w:r>
              <w:rPr>
                <w:rFonts w:hint="eastAsia" w:cs="Times New Roman"/>
                <w:color w:val="auto"/>
                <w:sz w:val="24"/>
                <w:szCs w:val="24"/>
                <w:highlight w:val="none"/>
                <w:lang w:val="en-US"/>
              </w:rPr>
              <w:t>0-</w:t>
            </w:r>
            <w:r>
              <w:rPr>
                <w:rFonts w:cs="Times New Roman"/>
                <w:color w:val="auto"/>
                <w:sz w:val="24"/>
                <w:szCs w:val="24"/>
                <w:highlight w:val="none"/>
                <w:lang w:val="en-US"/>
              </w:rPr>
              <w:t>35</w:t>
            </w:r>
            <w:r>
              <w:rPr>
                <w:rFonts w:hint="eastAsia" w:cs="Times New Roman"/>
                <w:color w:val="auto"/>
                <w:sz w:val="24"/>
                <w:szCs w:val="24"/>
                <w:highlight w:val="none"/>
              </w:rPr>
              <w:t>分）</w:t>
            </w:r>
          </w:p>
        </w:tc>
        <w:tc>
          <w:tcPr>
            <w:tcW w:w="6226" w:type="dxa"/>
            <w:tcBorders>
              <w:top w:val="single" w:color="auto" w:sz="4" w:space="0"/>
              <w:left w:val="single" w:color="auto" w:sz="4" w:space="0"/>
              <w:right w:val="single" w:color="auto" w:sz="4" w:space="0"/>
            </w:tcBorders>
            <w:noWrap w:val="0"/>
            <w:vAlign w:val="center"/>
          </w:tcPr>
          <w:p w14:paraId="0A81ACF6">
            <w:pPr>
              <w:spacing w:line="360" w:lineRule="auto"/>
              <w:rPr>
                <w:rFonts w:cs="Times New Roman"/>
                <w:color w:val="auto"/>
                <w:sz w:val="24"/>
                <w:highlight w:val="none"/>
                <w:lang w:val="en-US" w:bidi="ar"/>
              </w:rPr>
            </w:pPr>
            <w:r>
              <w:rPr>
                <w:rFonts w:hint="eastAsia" w:cs="Times New Roman"/>
                <w:color w:val="auto"/>
                <w:sz w:val="24"/>
                <w:highlight w:val="none"/>
                <w:lang w:val="en-US" w:bidi="ar"/>
              </w:rPr>
              <w:t>技术参数完全满足或优于采购文件要求的得</w:t>
            </w:r>
            <w:r>
              <w:rPr>
                <w:rFonts w:cs="Times New Roman"/>
                <w:color w:val="auto"/>
                <w:sz w:val="24"/>
                <w:highlight w:val="none"/>
                <w:lang w:val="en-US" w:bidi="ar"/>
              </w:rPr>
              <w:t>35分。</w:t>
            </w:r>
          </w:p>
          <w:p w14:paraId="25108EB6">
            <w:pPr>
              <w:spacing w:line="360" w:lineRule="auto"/>
              <w:rPr>
                <w:rFonts w:hint="eastAsia" w:cs="Times New Roman"/>
                <w:color w:val="auto"/>
                <w:sz w:val="24"/>
                <w:highlight w:val="none"/>
                <w:lang w:val="en-US" w:bidi="ar"/>
              </w:rPr>
            </w:pPr>
            <w:r>
              <w:rPr>
                <w:rFonts w:hint="eastAsia" w:cs="Times New Roman"/>
                <w:color w:val="auto"/>
                <w:sz w:val="24"/>
                <w:highlight w:val="none"/>
                <w:lang w:val="en-US" w:bidi="ar"/>
              </w:rPr>
              <w:t>投标供应商若投标响应文件中每有一项不满足扣</w:t>
            </w:r>
            <w:r>
              <w:rPr>
                <w:rFonts w:cs="Times New Roman"/>
                <w:color w:val="auto"/>
                <w:sz w:val="24"/>
                <w:highlight w:val="none"/>
                <w:lang w:val="en-US" w:bidi="ar"/>
              </w:rPr>
              <w:t>2分，扣完为止。</w:t>
            </w:r>
          </w:p>
        </w:tc>
        <w:tc>
          <w:tcPr>
            <w:tcW w:w="911" w:type="dxa"/>
            <w:tcBorders>
              <w:top w:val="single" w:color="auto" w:sz="4" w:space="0"/>
              <w:left w:val="single" w:color="auto" w:sz="4" w:space="0"/>
              <w:right w:val="single" w:color="auto" w:sz="4" w:space="0"/>
            </w:tcBorders>
            <w:noWrap w:val="0"/>
            <w:vAlign w:val="center"/>
          </w:tcPr>
          <w:p w14:paraId="29B0D371">
            <w:pPr>
              <w:spacing w:line="360" w:lineRule="auto"/>
              <w:ind w:firstLine="410" w:firstLineChars="171"/>
              <w:jc w:val="center"/>
              <w:rPr>
                <w:rFonts w:hint="eastAsia" w:cs="Times New Roman"/>
                <w:color w:val="auto"/>
                <w:sz w:val="24"/>
                <w:highlight w:val="none"/>
                <w:lang w:val="en-US" w:bidi="ar"/>
              </w:rPr>
            </w:pPr>
          </w:p>
        </w:tc>
      </w:tr>
    </w:tbl>
    <w:p w14:paraId="3241C5BE">
      <w:pPr>
        <w:snapToGrid w:val="0"/>
        <w:spacing w:line="440" w:lineRule="exact"/>
        <w:ind w:right="33" w:rightChars="15" w:firstLine="482" w:firstLineChars="200"/>
        <w:rPr>
          <w:b/>
          <w:color w:val="auto"/>
          <w:sz w:val="24"/>
          <w:szCs w:val="24"/>
          <w:highlight w:val="none"/>
        </w:rPr>
      </w:pPr>
      <w:r>
        <w:rPr>
          <w:rFonts w:hint="eastAsia"/>
          <w:b/>
          <w:color w:val="auto"/>
          <w:sz w:val="24"/>
          <w:szCs w:val="24"/>
          <w:highlight w:val="none"/>
        </w:rPr>
        <w:t>1.评标方法</w:t>
      </w:r>
    </w:p>
    <w:p w14:paraId="67B84D65">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本次评标先进行资格审查。通过资格审查的单位进行下一步的综合得分评审。形式评审、资格评审、响应性评审未合格的按无效标处理。</w:t>
      </w:r>
    </w:p>
    <w:p w14:paraId="0675CB23">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当通过形式评审、资格评审、响应性评审的供应商不足三家时，应当重新进行招标采购。</w:t>
      </w:r>
    </w:p>
    <w:p w14:paraId="4EF7B815">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本次评标采用综合评估法。竞争性磋商小组对满足磋商文件实质性要求的响应文件，按照本章第 2.2款规定的评分标准进行打分，并按得分由高到低顺序推荐成交候选人，或根据采购人授权直接确定成交供应商，但报价低于国家规定的除外。</w:t>
      </w:r>
      <w:r>
        <w:rPr>
          <w:rFonts w:hint="eastAsia"/>
          <w:b/>
          <w:color w:val="auto"/>
          <w:sz w:val="24"/>
          <w:szCs w:val="24"/>
          <w:highlight w:val="none"/>
        </w:rPr>
        <w:t>最终评分相等时，以最终报价低的优先；最终报价也相等的，由采购人自行确定</w:t>
      </w:r>
      <w:r>
        <w:rPr>
          <w:rFonts w:hint="eastAsia"/>
          <w:color w:val="auto"/>
          <w:sz w:val="24"/>
          <w:szCs w:val="24"/>
          <w:highlight w:val="none"/>
        </w:rPr>
        <w:t xml:space="preserve">。 </w:t>
      </w:r>
    </w:p>
    <w:p w14:paraId="0D75DB82">
      <w:pPr>
        <w:snapToGrid w:val="0"/>
        <w:spacing w:line="440" w:lineRule="exact"/>
        <w:ind w:right="33" w:rightChars="15" w:firstLine="482" w:firstLineChars="200"/>
        <w:rPr>
          <w:b/>
          <w:color w:val="auto"/>
          <w:sz w:val="24"/>
          <w:szCs w:val="24"/>
          <w:highlight w:val="none"/>
        </w:rPr>
      </w:pPr>
      <w:bookmarkStart w:id="229" w:name="_Toc449367501"/>
      <w:r>
        <w:rPr>
          <w:rFonts w:hint="eastAsia"/>
          <w:b/>
          <w:color w:val="auto"/>
          <w:sz w:val="24"/>
          <w:szCs w:val="24"/>
          <w:highlight w:val="none"/>
        </w:rPr>
        <w:t>2. 评审标准</w:t>
      </w:r>
      <w:bookmarkEnd w:id="229"/>
    </w:p>
    <w:p w14:paraId="478EBAC5">
      <w:pPr>
        <w:snapToGrid w:val="0"/>
        <w:spacing w:line="440" w:lineRule="exact"/>
        <w:ind w:right="33" w:rightChars="15" w:firstLine="482" w:firstLineChars="200"/>
        <w:rPr>
          <w:b/>
          <w:color w:val="auto"/>
          <w:sz w:val="24"/>
          <w:szCs w:val="24"/>
          <w:highlight w:val="none"/>
        </w:rPr>
      </w:pPr>
      <w:r>
        <w:rPr>
          <w:rFonts w:hint="eastAsia"/>
          <w:b/>
          <w:color w:val="auto"/>
          <w:sz w:val="24"/>
          <w:szCs w:val="24"/>
          <w:highlight w:val="none"/>
        </w:rPr>
        <w:t xml:space="preserve">2.1 初步评审标准 </w:t>
      </w:r>
    </w:p>
    <w:p w14:paraId="1DB5730F">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 xml:space="preserve">2.1.1 形式评审标准：见评标办法前附表。 </w:t>
      </w:r>
    </w:p>
    <w:p w14:paraId="018E9D25">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 xml:space="preserve">2.1.2 资格评审标准：见评标办法前附表。 </w:t>
      </w:r>
    </w:p>
    <w:p w14:paraId="025ED8AC">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 xml:space="preserve">2.1.3 响应性评审标准：见评标办法前附表。 </w:t>
      </w:r>
    </w:p>
    <w:p w14:paraId="1E062B1D">
      <w:pPr>
        <w:snapToGrid w:val="0"/>
        <w:spacing w:line="440" w:lineRule="exact"/>
        <w:ind w:right="33" w:rightChars="15" w:firstLine="482" w:firstLineChars="200"/>
        <w:rPr>
          <w:b/>
          <w:color w:val="auto"/>
          <w:sz w:val="24"/>
          <w:szCs w:val="24"/>
          <w:highlight w:val="none"/>
        </w:rPr>
      </w:pPr>
      <w:r>
        <w:rPr>
          <w:rFonts w:hint="eastAsia"/>
          <w:b/>
          <w:color w:val="auto"/>
          <w:sz w:val="24"/>
          <w:szCs w:val="24"/>
          <w:highlight w:val="none"/>
        </w:rPr>
        <w:t xml:space="preserve">2.2 分值构成与评分标准 </w:t>
      </w:r>
    </w:p>
    <w:p w14:paraId="6F77DCCD">
      <w:pPr>
        <w:snapToGrid w:val="0"/>
        <w:spacing w:line="440" w:lineRule="exact"/>
        <w:ind w:right="33" w:rightChars="15" w:firstLine="482" w:firstLineChars="200"/>
        <w:rPr>
          <w:b/>
          <w:color w:val="auto"/>
          <w:sz w:val="24"/>
          <w:szCs w:val="24"/>
          <w:highlight w:val="none"/>
        </w:rPr>
      </w:pPr>
      <w:r>
        <w:rPr>
          <w:rFonts w:hint="eastAsia"/>
          <w:b/>
          <w:color w:val="auto"/>
          <w:sz w:val="24"/>
          <w:szCs w:val="24"/>
          <w:highlight w:val="none"/>
        </w:rPr>
        <w:t>2.2.1 分值构成</w:t>
      </w:r>
    </w:p>
    <w:p w14:paraId="685669F0">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（1）报价部分：见评标办法前附表；</w:t>
      </w:r>
    </w:p>
    <w:p w14:paraId="546829C8">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（2）综合部分：见评标办法前附表；</w:t>
      </w:r>
    </w:p>
    <w:p w14:paraId="26A2D9A1">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（3）技术部分：见评标办法前附表；</w:t>
      </w:r>
    </w:p>
    <w:p w14:paraId="63802EBF">
      <w:pPr>
        <w:snapToGrid w:val="0"/>
        <w:spacing w:line="440" w:lineRule="exact"/>
        <w:ind w:right="33" w:rightChars="15" w:firstLine="482" w:firstLineChars="200"/>
        <w:rPr>
          <w:b/>
          <w:color w:val="auto"/>
          <w:sz w:val="24"/>
          <w:szCs w:val="24"/>
          <w:highlight w:val="none"/>
        </w:rPr>
      </w:pPr>
      <w:r>
        <w:rPr>
          <w:rFonts w:hint="eastAsia"/>
          <w:b/>
          <w:color w:val="auto"/>
          <w:sz w:val="24"/>
          <w:szCs w:val="24"/>
          <w:highlight w:val="none"/>
        </w:rPr>
        <w:t>2.2.4评分标准</w:t>
      </w:r>
    </w:p>
    <w:p w14:paraId="056C740C">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（1）报价部分：见评标办法前附表；</w:t>
      </w:r>
    </w:p>
    <w:p w14:paraId="656474E4">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（2）综合部分：见评标办法前附表；</w:t>
      </w:r>
    </w:p>
    <w:p w14:paraId="12E7EA19">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（3）技术部分：见评标办法前附表；</w:t>
      </w:r>
    </w:p>
    <w:p w14:paraId="1D6F2E57">
      <w:pPr>
        <w:snapToGrid w:val="0"/>
        <w:spacing w:line="440" w:lineRule="exact"/>
        <w:ind w:right="33" w:rightChars="15" w:firstLine="482" w:firstLineChars="200"/>
        <w:rPr>
          <w:b/>
          <w:color w:val="auto"/>
          <w:sz w:val="24"/>
          <w:szCs w:val="24"/>
          <w:highlight w:val="none"/>
        </w:rPr>
      </w:pPr>
      <w:bookmarkStart w:id="230" w:name="_Toc449367502"/>
      <w:r>
        <w:rPr>
          <w:rFonts w:hint="eastAsia"/>
          <w:b/>
          <w:color w:val="auto"/>
          <w:sz w:val="24"/>
          <w:szCs w:val="24"/>
          <w:highlight w:val="none"/>
        </w:rPr>
        <w:t>3.评标程序</w:t>
      </w:r>
      <w:bookmarkEnd w:id="230"/>
    </w:p>
    <w:p w14:paraId="19874F28">
      <w:pPr>
        <w:snapToGrid w:val="0"/>
        <w:spacing w:line="440" w:lineRule="exact"/>
        <w:ind w:right="33" w:rightChars="15" w:firstLine="482" w:firstLineChars="200"/>
        <w:rPr>
          <w:b/>
          <w:color w:val="auto"/>
          <w:sz w:val="24"/>
          <w:szCs w:val="24"/>
          <w:highlight w:val="none"/>
        </w:rPr>
      </w:pPr>
      <w:r>
        <w:rPr>
          <w:rFonts w:hint="eastAsia"/>
          <w:b/>
          <w:color w:val="auto"/>
          <w:sz w:val="24"/>
          <w:szCs w:val="24"/>
          <w:highlight w:val="none"/>
        </w:rPr>
        <w:t xml:space="preserve">3.1 初步评审 </w:t>
      </w:r>
    </w:p>
    <w:p w14:paraId="791CA8E2">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3.1.1竞争性磋商小组依据本章第 2.1项规定的评审标准对响应文件进行初步评审。有一项不符合评审标准的，作废标处理。</w:t>
      </w:r>
    </w:p>
    <w:p w14:paraId="5992009B">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3.1.2 供应商有以下情形之一的，其投标作废标处理：</w:t>
      </w:r>
    </w:p>
    <w:p w14:paraId="266BE309">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（1）串通投标或弄虚作假或有其他违法行为的；</w:t>
      </w:r>
    </w:p>
    <w:p w14:paraId="3557370B">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（2）不按竞争性磋商小组要求澄清、说明或补正的。</w:t>
      </w:r>
    </w:p>
    <w:p w14:paraId="68906658">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3.1.3投标报价有算术错误的，竞争性磋商小组按以下原则对报价进行修正，修正的价格经供应商书面确认后具有约束力。供应商不接受修正价格的，其投标作废标处理。响应文件中填报的投标报价、供货期期、质量目标前后不一致时，以磋商响应书中填报的相应内容为准。</w:t>
      </w:r>
    </w:p>
    <w:p w14:paraId="0F113C6D">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(1）响应文件中的大写金额与小写金额不一致的，以大写金额为准；</w:t>
      </w:r>
    </w:p>
    <w:p w14:paraId="4277D473">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(2）总价金额与依据单价计算出的结果不一致的，以单价金额为准修正总价，但单价金额小数点有明显错误的除外。</w:t>
      </w:r>
    </w:p>
    <w:p w14:paraId="50072844">
      <w:pPr>
        <w:snapToGrid w:val="0"/>
        <w:spacing w:line="440" w:lineRule="exact"/>
        <w:ind w:right="33" w:rightChars="15" w:firstLine="482" w:firstLineChars="200"/>
        <w:rPr>
          <w:b/>
          <w:color w:val="auto"/>
          <w:sz w:val="24"/>
          <w:szCs w:val="24"/>
          <w:highlight w:val="none"/>
        </w:rPr>
      </w:pPr>
      <w:r>
        <w:rPr>
          <w:rFonts w:hint="eastAsia"/>
          <w:b/>
          <w:color w:val="auto"/>
          <w:sz w:val="24"/>
          <w:szCs w:val="24"/>
          <w:highlight w:val="none"/>
        </w:rPr>
        <w:t xml:space="preserve">3.2 详细评审 </w:t>
      </w:r>
    </w:p>
    <w:p w14:paraId="0BF457DD">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3.2.1 竞争性磋商小组按本章第 2.2款规定的量化因素和分值进行打分，并计算出综合评估得分。每个供应商最终得分为各评委打分的算术平均值。</w:t>
      </w:r>
    </w:p>
    <w:p w14:paraId="0431CA9E">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(1）按本章第2.2.4(1）目规定的评审因素和分值对报价部分计算出得分A；</w:t>
      </w:r>
    </w:p>
    <w:p w14:paraId="13A227B3">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(2）按本章第2.2.4(2）目规定的评审因素和分值对商务部分计算出得分B；</w:t>
      </w:r>
    </w:p>
    <w:p w14:paraId="6D56E701">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(3）按本章第2.2.4(3）目规定的评审因素和分值对技术部分计算出得分C；</w:t>
      </w:r>
    </w:p>
    <w:p w14:paraId="5D12F4D2">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3.2.2 评分分值计算保留小数点后两位，小数点后第三位“四舍五入”。</w:t>
      </w:r>
    </w:p>
    <w:p w14:paraId="097EEBF1">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3.2.3 供应商得分=A十B十C 。</w:t>
      </w:r>
    </w:p>
    <w:p w14:paraId="6437E596">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 xml:space="preserve">3.2.4 竞争性磋商小组发现供应商的报价明显低于其他投标报价，或者在设有拦标价时明显低于拦标价，使得其投标报价可能低于其个别成本的，应当要求该供应商作出书面说明并提供相应的证明材料。供应商不能合理说明或者不能提供相应证明材料的，由竞争性磋商小组认定该供应商以低于成本报价竞标，其投标作废标处理。 </w:t>
      </w:r>
    </w:p>
    <w:p w14:paraId="4C14C899">
      <w:pPr>
        <w:snapToGrid w:val="0"/>
        <w:spacing w:line="440" w:lineRule="exact"/>
        <w:ind w:right="33" w:rightChars="15" w:firstLine="482" w:firstLineChars="200"/>
        <w:rPr>
          <w:b/>
          <w:color w:val="auto"/>
          <w:sz w:val="24"/>
          <w:szCs w:val="24"/>
          <w:highlight w:val="none"/>
        </w:rPr>
      </w:pPr>
      <w:r>
        <w:rPr>
          <w:rFonts w:hint="eastAsia"/>
          <w:b/>
          <w:color w:val="auto"/>
          <w:sz w:val="24"/>
          <w:szCs w:val="24"/>
          <w:highlight w:val="none"/>
        </w:rPr>
        <w:t xml:space="preserve">3.3 响应文件的澄清和补正 </w:t>
      </w:r>
    </w:p>
    <w:p w14:paraId="7684B027">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3.3.1 在评标过程中，竞争性磋商小组可以书面形式要求供应商对所提交响应文件中不明确的内容进行书面澄清或说明，或者对细微偏差进行补正。竞争性磋商小组不接受供应商主动提出的澄清、说明或补正。</w:t>
      </w:r>
    </w:p>
    <w:p w14:paraId="2EBDBE37">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 xml:space="preserve">3.3.2澄清、说明和补正不得改变响应文件的实质性内容（算术性错误修正的除外）。供应商的书面澄清、说明和补正属于响应文件的组成部分。 </w:t>
      </w:r>
    </w:p>
    <w:p w14:paraId="44AC2872">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3.3.3 竞争性磋商小组对供应商提交的澄清、说明或补正有疑问的，可以要求供应商进一步澄清、说明或补正，直至满足竞争性磋商小组的要求。</w:t>
      </w:r>
    </w:p>
    <w:p w14:paraId="65260236">
      <w:pPr>
        <w:snapToGrid w:val="0"/>
        <w:spacing w:line="440" w:lineRule="exact"/>
        <w:ind w:right="33" w:rightChars="15" w:firstLine="482" w:firstLineChars="200"/>
        <w:rPr>
          <w:b/>
          <w:color w:val="auto"/>
          <w:sz w:val="24"/>
          <w:szCs w:val="24"/>
          <w:highlight w:val="none"/>
        </w:rPr>
      </w:pPr>
      <w:r>
        <w:rPr>
          <w:rFonts w:hint="eastAsia"/>
          <w:b/>
          <w:color w:val="auto"/>
          <w:sz w:val="24"/>
          <w:szCs w:val="24"/>
          <w:highlight w:val="none"/>
        </w:rPr>
        <w:t>3.4定标办法</w:t>
      </w:r>
    </w:p>
    <w:p w14:paraId="2C0113FF">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3.4.1 竞争性磋商小组按照上述办法打分，最后按照各供应商最终得分从高到低排序。</w:t>
      </w:r>
    </w:p>
    <w:p w14:paraId="07A43219">
      <w:pPr>
        <w:snapToGrid w:val="0"/>
        <w:spacing w:line="440" w:lineRule="exact"/>
        <w:ind w:right="33" w:rightChars="15"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 xml:space="preserve">3.4.2 </w:t>
      </w:r>
      <w:r>
        <w:rPr>
          <w:rFonts w:ascii="宋体" w:hAnsi="宋体" w:eastAsia="宋体" w:cs="宋体"/>
          <w:color w:val="auto"/>
          <w:sz w:val="24"/>
          <w:szCs w:val="24"/>
          <w:highlight w:val="none"/>
        </w:rPr>
        <w:t>非单一产品采购项目，采购人将根据采购项目技术构成、产品价格比重等合理确定核心产品，确定的核心产品见</w:t>
      </w:r>
      <w:r>
        <w:rPr>
          <w:rFonts w:hint="eastAsia" w:cs="宋体"/>
          <w:color w:val="auto"/>
          <w:sz w:val="24"/>
          <w:szCs w:val="24"/>
          <w:highlight w:val="none"/>
          <w:lang w:val="en-US" w:eastAsia="zh-CN"/>
        </w:rPr>
        <w:t>采购</w:t>
      </w:r>
      <w:r>
        <w:rPr>
          <w:rFonts w:ascii="宋体" w:hAnsi="宋体" w:eastAsia="宋体" w:cs="宋体"/>
          <w:color w:val="auto"/>
          <w:sz w:val="24"/>
          <w:szCs w:val="24"/>
          <w:highlight w:val="none"/>
        </w:rPr>
        <w:t>文件的采购清单。多家供应商提供的核心产品品牌相同，且通过资格审查、符合性审查的不同供应商参加同一合同项下投标的， 按一家供应商计算，评审后得分最高的同品牌供应商获得</w:t>
      </w:r>
      <w:r>
        <w:rPr>
          <w:rFonts w:hint="eastAsia" w:cs="宋体"/>
          <w:color w:val="auto"/>
          <w:sz w:val="24"/>
          <w:szCs w:val="24"/>
          <w:highlight w:val="none"/>
          <w:lang w:val="en-US" w:eastAsia="zh-CN"/>
        </w:rPr>
        <w:t>成交</w:t>
      </w:r>
      <w:r>
        <w:rPr>
          <w:rFonts w:ascii="宋体" w:hAnsi="宋体" w:eastAsia="宋体" w:cs="宋体"/>
          <w:color w:val="auto"/>
          <w:sz w:val="24"/>
          <w:szCs w:val="24"/>
          <w:highlight w:val="none"/>
        </w:rPr>
        <w:t>人推荐资格；评审得分相同的，投标报价低的供应商获得</w:t>
      </w:r>
      <w:r>
        <w:rPr>
          <w:rFonts w:hint="eastAsia" w:cs="宋体"/>
          <w:color w:val="auto"/>
          <w:sz w:val="24"/>
          <w:szCs w:val="24"/>
          <w:highlight w:val="none"/>
          <w:lang w:val="en-US" w:eastAsia="zh-CN"/>
        </w:rPr>
        <w:t>成交</w:t>
      </w:r>
      <w:r>
        <w:rPr>
          <w:rFonts w:ascii="宋体" w:hAnsi="宋体" w:eastAsia="宋体" w:cs="宋体"/>
          <w:color w:val="auto"/>
          <w:sz w:val="24"/>
          <w:szCs w:val="24"/>
          <w:highlight w:val="none"/>
        </w:rPr>
        <w:t>人推荐资格；投标报价也相同的，采取随机抽取方式确定一家供应商获得</w:t>
      </w:r>
      <w:r>
        <w:rPr>
          <w:rFonts w:hint="eastAsia" w:cs="宋体"/>
          <w:color w:val="auto"/>
          <w:sz w:val="24"/>
          <w:szCs w:val="24"/>
          <w:highlight w:val="none"/>
          <w:lang w:val="en-US" w:eastAsia="zh-CN"/>
        </w:rPr>
        <w:t>成交</w:t>
      </w:r>
      <w:r>
        <w:rPr>
          <w:rFonts w:ascii="宋体" w:hAnsi="宋体" w:eastAsia="宋体" w:cs="宋体"/>
          <w:color w:val="auto"/>
          <w:sz w:val="24"/>
          <w:szCs w:val="24"/>
          <w:highlight w:val="none"/>
        </w:rPr>
        <w:t>人推荐资格，其他同品牌供应商不作为</w:t>
      </w:r>
      <w:r>
        <w:rPr>
          <w:rFonts w:hint="eastAsia" w:cs="宋体"/>
          <w:color w:val="auto"/>
          <w:sz w:val="24"/>
          <w:szCs w:val="24"/>
          <w:highlight w:val="none"/>
          <w:lang w:val="en-US" w:eastAsia="zh-CN"/>
        </w:rPr>
        <w:t>成交</w:t>
      </w:r>
      <w:r>
        <w:rPr>
          <w:rFonts w:ascii="宋体" w:hAnsi="宋体" w:eastAsia="宋体" w:cs="宋体"/>
          <w:color w:val="auto"/>
          <w:sz w:val="24"/>
          <w:szCs w:val="24"/>
          <w:highlight w:val="none"/>
        </w:rPr>
        <w:t>候选人。</w:t>
      </w:r>
    </w:p>
    <w:p w14:paraId="1D38AE53">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3.4.</w:t>
      </w:r>
      <w:r>
        <w:rPr>
          <w:rFonts w:hint="eastAsia"/>
          <w:color w:val="auto"/>
          <w:sz w:val="24"/>
          <w:szCs w:val="24"/>
          <w:highlight w:val="none"/>
          <w:lang w:val="en-US" w:eastAsia="zh-CN"/>
        </w:rPr>
        <w:t>3</w:t>
      </w:r>
      <w:r>
        <w:rPr>
          <w:rFonts w:hint="eastAsia"/>
          <w:color w:val="auto"/>
          <w:sz w:val="24"/>
          <w:szCs w:val="24"/>
          <w:highlight w:val="none"/>
        </w:rPr>
        <w:t>竞争性磋商小组完成评标后，应当向采购人提交书面评标报告。向采购人推荐3名成交候选人，得分最高的供应商为第一成交候选人，得分第二的供应商为第二成交候选人，得分第三的供应商为第三成交候选人。</w:t>
      </w:r>
    </w:p>
    <w:p w14:paraId="29E6CA8B">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3.4.</w:t>
      </w:r>
      <w:r>
        <w:rPr>
          <w:rFonts w:hint="eastAsia"/>
          <w:color w:val="auto"/>
          <w:sz w:val="24"/>
          <w:szCs w:val="24"/>
          <w:highlight w:val="none"/>
          <w:lang w:val="en-US" w:eastAsia="zh-CN"/>
        </w:rPr>
        <w:t>4</w:t>
      </w:r>
      <w:r>
        <w:rPr>
          <w:rFonts w:hint="eastAsia"/>
          <w:color w:val="auto"/>
          <w:sz w:val="24"/>
          <w:szCs w:val="24"/>
          <w:highlight w:val="none"/>
        </w:rPr>
        <w:t>按供应商得分由高到低排序，采购人应当确定排名第一的成交候选人为成交人。排名第一的成交候选人放弃中标、因不可抗力提出不能履行合同或者磋商文件规定应当提交履约供应商而在规定的期限内未能提交的，采购人可按照推荐顺序依次确定另一名成交候选人为成交人。</w:t>
      </w:r>
    </w:p>
    <w:p w14:paraId="5FB52450">
      <w:pPr>
        <w:snapToGrid w:val="0"/>
        <w:spacing w:line="440" w:lineRule="exact"/>
        <w:ind w:right="33" w:rightChars="15" w:firstLine="480" w:firstLineChars="200"/>
        <w:rPr>
          <w:color w:val="auto"/>
          <w:sz w:val="24"/>
          <w:szCs w:val="24"/>
          <w:highlight w:val="none"/>
        </w:rPr>
      </w:pPr>
      <w:r>
        <w:rPr>
          <w:rFonts w:hint="eastAsia"/>
          <w:color w:val="auto"/>
          <w:sz w:val="24"/>
          <w:szCs w:val="24"/>
          <w:highlight w:val="none"/>
        </w:rPr>
        <w:t>3.4.</w:t>
      </w:r>
      <w:r>
        <w:rPr>
          <w:rFonts w:hint="eastAsia"/>
          <w:color w:val="auto"/>
          <w:sz w:val="24"/>
          <w:szCs w:val="24"/>
          <w:highlight w:val="none"/>
          <w:lang w:val="en-US" w:eastAsia="zh-CN"/>
        </w:rPr>
        <w:t>5</w:t>
      </w:r>
      <w:r>
        <w:rPr>
          <w:rFonts w:hint="eastAsia"/>
          <w:color w:val="auto"/>
          <w:sz w:val="24"/>
          <w:szCs w:val="24"/>
          <w:highlight w:val="none"/>
        </w:rPr>
        <w:t xml:space="preserve"> 成交人确定后，面向社会公示，公示期为1个工作日，采购人向成交供应商签发成交通知书，采购人与成交供应商应自成交通知书签发之日起1个工作日内签定合同。</w:t>
      </w:r>
    </w:p>
    <w:p w14:paraId="4101603E">
      <w:pPr>
        <w:snapToGrid w:val="0"/>
        <w:spacing w:line="360" w:lineRule="auto"/>
        <w:ind w:firstLine="482" w:firstLineChars="200"/>
        <w:rPr>
          <w:b/>
          <w:color w:val="auto"/>
          <w:sz w:val="24"/>
          <w:szCs w:val="24"/>
          <w:highlight w:val="none"/>
        </w:rPr>
      </w:pPr>
      <w:bookmarkStart w:id="231" w:name="_Toc449367503"/>
      <w:r>
        <w:rPr>
          <w:rFonts w:hint="eastAsia"/>
          <w:b/>
          <w:color w:val="auto"/>
          <w:sz w:val="24"/>
          <w:szCs w:val="24"/>
          <w:highlight w:val="none"/>
        </w:rPr>
        <w:t>4. 评标注意事项</w:t>
      </w:r>
      <w:bookmarkEnd w:id="231"/>
    </w:p>
    <w:p w14:paraId="29F6CB44">
      <w:pPr>
        <w:snapToGrid w:val="0"/>
        <w:spacing w:line="360" w:lineRule="auto"/>
        <w:ind w:firstLine="480" w:firstLineChars="200"/>
        <w:rPr>
          <w:color w:val="auto"/>
          <w:sz w:val="24"/>
          <w:szCs w:val="24"/>
          <w:highlight w:val="none"/>
        </w:rPr>
      </w:pPr>
      <w:r>
        <w:rPr>
          <w:rFonts w:hint="eastAsia"/>
          <w:color w:val="auto"/>
          <w:sz w:val="24"/>
          <w:szCs w:val="24"/>
          <w:highlight w:val="none"/>
        </w:rPr>
        <w:t>竞争性磋商小组应按下列原则进行评分汇总统计：</w:t>
      </w:r>
    </w:p>
    <w:p w14:paraId="53CDDAA0">
      <w:pPr>
        <w:snapToGrid w:val="0"/>
        <w:spacing w:line="360" w:lineRule="auto"/>
        <w:ind w:firstLine="480" w:firstLineChars="200"/>
        <w:rPr>
          <w:color w:val="auto"/>
          <w:sz w:val="24"/>
          <w:szCs w:val="24"/>
          <w:highlight w:val="none"/>
        </w:rPr>
      </w:pPr>
      <w:r>
        <w:rPr>
          <w:rFonts w:hint="eastAsia"/>
          <w:color w:val="auto"/>
          <w:sz w:val="24"/>
          <w:szCs w:val="24"/>
          <w:highlight w:val="none"/>
        </w:rPr>
        <w:t>1、分数计算过程中，保留两位小数，小数点后第三位四舍五入。</w:t>
      </w:r>
    </w:p>
    <w:p w14:paraId="4138656B">
      <w:pPr>
        <w:snapToGrid w:val="0"/>
        <w:spacing w:line="360" w:lineRule="auto"/>
        <w:ind w:firstLine="480" w:firstLineChars="200"/>
        <w:rPr>
          <w:color w:val="auto"/>
          <w:sz w:val="24"/>
          <w:szCs w:val="24"/>
          <w:highlight w:val="none"/>
        </w:rPr>
      </w:pPr>
      <w:r>
        <w:rPr>
          <w:rFonts w:hint="eastAsia"/>
          <w:color w:val="auto"/>
          <w:sz w:val="24"/>
          <w:szCs w:val="24"/>
          <w:highlight w:val="none"/>
        </w:rPr>
        <w:t>2、分数汇总时，将所有评委打分取算术平均值作为该供应商的最终得分。</w:t>
      </w:r>
    </w:p>
    <w:p w14:paraId="2BE6E84B">
      <w:pPr>
        <w:snapToGrid w:val="0"/>
        <w:spacing w:line="360" w:lineRule="auto"/>
        <w:ind w:firstLine="482" w:firstLineChars="200"/>
        <w:rPr>
          <w:b/>
          <w:color w:val="auto"/>
          <w:sz w:val="24"/>
          <w:szCs w:val="24"/>
          <w:highlight w:val="none"/>
        </w:rPr>
      </w:pPr>
      <w:bookmarkStart w:id="232" w:name="_Toc449367504"/>
      <w:r>
        <w:rPr>
          <w:rFonts w:hint="eastAsia"/>
          <w:b/>
          <w:color w:val="auto"/>
          <w:sz w:val="24"/>
          <w:szCs w:val="24"/>
          <w:highlight w:val="none"/>
        </w:rPr>
        <w:t>5.评标报告</w:t>
      </w:r>
      <w:bookmarkEnd w:id="232"/>
    </w:p>
    <w:p w14:paraId="0819215F">
      <w:pPr>
        <w:snapToGrid w:val="0"/>
        <w:spacing w:line="360" w:lineRule="auto"/>
        <w:ind w:firstLine="480" w:firstLineChars="200"/>
        <w:rPr>
          <w:color w:val="auto"/>
          <w:sz w:val="24"/>
          <w:szCs w:val="24"/>
          <w:highlight w:val="none"/>
        </w:rPr>
      </w:pPr>
      <w:r>
        <w:rPr>
          <w:rFonts w:hint="eastAsia"/>
          <w:color w:val="auto"/>
          <w:sz w:val="24"/>
          <w:szCs w:val="24"/>
          <w:highlight w:val="none"/>
        </w:rPr>
        <w:t>竞争性磋商小组根据供应商须知前附表的规定向采购人提交评标报告。评标报告应当由全体竞争性磋商小组成员签字，并于评标结束后抄送有关行政监督部门。</w:t>
      </w:r>
    </w:p>
    <w:p w14:paraId="4CDB69AA">
      <w:pPr>
        <w:snapToGrid w:val="0"/>
        <w:spacing w:line="360" w:lineRule="auto"/>
        <w:ind w:firstLine="480" w:firstLineChars="200"/>
        <w:rPr>
          <w:color w:val="auto"/>
          <w:sz w:val="24"/>
          <w:szCs w:val="24"/>
          <w:highlight w:val="none"/>
        </w:rPr>
      </w:pPr>
      <w:r>
        <w:rPr>
          <w:rFonts w:hint="eastAsia"/>
          <w:color w:val="auto"/>
          <w:sz w:val="24"/>
          <w:szCs w:val="24"/>
          <w:highlight w:val="none"/>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793FB832">
      <w:pPr>
        <w:jc w:val="center"/>
        <w:outlineLvl w:val="0"/>
        <w:rPr>
          <w:rFonts w:cs="Times New Roman"/>
          <w:b/>
          <w:bCs/>
          <w:color w:val="auto"/>
          <w:sz w:val="36"/>
          <w:szCs w:val="32"/>
          <w:highlight w:val="none"/>
        </w:rPr>
      </w:pPr>
      <w:bookmarkStart w:id="233" w:name="_Toc21223"/>
      <w:r>
        <w:rPr>
          <w:rFonts w:hint="eastAsia" w:cs="Times New Roman"/>
          <w:b/>
          <w:bCs/>
          <w:color w:val="auto"/>
          <w:sz w:val="36"/>
          <w:szCs w:val="32"/>
          <w:highlight w:val="none"/>
        </w:rPr>
        <w:br w:type="page"/>
      </w:r>
      <w:r>
        <w:rPr>
          <w:rFonts w:hint="eastAsia" w:cs="Times New Roman"/>
          <w:b/>
          <w:bCs/>
          <w:color w:val="auto"/>
          <w:sz w:val="36"/>
          <w:szCs w:val="32"/>
          <w:highlight w:val="none"/>
        </w:rPr>
        <w:t xml:space="preserve">第五章 </w:t>
      </w:r>
      <w:r>
        <w:rPr>
          <w:rFonts w:hint="eastAsia" w:cs="Times New Roman"/>
          <w:b/>
          <w:bCs/>
          <w:color w:val="auto"/>
          <w:sz w:val="28"/>
          <w:szCs w:val="28"/>
          <w:highlight w:val="none"/>
        </w:rPr>
        <w:t xml:space="preserve"> </w:t>
      </w:r>
      <w:r>
        <w:rPr>
          <w:rFonts w:hint="eastAsia" w:cs="Times New Roman"/>
          <w:b/>
          <w:bCs/>
          <w:color w:val="auto"/>
          <w:sz w:val="36"/>
          <w:szCs w:val="32"/>
          <w:highlight w:val="none"/>
        </w:rPr>
        <w:t>合同条款及格式</w:t>
      </w:r>
      <w:bookmarkEnd w:id="233"/>
    </w:p>
    <w:p w14:paraId="2E4DEB19">
      <w:pPr>
        <w:wordWrap w:val="0"/>
        <w:spacing w:before="149"/>
        <w:ind w:left="890" w:right="909"/>
        <w:jc w:val="center"/>
        <w:outlineLvl w:val="2"/>
        <w:rPr>
          <w:b/>
          <w:color w:val="auto"/>
          <w:sz w:val="32"/>
          <w:szCs w:val="32"/>
          <w:highlight w:val="none"/>
        </w:rPr>
      </w:pPr>
      <w:bookmarkStart w:id="234" w:name="_Toc29167_WPSOffice_Level2"/>
      <w:r>
        <w:rPr>
          <w:rFonts w:hint="eastAsia"/>
          <w:color w:val="auto"/>
          <w:spacing w:val="-1"/>
          <w:w w:val="95"/>
          <w:highlight w:val="none"/>
        </w:rPr>
        <w:t>（此格式仅供参考</w:t>
      </w:r>
      <w:r>
        <w:rPr>
          <w:rFonts w:hint="eastAsia"/>
          <w:color w:val="auto"/>
          <w:w w:val="95"/>
          <w:highlight w:val="none"/>
        </w:rPr>
        <w:t>）</w:t>
      </w:r>
      <w:bookmarkEnd w:id="234"/>
      <w:bookmarkStart w:id="235" w:name="_Toc19210_WPSOffice_Level1"/>
      <w:bookmarkStart w:id="236" w:name="_Toc22978"/>
    </w:p>
    <w:bookmarkEnd w:id="235"/>
    <w:bookmarkEnd w:id="236"/>
    <w:p w14:paraId="592A0824">
      <w:pPr>
        <w:keepNext/>
        <w:keepLines/>
        <w:spacing w:before="340" w:after="330" w:line="578" w:lineRule="auto"/>
        <w:jc w:val="center"/>
        <w:outlineLvl w:val="0"/>
        <w:rPr>
          <w:b/>
          <w:bCs/>
          <w:color w:val="auto"/>
          <w:kern w:val="44"/>
          <w:sz w:val="40"/>
          <w:szCs w:val="32"/>
          <w:highlight w:val="none"/>
        </w:rPr>
      </w:pPr>
      <w:r>
        <w:rPr>
          <w:rFonts w:hint="eastAsia"/>
          <w:b/>
          <w:bCs/>
          <w:color w:val="auto"/>
          <w:sz w:val="40"/>
          <w:szCs w:val="44"/>
          <w:highlight w:val="none"/>
        </w:rPr>
        <w:t>政府采购合同（主要条款）</w:t>
      </w:r>
    </w:p>
    <w:p w14:paraId="150423DB">
      <w:pPr>
        <w:rPr>
          <w:color w:val="auto"/>
          <w:sz w:val="24"/>
          <w:szCs w:val="24"/>
          <w:highlight w:val="none"/>
        </w:rPr>
      </w:pPr>
    </w:p>
    <w:p w14:paraId="0CA42E0D">
      <w:pPr>
        <w:rPr>
          <w:color w:val="auto"/>
          <w:sz w:val="24"/>
          <w:szCs w:val="24"/>
          <w:highlight w:val="none"/>
        </w:rPr>
      </w:pPr>
      <w:r>
        <w:rPr>
          <w:rFonts w:hint="eastAsia"/>
          <w:color w:val="auto"/>
          <w:sz w:val="24"/>
          <w:szCs w:val="24"/>
          <w:highlight w:val="none"/>
        </w:rPr>
        <w:t xml:space="preserve">                                                         合同编号：</w:t>
      </w:r>
    </w:p>
    <w:p w14:paraId="75A20374">
      <w:pPr>
        <w:spacing w:line="360" w:lineRule="auto"/>
        <w:rPr>
          <w:color w:val="auto"/>
          <w:sz w:val="24"/>
          <w:szCs w:val="24"/>
          <w:highlight w:val="none"/>
        </w:rPr>
      </w:pPr>
      <w:r>
        <w:rPr>
          <w:rFonts w:hint="eastAsia"/>
          <w:color w:val="auto"/>
          <w:sz w:val="24"/>
          <w:szCs w:val="24"/>
          <w:highlight w:val="none"/>
        </w:rPr>
        <w:t>甲方：                                   乙方：</w:t>
      </w:r>
    </w:p>
    <w:p w14:paraId="061C9C6D">
      <w:pPr>
        <w:spacing w:line="360" w:lineRule="auto"/>
        <w:rPr>
          <w:color w:val="auto"/>
          <w:sz w:val="24"/>
          <w:szCs w:val="24"/>
          <w:highlight w:val="none"/>
        </w:rPr>
      </w:pPr>
      <w:r>
        <w:rPr>
          <w:rFonts w:hint="eastAsia"/>
          <w:color w:val="auto"/>
          <w:sz w:val="24"/>
          <w:szCs w:val="24"/>
          <w:highlight w:val="none"/>
        </w:rPr>
        <w:t>地址：                                   地址：</w:t>
      </w:r>
    </w:p>
    <w:p w14:paraId="01A44C59">
      <w:pPr>
        <w:spacing w:line="360" w:lineRule="auto"/>
        <w:rPr>
          <w:color w:val="auto"/>
          <w:sz w:val="24"/>
          <w:szCs w:val="24"/>
          <w:highlight w:val="none"/>
        </w:rPr>
      </w:pPr>
      <w:r>
        <w:rPr>
          <w:rFonts w:hint="eastAsia"/>
          <w:color w:val="auto"/>
          <w:sz w:val="24"/>
          <w:szCs w:val="24"/>
          <w:highlight w:val="none"/>
        </w:rPr>
        <w:t>联系人：                                 联系人：</w:t>
      </w:r>
    </w:p>
    <w:p w14:paraId="05D7DD16">
      <w:pPr>
        <w:spacing w:line="360" w:lineRule="auto"/>
        <w:rPr>
          <w:color w:val="auto"/>
          <w:sz w:val="24"/>
          <w:szCs w:val="24"/>
          <w:highlight w:val="none"/>
        </w:rPr>
      </w:pPr>
      <w:r>
        <w:rPr>
          <w:rFonts w:hint="eastAsia"/>
          <w:color w:val="auto"/>
          <w:sz w:val="24"/>
          <w:szCs w:val="24"/>
          <w:highlight w:val="none"/>
        </w:rPr>
        <w:t>电话：                                   公司电话：</w:t>
      </w:r>
    </w:p>
    <w:p w14:paraId="1D228B0C">
      <w:pPr>
        <w:spacing w:line="360" w:lineRule="auto"/>
        <w:rPr>
          <w:color w:val="auto"/>
          <w:sz w:val="24"/>
          <w:szCs w:val="24"/>
          <w:highlight w:val="none"/>
        </w:rPr>
      </w:pPr>
      <w:r>
        <w:rPr>
          <w:rFonts w:hint="eastAsia"/>
          <w:color w:val="auto"/>
          <w:sz w:val="24"/>
          <w:szCs w:val="24"/>
          <w:highlight w:val="none"/>
        </w:rPr>
        <w:t xml:space="preserve">传真：                                   联系人电话：                              </w:t>
      </w:r>
    </w:p>
    <w:p w14:paraId="09367E64">
      <w:pPr>
        <w:spacing w:line="360" w:lineRule="auto"/>
        <w:ind w:firstLine="480" w:firstLineChars="200"/>
        <w:rPr>
          <w:color w:val="auto"/>
          <w:sz w:val="24"/>
          <w:szCs w:val="24"/>
          <w:highlight w:val="none"/>
        </w:rPr>
      </w:pPr>
      <w:r>
        <w:rPr>
          <w:rFonts w:hint="eastAsia"/>
          <w:color w:val="auto"/>
          <w:sz w:val="24"/>
          <w:szCs w:val="24"/>
          <w:highlight w:val="none"/>
        </w:rPr>
        <w:t>甲方于   年    月   日对</w:t>
      </w:r>
      <w:r>
        <w:rPr>
          <w:rFonts w:hint="eastAsia"/>
          <w:color w:val="auto"/>
          <w:sz w:val="24"/>
          <w:szCs w:val="24"/>
          <w:highlight w:val="none"/>
          <w:u w:val="single"/>
        </w:rPr>
        <w:t xml:space="preserve">     </w:t>
      </w:r>
      <w:r>
        <w:rPr>
          <w:rFonts w:hint="eastAsia"/>
          <w:color w:val="auto"/>
          <w:sz w:val="24"/>
          <w:szCs w:val="24"/>
          <w:highlight w:val="none"/>
        </w:rPr>
        <w:t>项目（项目编号：       ）进行招标，经过评审，确定乙方为本项目的成交单位。根据磋商文件和成交人响应文件的内容，双方遵循平等、自愿、公平和诚信的原则达成以下条款：</w:t>
      </w:r>
    </w:p>
    <w:p w14:paraId="5B1CC701">
      <w:pPr>
        <w:spacing w:line="360" w:lineRule="auto"/>
        <w:ind w:right="53" w:rightChars="24"/>
        <w:rPr>
          <w:color w:val="auto"/>
          <w:sz w:val="24"/>
          <w:szCs w:val="24"/>
          <w:highlight w:val="none"/>
          <w:lang w:eastAsia="en-US"/>
        </w:rPr>
      </w:pPr>
      <w:r>
        <w:rPr>
          <w:rFonts w:hint="eastAsia"/>
          <w:b/>
          <w:color w:val="auto"/>
          <w:sz w:val="24"/>
          <w:szCs w:val="24"/>
          <w:highlight w:val="none"/>
          <w:lang w:eastAsia="en-US"/>
        </w:rPr>
        <w:t>一、产品名称及清单</w:t>
      </w:r>
      <w:r>
        <w:rPr>
          <w:rFonts w:hint="eastAsia"/>
          <w:color w:val="auto"/>
          <w:sz w:val="24"/>
          <w:szCs w:val="24"/>
          <w:highlight w:val="none"/>
          <w:lang w:eastAsia="en-US"/>
        </w:rPr>
        <w:t>：</w:t>
      </w:r>
    </w:p>
    <w:tbl>
      <w:tblPr>
        <w:tblStyle w:val="1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10"/>
        <w:gridCol w:w="774"/>
        <w:gridCol w:w="1311"/>
        <w:gridCol w:w="720"/>
        <w:gridCol w:w="750"/>
        <w:gridCol w:w="1110"/>
        <w:gridCol w:w="1495"/>
      </w:tblGrid>
      <w:tr w14:paraId="358F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noWrap w:val="0"/>
            <w:vAlign w:val="top"/>
          </w:tcPr>
          <w:p w14:paraId="7E00B16B">
            <w:pPr>
              <w:spacing w:line="360" w:lineRule="auto"/>
              <w:ind w:right="53" w:rightChars="24"/>
              <w:jc w:val="center"/>
              <w:rPr>
                <w:color w:val="auto"/>
                <w:sz w:val="24"/>
                <w:szCs w:val="24"/>
                <w:highlight w:val="none"/>
                <w:lang w:eastAsia="en-US"/>
              </w:rPr>
            </w:pPr>
            <w:r>
              <w:rPr>
                <w:rFonts w:hint="eastAsia"/>
                <w:color w:val="auto"/>
                <w:sz w:val="24"/>
                <w:szCs w:val="24"/>
                <w:highlight w:val="none"/>
                <w:lang w:eastAsia="en-US"/>
              </w:rPr>
              <w:t>序号</w:t>
            </w:r>
          </w:p>
        </w:tc>
        <w:tc>
          <w:tcPr>
            <w:tcW w:w="1710" w:type="dxa"/>
            <w:noWrap w:val="0"/>
            <w:vAlign w:val="top"/>
          </w:tcPr>
          <w:p w14:paraId="55DBEE79">
            <w:pPr>
              <w:spacing w:line="360" w:lineRule="auto"/>
              <w:ind w:right="53" w:rightChars="24"/>
              <w:jc w:val="center"/>
              <w:rPr>
                <w:color w:val="auto"/>
                <w:sz w:val="24"/>
                <w:szCs w:val="24"/>
                <w:highlight w:val="none"/>
                <w:lang w:eastAsia="en-US"/>
              </w:rPr>
            </w:pPr>
            <w:r>
              <w:rPr>
                <w:rFonts w:hint="eastAsia"/>
                <w:color w:val="auto"/>
                <w:sz w:val="24"/>
                <w:szCs w:val="24"/>
                <w:highlight w:val="none"/>
                <w:lang w:eastAsia="en-US"/>
              </w:rPr>
              <w:t>名称</w:t>
            </w:r>
          </w:p>
        </w:tc>
        <w:tc>
          <w:tcPr>
            <w:tcW w:w="774" w:type="dxa"/>
            <w:noWrap w:val="0"/>
            <w:vAlign w:val="top"/>
          </w:tcPr>
          <w:p w14:paraId="31905C1B">
            <w:pPr>
              <w:spacing w:line="360" w:lineRule="auto"/>
              <w:ind w:right="53" w:rightChars="24"/>
              <w:jc w:val="center"/>
              <w:rPr>
                <w:color w:val="auto"/>
                <w:sz w:val="24"/>
                <w:szCs w:val="24"/>
                <w:highlight w:val="none"/>
                <w:lang w:eastAsia="en-US"/>
              </w:rPr>
            </w:pPr>
            <w:r>
              <w:rPr>
                <w:rFonts w:hint="eastAsia"/>
                <w:color w:val="auto"/>
                <w:sz w:val="24"/>
                <w:szCs w:val="24"/>
                <w:highlight w:val="none"/>
                <w:lang w:eastAsia="en-US"/>
              </w:rPr>
              <w:t>产地</w:t>
            </w:r>
          </w:p>
        </w:tc>
        <w:tc>
          <w:tcPr>
            <w:tcW w:w="1311" w:type="dxa"/>
            <w:noWrap w:val="0"/>
            <w:vAlign w:val="top"/>
          </w:tcPr>
          <w:p w14:paraId="4F41A298">
            <w:pPr>
              <w:spacing w:line="360" w:lineRule="auto"/>
              <w:ind w:right="53" w:rightChars="24"/>
              <w:jc w:val="center"/>
              <w:rPr>
                <w:color w:val="auto"/>
                <w:sz w:val="24"/>
                <w:szCs w:val="24"/>
                <w:highlight w:val="none"/>
                <w:lang w:eastAsia="en-US"/>
              </w:rPr>
            </w:pPr>
            <w:r>
              <w:rPr>
                <w:rFonts w:hint="eastAsia"/>
                <w:color w:val="auto"/>
                <w:sz w:val="24"/>
                <w:szCs w:val="24"/>
                <w:highlight w:val="none"/>
                <w:lang w:eastAsia="en-US"/>
              </w:rPr>
              <w:t>品牌型号</w:t>
            </w:r>
          </w:p>
        </w:tc>
        <w:tc>
          <w:tcPr>
            <w:tcW w:w="720" w:type="dxa"/>
            <w:noWrap w:val="0"/>
            <w:vAlign w:val="top"/>
          </w:tcPr>
          <w:p w14:paraId="40C7768B">
            <w:pPr>
              <w:spacing w:line="360" w:lineRule="auto"/>
              <w:ind w:right="53" w:rightChars="24"/>
              <w:jc w:val="center"/>
              <w:rPr>
                <w:color w:val="auto"/>
                <w:sz w:val="24"/>
                <w:szCs w:val="24"/>
                <w:highlight w:val="none"/>
                <w:lang w:eastAsia="en-US"/>
              </w:rPr>
            </w:pPr>
            <w:r>
              <w:rPr>
                <w:rFonts w:hint="eastAsia"/>
                <w:color w:val="auto"/>
                <w:sz w:val="24"/>
                <w:szCs w:val="24"/>
                <w:highlight w:val="none"/>
                <w:lang w:eastAsia="en-US"/>
              </w:rPr>
              <w:t>单位</w:t>
            </w:r>
          </w:p>
        </w:tc>
        <w:tc>
          <w:tcPr>
            <w:tcW w:w="750" w:type="dxa"/>
            <w:noWrap w:val="0"/>
            <w:vAlign w:val="top"/>
          </w:tcPr>
          <w:p w14:paraId="030CCBC7">
            <w:pPr>
              <w:spacing w:line="360" w:lineRule="auto"/>
              <w:ind w:right="53" w:rightChars="24"/>
              <w:jc w:val="center"/>
              <w:rPr>
                <w:color w:val="auto"/>
                <w:sz w:val="24"/>
                <w:szCs w:val="24"/>
                <w:highlight w:val="none"/>
                <w:lang w:eastAsia="en-US"/>
              </w:rPr>
            </w:pPr>
            <w:r>
              <w:rPr>
                <w:rFonts w:hint="eastAsia"/>
                <w:color w:val="auto"/>
                <w:sz w:val="24"/>
                <w:szCs w:val="24"/>
                <w:highlight w:val="none"/>
                <w:lang w:eastAsia="en-US"/>
              </w:rPr>
              <w:t>数量</w:t>
            </w:r>
          </w:p>
        </w:tc>
        <w:tc>
          <w:tcPr>
            <w:tcW w:w="1110" w:type="dxa"/>
            <w:noWrap w:val="0"/>
            <w:vAlign w:val="top"/>
          </w:tcPr>
          <w:p w14:paraId="71856C09">
            <w:pPr>
              <w:spacing w:line="360" w:lineRule="auto"/>
              <w:ind w:right="53" w:rightChars="24"/>
              <w:jc w:val="center"/>
              <w:rPr>
                <w:color w:val="auto"/>
                <w:sz w:val="24"/>
                <w:szCs w:val="24"/>
                <w:highlight w:val="none"/>
                <w:lang w:eastAsia="en-US"/>
              </w:rPr>
            </w:pPr>
            <w:r>
              <w:rPr>
                <w:rFonts w:hint="eastAsia"/>
                <w:color w:val="auto"/>
                <w:sz w:val="24"/>
                <w:szCs w:val="24"/>
                <w:highlight w:val="none"/>
                <w:lang w:eastAsia="en-US"/>
              </w:rPr>
              <w:t>单价</w:t>
            </w:r>
          </w:p>
        </w:tc>
        <w:tc>
          <w:tcPr>
            <w:tcW w:w="1495" w:type="dxa"/>
            <w:noWrap w:val="0"/>
            <w:vAlign w:val="top"/>
          </w:tcPr>
          <w:p w14:paraId="063F9B4E">
            <w:pPr>
              <w:spacing w:line="360" w:lineRule="auto"/>
              <w:ind w:right="53" w:rightChars="24"/>
              <w:jc w:val="center"/>
              <w:rPr>
                <w:color w:val="auto"/>
                <w:sz w:val="24"/>
                <w:szCs w:val="24"/>
                <w:highlight w:val="none"/>
                <w:lang w:eastAsia="en-US"/>
              </w:rPr>
            </w:pPr>
            <w:r>
              <w:rPr>
                <w:rFonts w:hint="eastAsia"/>
                <w:color w:val="auto"/>
                <w:sz w:val="24"/>
                <w:szCs w:val="24"/>
                <w:highlight w:val="none"/>
                <w:lang w:eastAsia="en-US"/>
              </w:rPr>
              <w:t>备注</w:t>
            </w:r>
          </w:p>
        </w:tc>
      </w:tr>
      <w:tr w14:paraId="1780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43" w:type="dxa"/>
            <w:noWrap w:val="0"/>
            <w:vAlign w:val="center"/>
          </w:tcPr>
          <w:p w14:paraId="0A149317">
            <w:pPr>
              <w:spacing w:line="360" w:lineRule="auto"/>
              <w:ind w:right="53" w:rightChars="24"/>
              <w:jc w:val="center"/>
              <w:rPr>
                <w:color w:val="auto"/>
                <w:sz w:val="24"/>
                <w:szCs w:val="24"/>
                <w:highlight w:val="none"/>
                <w:lang w:eastAsia="en-US"/>
              </w:rPr>
            </w:pPr>
            <w:r>
              <w:rPr>
                <w:rFonts w:hint="eastAsia"/>
                <w:color w:val="auto"/>
                <w:sz w:val="24"/>
                <w:szCs w:val="24"/>
                <w:highlight w:val="none"/>
                <w:lang w:eastAsia="en-US"/>
              </w:rPr>
              <w:t>1</w:t>
            </w:r>
          </w:p>
        </w:tc>
        <w:tc>
          <w:tcPr>
            <w:tcW w:w="1710" w:type="dxa"/>
            <w:noWrap w:val="0"/>
            <w:vAlign w:val="center"/>
          </w:tcPr>
          <w:p w14:paraId="1A4BA977">
            <w:pPr>
              <w:ind w:right="53" w:rightChars="24"/>
              <w:jc w:val="center"/>
              <w:rPr>
                <w:color w:val="auto"/>
                <w:sz w:val="24"/>
                <w:szCs w:val="24"/>
                <w:highlight w:val="none"/>
                <w:lang w:eastAsia="en-US"/>
              </w:rPr>
            </w:pPr>
          </w:p>
        </w:tc>
        <w:tc>
          <w:tcPr>
            <w:tcW w:w="774" w:type="dxa"/>
            <w:noWrap w:val="0"/>
            <w:vAlign w:val="center"/>
          </w:tcPr>
          <w:p w14:paraId="133E6B1B">
            <w:pPr>
              <w:ind w:right="53" w:rightChars="24"/>
              <w:jc w:val="center"/>
              <w:rPr>
                <w:color w:val="auto"/>
                <w:sz w:val="24"/>
                <w:szCs w:val="24"/>
                <w:highlight w:val="none"/>
                <w:lang w:eastAsia="en-US"/>
              </w:rPr>
            </w:pPr>
          </w:p>
        </w:tc>
        <w:tc>
          <w:tcPr>
            <w:tcW w:w="1311" w:type="dxa"/>
            <w:noWrap w:val="0"/>
            <w:vAlign w:val="center"/>
          </w:tcPr>
          <w:p w14:paraId="7C287E0D">
            <w:pPr>
              <w:spacing w:line="360" w:lineRule="auto"/>
              <w:ind w:right="53" w:rightChars="24"/>
              <w:jc w:val="center"/>
              <w:rPr>
                <w:color w:val="auto"/>
                <w:sz w:val="24"/>
                <w:szCs w:val="24"/>
                <w:highlight w:val="none"/>
                <w:lang w:eastAsia="en-US"/>
              </w:rPr>
            </w:pPr>
          </w:p>
        </w:tc>
        <w:tc>
          <w:tcPr>
            <w:tcW w:w="720" w:type="dxa"/>
            <w:noWrap w:val="0"/>
            <w:vAlign w:val="center"/>
          </w:tcPr>
          <w:p w14:paraId="2C6E88F6">
            <w:pPr>
              <w:spacing w:line="360" w:lineRule="auto"/>
              <w:ind w:right="53" w:rightChars="24"/>
              <w:jc w:val="center"/>
              <w:rPr>
                <w:color w:val="auto"/>
                <w:sz w:val="24"/>
                <w:szCs w:val="24"/>
                <w:highlight w:val="none"/>
                <w:lang w:eastAsia="en-US"/>
              </w:rPr>
            </w:pPr>
          </w:p>
        </w:tc>
        <w:tc>
          <w:tcPr>
            <w:tcW w:w="750" w:type="dxa"/>
            <w:noWrap w:val="0"/>
            <w:vAlign w:val="center"/>
          </w:tcPr>
          <w:p w14:paraId="74C74CC7">
            <w:pPr>
              <w:spacing w:line="360" w:lineRule="auto"/>
              <w:ind w:right="53" w:rightChars="24"/>
              <w:jc w:val="center"/>
              <w:rPr>
                <w:color w:val="auto"/>
                <w:sz w:val="24"/>
                <w:szCs w:val="24"/>
                <w:highlight w:val="none"/>
                <w:lang w:eastAsia="en-US"/>
              </w:rPr>
            </w:pPr>
          </w:p>
        </w:tc>
        <w:tc>
          <w:tcPr>
            <w:tcW w:w="1110" w:type="dxa"/>
            <w:noWrap w:val="0"/>
            <w:vAlign w:val="center"/>
          </w:tcPr>
          <w:p w14:paraId="3C687703">
            <w:pPr>
              <w:spacing w:line="360" w:lineRule="auto"/>
              <w:ind w:right="53" w:rightChars="24"/>
              <w:jc w:val="center"/>
              <w:rPr>
                <w:color w:val="auto"/>
                <w:sz w:val="24"/>
                <w:szCs w:val="24"/>
                <w:highlight w:val="none"/>
                <w:lang w:eastAsia="en-US"/>
              </w:rPr>
            </w:pPr>
          </w:p>
        </w:tc>
        <w:tc>
          <w:tcPr>
            <w:tcW w:w="1495" w:type="dxa"/>
            <w:noWrap w:val="0"/>
            <w:vAlign w:val="center"/>
          </w:tcPr>
          <w:p w14:paraId="2C9A2A89">
            <w:pPr>
              <w:ind w:right="53" w:rightChars="24"/>
              <w:jc w:val="center"/>
              <w:rPr>
                <w:color w:val="auto"/>
                <w:sz w:val="24"/>
                <w:szCs w:val="24"/>
                <w:highlight w:val="none"/>
                <w:lang w:eastAsia="en-US"/>
              </w:rPr>
            </w:pPr>
          </w:p>
        </w:tc>
      </w:tr>
      <w:tr w14:paraId="7468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0D6667AA">
            <w:pPr>
              <w:spacing w:line="360" w:lineRule="auto"/>
              <w:ind w:right="53" w:rightChars="24"/>
              <w:jc w:val="center"/>
              <w:rPr>
                <w:color w:val="auto"/>
                <w:sz w:val="24"/>
                <w:szCs w:val="24"/>
                <w:highlight w:val="none"/>
              </w:rPr>
            </w:pPr>
            <w:r>
              <w:rPr>
                <w:rFonts w:hint="eastAsia"/>
                <w:color w:val="auto"/>
                <w:sz w:val="24"/>
                <w:szCs w:val="24"/>
                <w:highlight w:val="none"/>
              </w:rPr>
              <w:t>2</w:t>
            </w:r>
          </w:p>
        </w:tc>
        <w:tc>
          <w:tcPr>
            <w:tcW w:w="1710" w:type="dxa"/>
            <w:noWrap w:val="0"/>
            <w:vAlign w:val="center"/>
          </w:tcPr>
          <w:p w14:paraId="74DFACF9">
            <w:pPr>
              <w:ind w:right="53" w:rightChars="24"/>
              <w:jc w:val="center"/>
              <w:rPr>
                <w:color w:val="auto"/>
                <w:sz w:val="24"/>
                <w:szCs w:val="24"/>
                <w:highlight w:val="none"/>
                <w:lang w:eastAsia="en-US"/>
              </w:rPr>
            </w:pPr>
          </w:p>
        </w:tc>
        <w:tc>
          <w:tcPr>
            <w:tcW w:w="774" w:type="dxa"/>
            <w:noWrap w:val="0"/>
            <w:vAlign w:val="center"/>
          </w:tcPr>
          <w:p w14:paraId="2E47307F">
            <w:pPr>
              <w:ind w:right="53" w:rightChars="24"/>
              <w:jc w:val="center"/>
              <w:rPr>
                <w:color w:val="auto"/>
                <w:sz w:val="24"/>
                <w:szCs w:val="24"/>
                <w:highlight w:val="none"/>
                <w:lang w:eastAsia="en-US"/>
              </w:rPr>
            </w:pPr>
          </w:p>
        </w:tc>
        <w:tc>
          <w:tcPr>
            <w:tcW w:w="1311" w:type="dxa"/>
            <w:noWrap w:val="0"/>
            <w:vAlign w:val="center"/>
          </w:tcPr>
          <w:p w14:paraId="400AD2F5">
            <w:pPr>
              <w:spacing w:line="360" w:lineRule="auto"/>
              <w:ind w:right="53" w:rightChars="24"/>
              <w:jc w:val="center"/>
              <w:rPr>
                <w:color w:val="auto"/>
                <w:sz w:val="24"/>
                <w:szCs w:val="24"/>
                <w:highlight w:val="none"/>
                <w:lang w:eastAsia="en-US"/>
              </w:rPr>
            </w:pPr>
          </w:p>
        </w:tc>
        <w:tc>
          <w:tcPr>
            <w:tcW w:w="720" w:type="dxa"/>
            <w:noWrap w:val="0"/>
            <w:vAlign w:val="center"/>
          </w:tcPr>
          <w:p w14:paraId="5C32560A">
            <w:pPr>
              <w:spacing w:line="360" w:lineRule="auto"/>
              <w:ind w:right="53" w:rightChars="24"/>
              <w:jc w:val="center"/>
              <w:rPr>
                <w:color w:val="auto"/>
                <w:sz w:val="24"/>
                <w:szCs w:val="24"/>
                <w:highlight w:val="none"/>
                <w:lang w:eastAsia="en-US"/>
              </w:rPr>
            </w:pPr>
          </w:p>
        </w:tc>
        <w:tc>
          <w:tcPr>
            <w:tcW w:w="750" w:type="dxa"/>
            <w:noWrap w:val="0"/>
            <w:vAlign w:val="center"/>
          </w:tcPr>
          <w:p w14:paraId="6EF9B6FD">
            <w:pPr>
              <w:spacing w:line="360" w:lineRule="auto"/>
              <w:ind w:right="53" w:rightChars="24"/>
              <w:jc w:val="center"/>
              <w:rPr>
                <w:color w:val="auto"/>
                <w:sz w:val="24"/>
                <w:szCs w:val="24"/>
                <w:highlight w:val="none"/>
                <w:lang w:eastAsia="en-US"/>
              </w:rPr>
            </w:pPr>
          </w:p>
        </w:tc>
        <w:tc>
          <w:tcPr>
            <w:tcW w:w="1110" w:type="dxa"/>
            <w:noWrap w:val="0"/>
            <w:vAlign w:val="center"/>
          </w:tcPr>
          <w:p w14:paraId="533DBF30">
            <w:pPr>
              <w:spacing w:line="360" w:lineRule="auto"/>
              <w:ind w:right="53" w:rightChars="24"/>
              <w:jc w:val="center"/>
              <w:rPr>
                <w:color w:val="auto"/>
                <w:sz w:val="24"/>
                <w:szCs w:val="24"/>
                <w:highlight w:val="none"/>
                <w:lang w:eastAsia="en-US"/>
              </w:rPr>
            </w:pPr>
          </w:p>
        </w:tc>
        <w:tc>
          <w:tcPr>
            <w:tcW w:w="1495" w:type="dxa"/>
            <w:noWrap w:val="0"/>
            <w:vAlign w:val="center"/>
          </w:tcPr>
          <w:p w14:paraId="788AB0B2">
            <w:pPr>
              <w:ind w:right="53" w:rightChars="24"/>
              <w:jc w:val="center"/>
              <w:rPr>
                <w:color w:val="auto"/>
                <w:sz w:val="24"/>
                <w:szCs w:val="24"/>
                <w:highlight w:val="none"/>
                <w:lang w:eastAsia="en-US"/>
              </w:rPr>
            </w:pPr>
          </w:p>
        </w:tc>
      </w:tr>
      <w:tr w14:paraId="3ABA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02291A28">
            <w:pPr>
              <w:spacing w:line="360" w:lineRule="auto"/>
              <w:ind w:right="53" w:rightChars="24"/>
              <w:jc w:val="center"/>
              <w:rPr>
                <w:color w:val="auto"/>
                <w:sz w:val="24"/>
                <w:szCs w:val="24"/>
                <w:highlight w:val="none"/>
              </w:rPr>
            </w:pPr>
            <w:r>
              <w:rPr>
                <w:rFonts w:hint="eastAsia"/>
                <w:color w:val="auto"/>
                <w:sz w:val="24"/>
                <w:szCs w:val="24"/>
                <w:highlight w:val="none"/>
              </w:rPr>
              <w:t>3</w:t>
            </w:r>
          </w:p>
        </w:tc>
        <w:tc>
          <w:tcPr>
            <w:tcW w:w="1710" w:type="dxa"/>
            <w:noWrap w:val="0"/>
            <w:vAlign w:val="center"/>
          </w:tcPr>
          <w:p w14:paraId="3953BB91">
            <w:pPr>
              <w:ind w:right="53" w:rightChars="24"/>
              <w:jc w:val="center"/>
              <w:rPr>
                <w:color w:val="auto"/>
                <w:sz w:val="24"/>
                <w:szCs w:val="24"/>
                <w:highlight w:val="none"/>
                <w:lang w:eastAsia="en-US"/>
              </w:rPr>
            </w:pPr>
          </w:p>
        </w:tc>
        <w:tc>
          <w:tcPr>
            <w:tcW w:w="774" w:type="dxa"/>
            <w:noWrap w:val="0"/>
            <w:vAlign w:val="center"/>
          </w:tcPr>
          <w:p w14:paraId="572EADF9">
            <w:pPr>
              <w:ind w:right="53" w:rightChars="24"/>
              <w:jc w:val="center"/>
              <w:rPr>
                <w:color w:val="auto"/>
                <w:sz w:val="24"/>
                <w:szCs w:val="24"/>
                <w:highlight w:val="none"/>
                <w:lang w:eastAsia="en-US"/>
              </w:rPr>
            </w:pPr>
          </w:p>
        </w:tc>
        <w:tc>
          <w:tcPr>
            <w:tcW w:w="1311" w:type="dxa"/>
            <w:noWrap w:val="0"/>
            <w:vAlign w:val="center"/>
          </w:tcPr>
          <w:p w14:paraId="6615801F">
            <w:pPr>
              <w:spacing w:line="360" w:lineRule="auto"/>
              <w:ind w:right="53" w:rightChars="24"/>
              <w:jc w:val="center"/>
              <w:rPr>
                <w:color w:val="auto"/>
                <w:sz w:val="24"/>
                <w:szCs w:val="24"/>
                <w:highlight w:val="none"/>
                <w:lang w:eastAsia="en-US"/>
              </w:rPr>
            </w:pPr>
          </w:p>
        </w:tc>
        <w:tc>
          <w:tcPr>
            <w:tcW w:w="720" w:type="dxa"/>
            <w:noWrap w:val="0"/>
            <w:vAlign w:val="center"/>
          </w:tcPr>
          <w:p w14:paraId="0F11DAE2">
            <w:pPr>
              <w:spacing w:line="360" w:lineRule="auto"/>
              <w:ind w:right="53" w:rightChars="24"/>
              <w:jc w:val="center"/>
              <w:rPr>
                <w:color w:val="auto"/>
                <w:sz w:val="24"/>
                <w:szCs w:val="24"/>
                <w:highlight w:val="none"/>
                <w:lang w:eastAsia="en-US"/>
              </w:rPr>
            </w:pPr>
          </w:p>
        </w:tc>
        <w:tc>
          <w:tcPr>
            <w:tcW w:w="750" w:type="dxa"/>
            <w:noWrap w:val="0"/>
            <w:vAlign w:val="center"/>
          </w:tcPr>
          <w:p w14:paraId="40387DA4">
            <w:pPr>
              <w:spacing w:line="360" w:lineRule="auto"/>
              <w:ind w:right="53" w:rightChars="24"/>
              <w:jc w:val="center"/>
              <w:rPr>
                <w:color w:val="auto"/>
                <w:sz w:val="24"/>
                <w:szCs w:val="24"/>
                <w:highlight w:val="none"/>
                <w:lang w:eastAsia="en-US"/>
              </w:rPr>
            </w:pPr>
          </w:p>
        </w:tc>
        <w:tc>
          <w:tcPr>
            <w:tcW w:w="1110" w:type="dxa"/>
            <w:noWrap w:val="0"/>
            <w:vAlign w:val="center"/>
          </w:tcPr>
          <w:p w14:paraId="7EB0C783">
            <w:pPr>
              <w:spacing w:line="360" w:lineRule="auto"/>
              <w:ind w:right="53" w:rightChars="24"/>
              <w:jc w:val="center"/>
              <w:rPr>
                <w:color w:val="auto"/>
                <w:sz w:val="24"/>
                <w:szCs w:val="24"/>
                <w:highlight w:val="none"/>
                <w:lang w:eastAsia="en-US"/>
              </w:rPr>
            </w:pPr>
          </w:p>
        </w:tc>
        <w:tc>
          <w:tcPr>
            <w:tcW w:w="1495" w:type="dxa"/>
            <w:noWrap w:val="0"/>
            <w:vAlign w:val="center"/>
          </w:tcPr>
          <w:p w14:paraId="7BC1451D">
            <w:pPr>
              <w:ind w:right="53" w:rightChars="24"/>
              <w:jc w:val="center"/>
              <w:rPr>
                <w:color w:val="auto"/>
                <w:sz w:val="24"/>
                <w:szCs w:val="24"/>
                <w:highlight w:val="none"/>
                <w:lang w:eastAsia="en-US"/>
              </w:rPr>
            </w:pPr>
          </w:p>
        </w:tc>
      </w:tr>
      <w:tr w14:paraId="79B3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53" w:type="dxa"/>
            <w:gridSpan w:val="2"/>
            <w:noWrap w:val="0"/>
            <w:vAlign w:val="center"/>
          </w:tcPr>
          <w:p w14:paraId="70DB254C">
            <w:pPr>
              <w:spacing w:line="360" w:lineRule="auto"/>
              <w:ind w:right="53" w:rightChars="24"/>
              <w:jc w:val="center"/>
              <w:rPr>
                <w:color w:val="auto"/>
                <w:sz w:val="24"/>
                <w:szCs w:val="24"/>
                <w:highlight w:val="none"/>
              </w:rPr>
            </w:pPr>
            <w:r>
              <w:rPr>
                <w:rFonts w:hint="eastAsia"/>
                <w:color w:val="auto"/>
                <w:sz w:val="24"/>
                <w:szCs w:val="24"/>
                <w:highlight w:val="none"/>
              </w:rPr>
              <w:t>合同总金额</w:t>
            </w:r>
          </w:p>
          <w:p w14:paraId="564030A7">
            <w:pPr>
              <w:spacing w:line="360" w:lineRule="auto"/>
              <w:ind w:right="53" w:rightChars="24"/>
              <w:jc w:val="center"/>
              <w:rPr>
                <w:color w:val="auto"/>
                <w:sz w:val="24"/>
                <w:szCs w:val="24"/>
                <w:highlight w:val="none"/>
              </w:rPr>
            </w:pPr>
            <w:r>
              <w:rPr>
                <w:rFonts w:hint="eastAsia"/>
                <w:color w:val="auto"/>
                <w:sz w:val="24"/>
                <w:szCs w:val="24"/>
                <w:highlight w:val="none"/>
              </w:rPr>
              <w:t>（人民币）</w:t>
            </w:r>
          </w:p>
        </w:tc>
        <w:tc>
          <w:tcPr>
            <w:tcW w:w="6160" w:type="dxa"/>
            <w:gridSpan w:val="6"/>
            <w:noWrap w:val="0"/>
            <w:vAlign w:val="center"/>
          </w:tcPr>
          <w:p w14:paraId="58C42148">
            <w:pPr>
              <w:spacing w:line="360" w:lineRule="auto"/>
              <w:ind w:right="53" w:rightChars="24"/>
              <w:jc w:val="center"/>
              <w:rPr>
                <w:color w:val="auto"/>
                <w:sz w:val="24"/>
                <w:szCs w:val="24"/>
                <w:highlight w:val="none"/>
                <w:lang w:eastAsia="en-US"/>
              </w:rPr>
            </w:pPr>
            <w:r>
              <w:rPr>
                <w:rFonts w:hint="eastAsia"/>
                <w:color w:val="auto"/>
                <w:sz w:val="24"/>
                <w:szCs w:val="24"/>
                <w:highlight w:val="none"/>
                <w:lang w:eastAsia="en-US"/>
              </w:rPr>
              <w:t>（¥      ）</w:t>
            </w:r>
          </w:p>
        </w:tc>
      </w:tr>
    </w:tbl>
    <w:p w14:paraId="45D35EF7">
      <w:pPr>
        <w:spacing w:line="360" w:lineRule="auto"/>
        <w:ind w:left="361" w:right="53" w:rightChars="24" w:hanging="361" w:hangingChars="150"/>
        <w:rPr>
          <w:color w:val="auto"/>
          <w:sz w:val="24"/>
          <w:szCs w:val="24"/>
          <w:highlight w:val="none"/>
          <w:u w:val="single"/>
        </w:rPr>
      </w:pPr>
      <w:r>
        <w:rPr>
          <w:rFonts w:hint="eastAsia"/>
          <w:b/>
          <w:color w:val="auto"/>
          <w:sz w:val="24"/>
          <w:szCs w:val="24"/>
          <w:highlight w:val="none"/>
          <w:lang w:eastAsia="en-US"/>
        </w:rPr>
        <w:t>二、付款方式：</w:t>
      </w:r>
      <w:r>
        <w:rPr>
          <w:rFonts w:hint="eastAsia"/>
          <w:b/>
          <w:color w:val="auto"/>
          <w:sz w:val="24"/>
          <w:szCs w:val="24"/>
          <w:highlight w:val="none"/>
          <w:u w:val="single"/>
        </w:rPr>
        <w:t xml:space="preserve">                                           </w:t>
      </w:r>
    </w:p>
    <w:p w14:paraId="30BBCCF3">
      <w:pPr>
        <w:spacing w:line="360" w:lineRule="auto"/>
        <w:ind w:left="361" w:right="53" w:rightChars="24" w:hanging="361" w:hangingChars="150"/>
        <w:rPr>
          <w:b/>
          <w:color w:val="auto"/>
          <w:sz w:val="24"/>
          <w:szCs w:val="24"/>
          <w:highlight w:val="none"/>
        </w:rPr>
      </w:pPr>
      <w:r>
        <w:rPr>
          <w:rFonts w:hint="eastAsia"/>
          <w:b/>
          <w:color w:val="auto"/>
          <w:sz w:val="24"/>
          <w:szCs w:val="24"/>
          <w:highlight w:val="none"/>
        </w:rPr>
        <w:t>三、质量要求、技术标准</w:t>
      </w:r>
    </w:p>
    <w:p w14:paraId="14E25E79">
      <w:pPr>
        <w:spacing w:line="360" w:lineRule="auto"/>
        <w:ind w:left="360" w:right="53" w:rightChars="24" w:hanging="360" w:hangingChars="150"/>
        <w:rPr>
          <w:color w:val="auto"/>
          <w:sz w:val="24"/>
          <w:szCs w:val="24"/>
          <w:highlight w:val="none"/>
        </w:rPr>
      </w:pPr>
      <w:r>
        <w:rPr>
          <w:rFonts w:hint="eastAsia"/>
          <w:color w:val="auto"/>
          <w:sz w:val="24"/>
          <w:szCs w:val="24"/>
          <w:highlight w:val="none"/>
        </w:rPr>
        <w:t xml:space="preserve">      甲方所购产品均为原厂家生产、全新货物，并符合招标配置设备生产厂商及国家规定行业之质量技术标准，以上约定同时为产品的验收标准请详见配置单。</w:t>
      </w:r>
    </w:p>
    <w:p w14:paraId="53B14A56">
      <w:pPr>
        <w:spacing w:line="360" w:lineRule="auto"/>
        <w:ind w:left="361" w:right="53" w:rightChars="24" w:hanging="361" w:hangingChars="150"/>
        <w:rPr>
          <w:b/>
          <w:color w:val="auto"/>
          <w:sz w:val="24"/>
          <w:szCs w:val="24"/>
          <w:highlight w:val="none"/>
        </w:rPr>
      </w:pPr>
      <w:r>
        <w:rPr>
          <w:rFonts w:hint="eastAsia"/>
          <w:b/>
          <w:color w:val="auto"/>
          <w:sz w:val="24"/>
          <w:szCs w:val="24"/>
          <w:highlight w:val="none"/>
        </w:rPr>
        <w:t>四、交货及产品包装</w:t>
      </w:r>
    </w:p>
    <w:p w14:paraId="5BF06B6A">
      <w:pPr>
        <w:spacing w:line="360" w:lineRule="auto"/>
        <w:ind w:left="360" w:right="53" w:rightChars="24" w:hanging="360" w:hangingChars="150"/>
        <w:rPr>
          <w:color w:val="auto"/>
          <w:sz w:val="24"/>
          <w:szCs w:val="24"/>
          <w:highlight w:val="none"/>
        </w:rPr>
      </w:pPr>
      <w:r>
        <w:rPr>
          <w:rFonts w:hint="eastAsia"/>
          <w:color w:val="auto"/>
          <w:sz w:val="24"/>
          <w:szCs w:val="24"/>
          <w:highlight w:val="none"/>
        </w:rPr>
        <w:t xml:space="preserve">   1、供货地点：</w:t>
      </w:r>
      <w:r>
        <w:rPr>
          <w:rFonts w:hint="eastAsia"/>
          <w:color w:val="auto"/>
          <w:sz w:val="24"/>
          <w:szCs w:val="24"/>
          <w:highlight w:val="none"/>
          <w:u w:val="single"/>
        </w:rPr>
        <w:t xml:space="preserve">                       </w:t>
      </w:r>
      <w:r>
        <w:rPr>
          <w:rFonts w:hint="eastAsia"/>
          <w:color w:val="auto"/>
          <w:sz w:val="24"/>
          <w:szCs w:val="24"/>
          <w:highlight w:val="none"/>
        </w:rPr>
        <w:t xml:space="preserve"> </w:t>
      </w:r>
    </w:p>
    <w:p w14:paraId="358A0D32">
      <w:pPr>
        <w:spacing w:line="360" w:lineRule="auto"/>
        <w:ind w:left="360" w:right="53" w:rightChars="24" w:hanging="360" w:hangingChars="150"/>
        <w:rPr>
          <w:color w:val="auto"/>
          <w:sz w:val="24"/>
          <w:szCs w:val="24"/>
          <w:highlight w:val="none"/>
        </w:rPr>
      </w:pPr>
      <w:r>
        <w:rPr>
          <w:rFonts w:hint="eastAsia"/>
          <w:color w:val="auto"/>
          <w:sz w:val="24"/>
          <w:szCs w:val="24"/>
          <w:highlight w:val="none"/>
        </w:rPr>
        <w:t xml:space="preserve">   2、包装要求：厂方原包装</w:t>
      </w:r>
    </w:p>
    <w:p w14:paraId="6627DE86">
      <w:pPr>
        <w:spacing w:line="360" w:lineRule="auto"/>
        <w:ind w:left="360" w:right="53" w:rightChars="24" w:hanging="360" w:hangingChars="150"/>
        <w:rPr>
          <w:color w:val="auto"/>
          <w:sz w:val="24"/>
          <w:szCs w:val="24"/>
          <w:highlight w:val="none"/>
        </w:rPr>
      </w:pPr>
      <w:r>
        <w:rPr>
          <w:rFonts w:hint="eastAsia"/>
          <w:color w:val="auto"/>
          <w:sz w:val="24"/>
          <w:szCs w:val="24"/>
          <w:highlight w:val="none"/>
        </w:rPr>
        <w:t xml:space="preserve">   3、供货期限：合同生效后</w:t>
      </w:r>
      <w:r>
        <w:rPr>
          <w:rFonts w:hint="eastAsia"/>
          <w:color w:val="auto"/>
          <w:sz w:val="24"/>
          <w:szCs w:val="24"/>
          <w:highlight w:val="none"/>
          <w:u w:val="single"/>
        </w:rPr>
        <w:t>　　　　</w:t>
      </w:r>
      <w:r>
        <w:rPr>
          <w:rFonts w:hint="eastAsia"/>
          <w:bCs/>
          <w:color w:val="auto"/>
          <w:sz w:val="24"/>
          <w:szCs w:val="24"/>
          <w:highlight w:val="none"/>
        </w:rPr>
        <w:t>个工作日内</w:t>
      </w:r>
    </w:p>
    <w:p w14:paraId="2B4D0FC5">
      <w:pPr>
        <w:spacing w:line="360" w:lineRule="auto"/>
        <w:ind w:left="360" w:right="53" w:rightChars="24" w:hanging="360" w:hangingChars="150"/>
        <w:rPr>
          <w:color w:val="auto"/>
          <w:sz w:val="24"/>
          <w:szCs w:val="24"/>
          <w:highlight w:val="none"/>
        </w:rPr>
      </w:pPr>
      <w:r>
        <w:rPr>
          <w:rFonts w:hint="eastAsia"/>
          <w:color w:val="auto"/>
          <w:sz w:val="24"/>
          <w:szCs w:val="24"/>
          <w:highlight w:val="none"/>
        </w:rPr>
        <w:t xml:space="preserve">   4、保险及运输：由乙方负责</w:t>
      </w:r>
    </w:p>
    <w:p w14:paraId="1371552D">
      <w:pPr>
        <w:spacing w:line="360" w:lineRule="auto"/>
        <w:ind w:right="53" w:rightChars="24"/>
        <w:rPr>
          <w:color w:val="auto"/>
          <w:sz w:val="24"/>
          <w:szCs w:val="24"/>
          <w:highlight w:val="none"/>
        </w:rPr>
      </w:pPr>
      <w:r>
        <w:rPr>
          <w:rFonts w:hint="eastAsia"/>
          <w:b/>
          <w:color w:val="auto"/>
          <w:sz w:val="24"/>
          <w:szCs w:val="24"/>
          <w:highlight w:val="none"/>
        </w:rPr>
        <w:t>五、产品验收</w:t>
      </w:r>
    </w:p>
    <w:p w14:paraId="035AD1D0">
      <w:pPr>
        <w:spacing w:line="360" w:lineRule="auto"/>
        <w:ind w:right="53" w:rightChars="24" w:firstLine="480" w:firstLineChars="200"/>
        <w:rPr>
          <w:color w:val="auto"/>
          <w:sz w:val="24"/>
          <w:szCs w:val="24"/>
          <w:highlight w:val="none"/>
        </w:rPr>
      </w:pPr>
      <w:r>
        <w:rPr>
          <w:rFonts w:hint="eastAsia"/>
          <w:color w:val="auto"/>
          <w:sz w:val="24"/>
          <w:szCs w:val="24"/>
          <w:highlight w:val="none"/>
        </w:rPr>
        <w:t>交货时，由甲方开箱并对产品的包装、规格、型号、数量进行检验，如与本合同约定不符或产品有损坏、短缺情况，由乙方负责更换、补充。甲方收到产品后，甲乙双方商定验收日期，贰个工作日内为产品验收时间，此时间内甲方如对产品有异议，可以书面提出退换产品要求：如甲方在此期间未向乙方发出书面退换货要求，则认为甲方已验收合格，甲方有义务在乙方提供的验收单上签字认可。</w:t>
      </w:r>
    </w:p>
    <w:p w14:paraId="586D32A7">
      <w:pPr>
        <w:spacing w:line="360" w:lineRule="auto"/>
        <w:ind w:right="53" w:rightChars="24"/>
        <w:rPr>
          <w:b/>
          <w:color w:val="auto"/>
          <w:sz w:val="24"/>
          <w:szCs w:val="24"/>
          <w:highlight w:val="none"/>
        </w:rPr>
      </w:pPr>
      <w:r>
        <w:rPr>
          <w:rFonts w:hint="eastAsia"/>
          <w:b/>
          <w:color w:val="auto"/>
          <w:sz w:val="24"/>
          <w:szCs w:val="24"/>
          <w:highlight w:val="none"/>
        </w:rPr>
        <w:t>六、安装调试和培训</w:t>
      </w:r>
    </w:p>
    <w:p w14:paraId="433030F3">
      <w:pPr>
        <w:spacing w:line="360" w:lineRule="auto"/>
        <w:ind w:left="330" w:leftChars="150" w:right="53" w:rightChars="24" w:firstLine="120" w:firstLineChars="50"/>
        <w:rPr>
          <w:color w:val="auto"/>
          <w:sz w:val="24"/>
          <w:szCs w:val="24"/>
          <w:highlight w:val="none"/>
        </w:rPr>
      </w:pPr>
      <w:r>
        <w:rPr>
          <w:rFonts w:hint="eastAsia"/>
          <w:color w:val="auto"/>
          <w:sz w:val="24"/>
          <w:szCs w:val="24"/>
          <w:highlight w:val="none"/>
        </w:rPr>
        <w:t>为产品最终用户安装调试和培训的工作由乙方负责，甲方应给予协助。</w:t>
      </w:r>
    </w:p>
    <w:p w14:paraId="207DB6F2">
      <w:pPr>
        <w:spacing w:line="360" w:lineRule="auto"/>
        <w:ind w:right="53" w:rightChars="24"/>
        <w:rPr>
          <w:color w:val="auto"/>
          <w:sz w:val="24"/>
          <w:szCs w:val="24"/>
          <w:highlight w:val="none"/>
        </w:rPr>
      </w:pPr>
      <w:r>
        <w:rPr>
          <w:rFonts w:hint="eastAsia"/>
          <w:b/>
          <w:color w:val="auto"/>
          <w:sz w:val="24"/>
          <w:szCs w:val="24"/>
          <w:highlight w:val="none"/>
        </w:rPr>
        <w:t>七、产品维修及售后服务</w:t>
      </w:r>
    </w:p>
    <w:p w14:paraId="0E828503">
      <w:pPr>
        <w:spacing w:line="360" w:lineRule="auto"/>
        <w:ind w:right="53" w:rightChars="24"/>
        <w:rPr>
          <w:color w:val="auto"/>
          <w:sz w:val="24"/>
          <w:szCs w:val="24"/>
          <w:highlight w:val="none"/>
        </w:rPr>
      </w:pPr>
      <w:r>
        <w:rPr>
          <w:rFonts w:hint="eastAsia"/>
          <w:color w:val="auto"/>
          <w:sz w:val="24"/>
          <w:szCs w:val="24"/>
          <w:highlight w:val="none"/>
        </w:rPr>
        <w:t xml:space="preserve">   1、乙方对产品的质量保证期为</w:t>
      </w:r>
      <w:r>
        <w:rPr>
          <w:rFonts w:hint="eastAsia"/>
          <w:color w:val="auto"/>
          <w:sz w:val="24"/>
          <w:szCs w:val="24"/>
          <w:highlight w:val="none"/>
          <w:u w:val="single"/>
        </w:rPr>
        <w:t xml:space="preserve">   </w:t>
      </w:r>
      <w:r>
        <w:rPr>
          <w:rFonts w:hint="eastAsia"/>
          <w:color w:val="auto"/>
          <w:sz w:val="24"/>
          <w:szCs w:val="24"/>
          <w:highlight w:val="none"/>
        </w:rPr>
        <w:t>年，自甲方交付产品并验收合格之日起算。质量保证责任范围以产品随附的质量、技术标准、使用说明等文件中承诺的内容为准。产品在质量保证期内发生保证责任范围内的质量问题时，乙方负责免费维修。且乙方对甲方提出的维修或服务要求答复时间不超过</w:t>
      </w:r>
      <w:r>
        <w:rPr>
          <w:rFonts w:hint="eastAsia"/>
          <w:color w:val="auto"/>
          <w:sz w:val="24"/>
          <w:szCs w:val="24"/>
          <w:highlight w:val="none"/>
          <w:u w:val="single"/>
        </w:rPr>
        <w:t xml:space="preserve">  　　</w:t>
      </w:r>
      <w:r>
        <w:rPr>
          <w:rFonts w:hint="eastAsia"/>
          <w:color w:val="auto"/>
          <w:sz w:val="24"/>
          <w:szCs w:val="24"/>
          <w:highlight w:val="none"/>
        </w:rPr>
        <w:t>小时。</w:t>
      </w:r>
    </w:p>
    <w:p w14:paraId="50B50DA4">
      <w:pPr>
        <w:spacing w:line="360" w:lineRule="auto"/>
        <w:ind w:right="53" w:rightChars="24"/>
        <w:rPr>
          <w:color w:val="auto"/>
          <w:sz w:val="24"/>
          <w:szCs w:val="24"/>
          <w:highlight w:val="none"/>
        </w:rPr>
      </w:pPr>
      <w:r>
        <w:rPr>
          <w:rFonts w:hint="eastAsia"/>
          <w:color w:val="auto"/>
          <w:sz w:val="24"/>
          <w:szCs w:val="24"/>
          <w:highlight w:val="none"/>
        </w:rPr>
        <w:t xml:space="preserve">   2、因甲方或用户未按产品附随的有关文件中载明的规范作用、操作、维护、保养、保管、放置产品而引起的产品损坏或不能正常使用，以及超过质量保证期的产品均不在上述质量保证责任范围内，但乙方可以向甲方或产品用户提供有偿的维修服务。</w:t>
      </w:r>
    </w:p>
    <w:p w14:paraId="54F23193">
      <w:pPr>
        <w:spacing w:line="360" w:lineRule="auto"/>
        <w:ind w:right="53" w:rightChars="24"/>
        <w:rPr>
          <w:b/>
          <w:color w:val="auto"/>
          <w:sz w:val="24"/>
          <w:szCs w:val="24"/>
          <w:highlight w:val="none"/>
        </w:rPr>
      </w:pPr>
      <w:r>
        <w:rPr>
          <w:rFonts w:hint="eastAsia"/>
          <w:b/>
          <w:color w:val="auto"/>
          <w:sz w:val="24"/>
          <w:szCs w:val="24"/>
          <w:highlight w:val="none"/>
        </w:rPr>
        <w:t>八、不可抗力</w:t>
      </w:r>
    </w:p>
    <w:p w14:paraId="44E3299E">
      <w:pPr>
        <w:spacing w:line="360" w:lineRule="auto"/>
        <w:ind w:right="53" w:rightChars="24"/>
        <w:rPr>
          <w:color w:val="auto"/>
          <w:sz w:val="24"/>
          <w:szCs w:val="24"/>
          <w:highlight w:val="none"/>
        </w:rPr>
      </w:pPr>
      <w:r>
        <w:rPr>
          <w:rFonts w:hint="eastAsia"/>
          <w:color w:val="auto"/>
          <w:sz w:val="24"/>
          <w:szCs w:val="24"/>
          <w:highlight w:val="none"/>
        </w:rPr>
        <w:t xml:space="preserve">    甲乙双方任何一方违约，如延迟供货或付款，处违约方合同总额</w:t>
      </w:r>
      <w:r>
        <w:rPr>
          <w:rFonts w:hint="eastAsia"/>
          <w:color w:val="auto"/>
          <w:sz w:val="24"/>
          <w:szCs w:val="24"/>
          <w:highlight w:val="none"/>
          <w:u w:val="single"/>
        </w:rPr>
        <w:t xml:space="preserve">     </w:t>
      </w:r>
      <w:r>
        <w:rPr>
          <w:rFonts w:hint="eastAsia"/>
          <w:color w:val="auto"/>
          <w:sz w:val="24"/>
          <w:szCs w:val="24"/>
          <w:highlight w:val="none"/>
        </w:rPr>
        <w:t>%/天的违约金。</w:t>
      </w:r>
    </w:p>
    <w:p w14:paraId="1F1952A6">
      <w:pPr>
        <w:spacing w:line="360" w:lineRule="auto"/>
        <w:ind w:right="53" w:rightChars="24"/>
        <w:rPr>
          <w:b/>
          <w:color w:val="auto"/>
          <w:sz w:val="24"/>
          <w:szCs w:val="24"/>
          <w:highlight w:val="none"/>
        </w:rPr>
      </w:pPr>
      <w:r>
        <w:rPr>
          <w:rFonts w:hint="eastAsia"/>
          <w:b/>
          <w:color w:val="auto"/>
          <w:sz w:val="24"/>
          <w:szCs w:val="24"/>
          <w:highlight w:val="none"/>
        </w:rPr>
        <w:t>九、不可抗力</w:t>
      </w:r>
    </w:p>
    <w:p w14:paraId="29017926">
      <w:pPr>
        <w:spacing w:line="360" w:lineRule="auto"/>
        <w:ind w:right="53" w:rightChars="24" w:firstLine="480" w:firstLineChars="200"/>
        <w:rPr>
          <w:color w:val="auto"/>
          <w:sz w:val="24"/>
          <w:szCs w:val="24"/>
          <w:highlight w:val="none"/>
        </w:rPr>
      </w:pPr>
      <w:r>
        <w:rPr>
          <w:rFonts w:hint="eastAsia"/>
          <w:color w:val="auto"/>
          <w:sz w:val="24"/>
          <w:szCs w:val="24"/>
          <w:highlight w:val="none"/>
        </w:rPr>
        <w:t>由于战争、地震、火灾、国家政策性调整等不能预见并且对其发生及后果不能防止和避免的原因而导致本合同不能履行、不能及时履行或完全履行时，遇有上述不可抗力事故的一方应立即将事故情况以书面方式通知对方，经确认属实的，应当根据情况部分或全部免除承担违约责任。</w:t>
      </w:r>
    </w:p>
    <w:p w14:paraId="7AE497C6">
      <w:pPr>
        <w:spacing w:line="360" w:lineRule="auto"/>
        <w:ind w:right="53" w:rightChars="24"/>
        <w:rPr>
          <w:b/>
          <w:color w:val="auto"/>
          <w:sz w:val="24"/>
          <w:szCs w:val="24"/>
          <w:highlight w:val="none"/>
        </w:rPr>
      </w:pPr>
      <w:r>
        <w:rPr>
          <w:rFonts w:hint="eastAsia"/>
          <w:b/>
          <w:color w:val="auto"/>
          <w:sz w:val="24"/>
          <w:szCs w:val="24"/>
          <w:highlight w:val="none"/>
        </w:rPr>
        <w:t>十、其它</w:t>
      </w:r>
    </w:p>
    <w:p w14:paraId="79A70FC1">
      <w:pPr>
        <w:spacing w:line="360" w:lineRule="auto"/>
        <w:ind w:right="53" w:rightChars="24"/>
        <w:rPr>
          <w:color w:val="auto"/>
          <w:sz w:val="24"/>
          <w:szCs w:val="24"/>
          <w:highlight w:val="none"/>
        </w:rPr>
      </w:pPr>
      <w:r>
        <w:rPr>
          <w:rFonts w:hint="eastAsia"/>
          <w:color w:val="auto"/>
          <w:sz w:val="24"/>
          <w:szCs w:val="24"/>
          <w:highlight w:val="none"/>
        </w:rPr>
        <w:t xml:space="preserve">   1、本合同生效后，具有法律约束力。合同签定后，任何一方不得擅自修改或终止合同；</w:t>
      </w:r>
    </w:p>
    <w:p w14:paraId="27FBEAD7">
      <w:pPr>
        <w:spacing w:line="360" w:lineRule="auto"/>
        <w:ind w:right="53" w:rightChars="24"/>
        <w:rPr>
          <w:color w:val="auto"/>
          <w:sz w:val="24"/>
          <w:szCs w:val="24"/>
          <w:highlight w:val="none"/>
        </w:rPr>
      </w:pPr>
      <w:r>
        <w:rPr>
          <w:rFonts w:hint="eastAsia"/>
          <w:color w:val="auto"/>
          <w:sz w:val="24"/>
          <w:szCs w:val="24"/>
          <w:highlight w:val="none"/>
        </w:rPr>
        <w:t xml:space="preserve">   2、合同未尽事宜或执本合同发生的争议，甲、乙双方协商解决；</w:t>
      </w:r>
    </w:p>
    <w:p w14:paraId="4372C405">
      <w:pPr>
        <w:spacing w:line="360" w:lineRule="auto"/>
        <w:ind w:right="53" w:rightChars="24"/>
        <w:rPr>
          <w:color w:val="auto"/>
          <w:sz w:val="24"/>
          <w:szCs w:val="24"/>
          <w:highlight w:val="none"/>
        </w:rPr>
      </w:pPr>
      <w:r>
        <w:rPr>
          <w:rFonts w:hint="eastAsia"/>
          <w:color w:val="auto"/>
          <w:sz w:val="24"/>
          <w:szCs w:val="24"/>
          <w:highlight w:val="none"/>
        </w:rPr>
        <w:t xml:space="preserve">   3、本合同一 </w:t>
      </w:r>
      <w:r>
        <w:rPr>
          <w:rFonts w:hint="eastAsia"/>
          <w:color w:val="auto"/>
          <w:sz w:val="24"/>
          <w:szCs w:val="24"/>
          <w:highlight w:val="none"/>
          <w:u w:val="single"/>
        </w:rPr>
        <w:t xml:space="preserve">     </w:t>
      </w:r>
      <w:r>
        <w:rPr>
          <w:rFonts w:hint="eastAsia"/>
          <w:color w:val="auto"/>
          <w:sz w:val="24"/>
          <w:szCs w:val="24"/>
          <w:highlight w:val="none"/>
        </w:rPr>
        <w:t>份，甲方</w:t>
      </w:r>
      <w:r>
        <w:rPr>
          <w:rFonts w:hint="eastAsia"/>
          <w:color w:val="auto"/>
          <w:sz w:val="24"/>
          <w:szCs w:val="24"/>
          <w:highlight w:val="none"/>
          <w:u w:val="single"/>
        </w:rPr>
        <w:t xml:space="preserve">     </w:t>
      </w:r>
      <w:r>
        <w:rPr>
          <w:rFonts w:hint="eastAsia"/>
          <w:color w:val="auto"/>
          <w:sz w:val="24"/>
          <w:szCs w:val="24"/>
          <w:highlight w:val="none"/>
        </w:rPr>
        <w:t>份、乙方</w:t>
      </w:r>
      <w:r>
        <w:rPr>
          <w:rFonts w:hint="eastAsia"/>
          <w:color w:val="auto"/>
          <w:sz w:val="24"/>
          <w:szCs w:val="24"/>
          <w:highlight w:val="none"/>
          <w:u w:val="single"/>
        </w:rPr>
        <w:t xml:space="preserve">     </w:t>
      </w:r>
      <w:r>
        <w:rPr>
          <w:rFonts w:hint="eastAsia"/>
          <w:color w:val="auto"/>
          <w:sz w:val="24"/>
          <w:szCs w:val="24"/>
          <w:highlight w:val="none"/>
        </w:rPr>
        <w:t>份，经甲、乙双方法人或法人委托人签字盖章后生效。</w:t>
      </w:r>
    </w:p>
    <w:p w14:paraId="0580A963">
      <w:pPr>
        <w:spacing w:line="360" w:lineRule="auto"/>
        <w:ind w:right="53" w:rightChars="24"/>
        <w:rPr>
          <w:color w:val="auto"/>
          <w:sz w:val="24"/>
          <w:szCs w:val="24"/>
          <w:highlight w:val="none"/>
        </w:rPr>
      </w:pPr>
      <w:r>
        <w:rPr>
          <w:rFonts w:hint="eastAsia"/>
          <w:color w:val="auto"/>
          <w:sz w:val="24"/>
          <w:szCs w:val="24"/>
          <w:highlight w:val="none"/>
        </w:rPr>
        <w:t xml:space="preserve">甲方：                                          乙方： </w:t>
      </w:r>
    </w:p>
    <w:p w14:paraId="43CB00F7">
      <w:pPr>
        <w:spacing w:line="360" w:lineRule="auto"/>
        <w:ind w:right="53" w:rightChars="24"/>
        <w:rPr>
          <w:color w:val="auto"/>
          <w:sz w:val="24"/>
          <w:szCs w:val="24"/>
          <w:highlight w:val="none"/>
        </w:rPr>
      </w:pPr>
      <w:r>
        <w:rPr>
          <w:rFonts w:hint="eastAsia"/>
          <w:color w:val="auto"/>
          <w:sz w:val="24"/>
          <w:szCs w:val="24"/>
          <w:highlight w:val="none"/>
        </w:rPr>
        <w:t>签字（盖章）：                                  签字（盖章）：</w:t>
      </w:r>
    </w:p>
    <w:p w14:paraId="456EDC21">
      <w:pPr>
        <w:spacing w:line="360" w:lineRule="auto"/>
        <w:ind w:right="53" w:rightChars="24"/>
        <w:rPr>
          <w:color w:val="auto"/>
          <w:sz w:val="24"/>
          <w:szCs w:val="24"/>
          <w:highlight w:val="none"/>
        </w:rPr>
      </w:pPr>
      <w:r>
        <w:rPr>
          <w:rFonts w:hint="eastAsia"/>
          <w:color w:val="auto"/>
          <w:sz w:val="24"/>
          <w:szCs w:val="24"/>
          <w:highlight w:val="none"/>
        </w:rPr>
        <w:t>日期：                                          日期：</w:t>
      </w:r>
    </w:p>
    <w:p w14:paraId="1C0F287B">
      <w:pPr>
        <w:widowControl/>
        <w:jc w:val="center"/>
        <w:rPr>
          <w:color w:val="auto"/>
          <w:sz w:val="24"/>
          <w:szCs w:val="24"/>
          <w:highlight w:val="none"/>
        </w:rPr>
      </w:pPr>
    </w:p>
    <w:p w14:paraId="242E57CE">
      <w:pPr>
        <w:widowControl/>
        <w:jc w:val="center"/>
        <w:rPr>
          <w:color w:val="auto"/>
          <w:sz w:val="24"/>
          <w:szCs w:val="24"/>
          <w:highlight w:val="none"/>
        </w:rPr>
      </w:pPr>
      <w:r>
        <w:rPr>
          <w:rFonts w:hint="eastAsia"/>
          <w:color w:val="auto"/>
          <w:sz w:val="24"/>
          <w:szCs w:val="24"/>
          <w:highlight w:val="none"/>
        </w:rPr>
        <w:t>（具体</w:t>
      </w:r>
      <w:r>
        <w:rPr>
          <w:color w:val="auto"/>
          <w:sz w:val="24"/>
          <w:szCs w:val="24"/>
          <w:highlight w:val="none"/>
        </w:rPr>
        <w:t>内容以实际签订为准</w:t>
      </w:r>
      <w:r>
        <w:rPr>
          <w:rFonts w:hint="eastAsia"/>
          <w:color w:val="auto"/>
          <w:sz w:val="24"/>
          <w:szCs w:val="24"/>
          <w:highlight w:val="none"/>
        </w:rPr>
        <w:t>）</w:t>
      </w:r>
    </w:p>
    <w:p w14:paraId="6115C9A3">
      <w:pPr>
        <w:jc w:val="center"/>
        <w:outlineLvl w:val="0"/>
        <w:rPr>
          <w:rFonts w:cs="Times New Roman"/>
          <w:b/>
          <w:bCs/>
          <w:color w:val="auto"/>
          <w:sz w:val="36"/>
          <w:szCs w:val="32"/>
          <w:highlight w:val="none"/>
        </w:rPr>
      </w:pPr>
      <w:r>
        <w:rPr>
          <w:rFonts w:hint="eastAsia"/>
          <w:b/>
          <w:color w:val="auto"/>
          <w:sz w:val="21"/>
          <w:szCs w:val="21"/>
          <w:highlight w:val="none"/>
        </w:rPr>
        <w:br w:type="page"/>
      </w:r>
      <w:bookmarkStart w:id="237" w:name="_Toc10708"/>
      <w:r>
        <w:rPr>
          <w:rFonts w:hint="eastAsia" w:cs="Times New Roman"/>
          <w:b/>
          <w:bCs/>
          <w:color w:val="auto"/>
          <w:sz w:val="36"/>
          <w:szCs w:val="32"/>
          <w:highlight w:val="none"/>
        </w:rPr>
        <w:t xml:space="preserve">第六章  </w:t>
      </w:r>
      <w:bookmarkEnd w:id="237"/>
      <w:r>
        <w:rPr>
          <w:rFonts w:hint="eastAsia" w:cs="Times New Roman"/>
          <w:b/>
          <w:bCs/>
          <w:color w:val="auto"/>
          <w:sz w:val="36"/>
          <w:szCs w:val="32"/>
          <w:highlight w:val="none"/>
        </w:rPr>
        <w:t>响应文件格式</w:t>
      </w:r>
    </w:p>
    <w:p w14:paraId="2339F594">
      <w:pPr>
        <w:spacing w:line="480" w:lineRule="atLeast"/>
        <w:jc w:val="center"/>
        <w:textAlignment w:val="baseline"/>
        <w:rPr>
          <w:rFonts w:cs="Times New Roman"/>
          <w:b/>
          <w:bCs/>
          <w:color w:val="auto"/>
          <w:sz w:val="24"/>
          <w:szCs w:val="24"/>
          <w:highlight w:val="none"/>
        </w:rPr>
      </w:pPr>
    </w:p>
    <w:p w14:paraId="45CBC496">
      <w:pPr>
        <w:widowControl/>
        <w:spacing w:line="360" w:lineRule="auto"/>
        <w:jc w:val="center"/>
        <w:rPr>
          <w:rFonts w:hint="eastAsia" w:cs="Times New Roman"/>
          <w:b/>
          <w:bCs/>
          <w:color w:val="auto"/>
          <w:sz w:val="72"/>
          <w:szCs w:val="84"/>
          <w:highlight w:val="none"/>
        </w:rPr>
      </w:pPr>
      <w:r>
        <w:rPr>
          <w:rFonts w:hint="eastAsia" w:cs="Times New Roman"/>
          <w:b/>
          <w:bCs/>
          <w:color w:val="auto"/>
          <w:sz w:val="72"/>
          <w:szCs w:val="84"/>
          <w:highlight w:val="none"/>
        </w:rPr>
        <w:t>（项目名称）</w:t>
      </w:r>
    </w:p>
    <w:p w14:paraId="38B69522">
      <w:pPr>
        <w:widowControl/>
        <w:spacing w:line="360" w:lineRule="auto"/>
        <w:jc w:val="center"/>
        <w:rPr>
          <w:rFonts w:hint="eastAsia" w:cs="Times New Roman"/>
          <w:b/>
          <w:bCs/>
          <w:color w:val="auto"/>
          <w:sz w:val="72"/>
          <w:szCs w:val="84"/>
          <w:highlight w:val="none"/>
        </w:rPr>
      </w:pPr>
    </w:p>
    <w:p w14:paraId="6D888680">
      <w:pPr>
        <w:widowControl/>
        <w:spacing w:line="360" w:lineRule="auto"/>
        <w:jc w:val="center"/>
        <w:rPr>
          <w:rFonts w:cs="Times New Roman"/>
          <w:b/>
          <w:bCs/>
          <w:color w:val="auto"/>
          <w:sz w:val="72"/>
          <w:szCs w:val="84"/>
          <w:highlight w:val="none"/>
        </w:rPr>
      </w:pPr>
      <w:r>
        <w:rPr>
          <w:rFonts w:hint="eastAsia" w:cs="Times New Roman"/>
          <w:b/>
          <w:bCs/>
          <w:color w:val="auto"/>
          <w:sz w:val="72"/>
          <w:szCs w:val="84"/>
          <w:highlight w:val="none"/>
        </w:rPr>
        <w:t>响 应 文 件</w:t>
      </w:r>
    </w:p>
    <w:p w14:paraId="432E2797">
      <w:pPr>
        <w:spacing w:line="400" w:lineRule="exact"/>
        <w:jc w:val="center"/>
        <w:rPr>
          <w:rFonts w:cs="Times New Roman"/>
          <w:b/>
          <w:bCs/>
          <w:color w:val="auto"/>
          <w:sz w:val="32"/>
          <w:szCs w:val="32"/>
          <w:highlight w:val="none"/>
        </w:rPr>
      </w:pPr>
    </w:p>
    <w:p w14:paraId="24945DD6">
      <w:pPr>
        <w:ind w:firstLine="1985" w:firstLineChars="659"/>
        <w:rPr>
          <w:rFonts w:cs="Times New Roman"/>
          <w:b/>
          <w:bCs/>
          <w:color w:val="auto"/>
          <w:sz w:val="30"/>
          <w:szCs w:val="30"/>
          <w:highlight w:val="none"/>
        </w:rPr>
      </w:pPr>
    </w:p>
    <w:p w14:paraId="68C8745F">
      <w:pPr>
        <w:ind w:firstLine="1985" w:firstLineChars="659"/>
        <w:rPr>
          <w:rFonts w:cs="Times New Roman"/>
          <w:b/>
          <w:bCs/>
          <w:color w:val="auto"/>
          <w:sz w:val="30"/>
          <w:szCs w:val="30"/>
          <w:highlight w:val="none"/>
          <w:u w:val="single"/>
        </w:rPr>
      </w:pPr>
      <w:r>
        <w:rPr>
          <w:rFonts w:hint="eastAsia" w:cs="Times New Roman"/>
          <w:b/>
          <w:bCs/>
          <w:color w:val="auto"/>
          <w:sz w:val="30"/>
          <w:szCs w:val="30"/>
          <w:highlight w:val="none"/>
        </w:rPr>
        <w:t>项目编号:</w:t>
      </w:r>
    </w:p>
    <w:p w14:paraId="4F631A39">
      <w:pPr>
        <w:spacing w:line="400" w:lineRule="exact"/>
        <w:rPr>
          <w:rFonts w:cs="Times New Roman"/>
          <w:color w:val="auto"/>
          <w:sz w:val="30"/>
          <w:szCs w:val="30"/>
          <w:highlight w:val="none"/>
        </w:rPr>
      </w:pPr>
    </w:p>
    <w:p w14:paraId="59D2598B">
      <w:pPr>
        <w:spacing w:line="360" w:lineRule="auto"/>
        <w:rPr>
          <w:rFonts w:cs="Times New Roman"/>
          <w:b/>
          <w:bCs/>
          <w:color w:val="auto"/>
          <w:sz w:val="32"/>
          <w:szCs w:val="32"/>
          <w:highlight w:val="none"/>
        </w:rPr>
      </w:pPr>
    </w:p>
    <w:p w14:paraId="5AF9DA90">
      <w:pPr>
        <w:spacing w:line="480" w:lineRule="atLeast"/>
        <w:jc w:val="center"/>
        <w:textAlignment w:val="baseline"/>
        <w:rPr>
          <w:rFonts w:cs="Times New Roman"/>
          <w:b/>
          <w:bCs/>
          <w:color w:val="auto"/>
          <w:sz w:val="32"/>
          <w:szCs w:val="32"/>
          <w:highlight w:val="none"/>
        </w:rPr>
      </w:pPr>
    </w:p>
    <w:p w14:paraId="70FD69F6">
      <w:pPr>
        <w:spacing w:line="480" w:lineRule="auto"/>
        <w:rPr>
          <w:rFonts w:cs="Times New Roman"/>
          <w:color w:val="auto"/>
          <w:sz w:val="28"/>
          <w:szCs w:val="28"/>
          <w:highlight w:val="none"/>
        </w:rPr>
      </w:pPr>
    </w:p>
    <w:p w14:paraId="4941C93B">
      <w:pPr>
        <w:spacing w:line="480" w:lineRule="auto"/>
        <w:rPr>
          <w:rFonts w:cs="Times New Roman"/>
          <w:color w:val="auto"/>
          <w:sz w:val="28"/>
          <w:szCs w:val="28"/>
          <w:highlight w:val="none"/>
        </w:rPr>
      </w:pPr>
    </w:p>
    <w:p w14:paraId="2E94CEEC">
      <w:pPr>
        <w:spacing w:line="480" w:lineRule="auto"/>
        <w:rPr>
          <w:rFonts w:cs="Times New Roman"/>
          <w:color w:val="auto"/>
          <w:sz w:val="28"/>
          <w:szCs w:val="28"/>
          <w:highlight w:val="none"/>
        </w:rPr>
      </w:pPr>
    </w:p>
    <w:p w14:paraId="1AA239E4">
      <w:pPr>
        <w:spacing w:line="480" w:lineRule="auto"/>
        <w:rPr>
          <w:rFonts w:cs="Times New Roman"/>
          <w:color w:val="auto"/>
          <w:sz w:val="28"/>
          <w:szCs w:val="28"/>
          <w:highlight w:val="none"/>
        </w:rPr>
      </w:pPr>
    </w:p>
    <w:p w14:paraId="69891D4D">
      <w:pPr>
        <w:spacing w:line="480" w:lineRule="auto"/>
        <w:ind w:left="770" w:leftChars="350" w:firstLine="1093" w:firstLineChars="389"/>
        <w:rPr>
          <w:rFonts w:cs="Times New Roman"/>
          <w:b/>
          <w:bCs/>
          <w:color w:val="auto"/>
          <w:sz w:val="28"/>
          <w:szCs w:val="28"/>
          <w:highlight w:val="none"/>
        </w:rPr>
      </w:pPr>
      <w:r>
        <w:rPr>
          <w:rFonts w:hint="eastAsia" w:cs="Times New Roman"/>
          <w:b/>
          <w:bCs/>
          <w:color w:val="auto"/>
          <w:sz w:val="28"/>
          <w:szCs w:val="28"/>
          <w:highlight w:val="none"/>
        </w:rPr>
        <w:t>供应商名称（盖章）：</w:t>
      </w:r>
    </w:p>
    <w:p w14:paraId="7FC5567A">
      <w:pPr>
        <w:spacing w:line="480" w:lineRule="auto"/>
        <w:ind w:left="770" w:leftChars="350" w:firstLine="1093" w:firstLineChars="389"/>
        <w:rPr>
          <w:rFonts w:cs="Times New Roman"/>
          <w:b/>
          <w:bCs/>
          <w:color w:val="auto"/>
          <w:sz w:val="28"/>
          <w:szCs w:val="28"/>
          <w:highlight w:val="none"/>
        </w:rPr>
      </w:pPr>
      <w:r>
        <w:rPr>
          <w:rFonts w:hint="eastAsia" w:cs="Times New Roman"/>
          <w:b/>
          <w:bCs/>
          <w:color w:val="auto"/>
          <w:sz w:val="28"/>
          <w:szCs w:val="28"/>
          <w:highlight w:val="none"/>
        </w:rPr>
        <w:t>法定代表人或委托代理人（签字或盖章）：</w:t>
      </w:r>
    </w:p>
    <w:p w14:paraId="32EF6A76">
      <w:pPr>
        <w:spacing w:line="360" w:lineRule="auto"/>
        <w:ind w:firstLine="1799" w:firstLineChars="640"/>
        <w:rPr>
          <w:rFonts w:cs="Times New Roman"/>
          <w:b/>
          <w:bCs/>
          <w:color w:val="auto"/>
          <w:sz w:val="28"/>
          <w:szCs w:val="28"/>
          <w:highlight w:val="none"/>
        </w:rPr>
      </w:pPr>
      <w:r>
        <w:rPr>
          <w:rFonts w:hint="eastAsia" w:cs="Times New Roman"/>
          <w:b/>
          <w:bCs/>
          <w:color w:val="auto"/>
          <w:sz w:val="28"/>
          <w:szCs w:val="28"/>
          <w:highlight w:val="none"/>
        </w:rPr>
        <w:t xml:space="preserve">日       期： </w:t>
      </w:r>
    </w:p>
    <w:p w14:paraId="5661F5C1">
      <w:pPr>
        <w:spacing w:line="360" w:lineRule="auto"/>
        <w:jc w:val="center"/>
        <w:rPr>
          <w:rFonts w:cs="Times New Roman"/>
          <w:b/>
          <w:bCs/>
          <w:color w:val="auto"/>
          <w:sz w:val="36"/>
          <w:szCs w:val="36"/>
          <w:highlight w:val="none"/>
        </w:rPr>
      </w:pPr>
      <w:r>
        <w:rPr>
          <w:rFonts w:hint="eastAsia" w:cs="Times New Roman"/>
          <w:b/>
          <w:bCs/>
          <w:color w:val="auto"/>
          <w:sz w:val="36"/>
          <w:szCs w:val="36"/>
          <w:highlight w:val="none"/>
        </w:rPr>
        <w:br w:type="page"/>
      </w:r>
      <w:r>
        <w:rPr>
          <w:rFonts w:hint="eastAsia" w:cs="Times New Roman"/>
          <w:b/>
          <w:bCs/>
          <w:color w:val="auto"/>
          <w:sz w:val="36"/>
          <w:szCs w:val="36"/>
          <w:highlight w:val="none"/>
        </w:rPr>
        <w:t>电子化响应文件目录</w:t>
      </w:r>
    </w:p>
    <w:p w14:paraId="62B4B2B1">
      <w:pPr>
        <w:rPr>
          <w:rFonts w:cs="Times New Roman"/>
          <w:color w:val="auto"/>
          <w:sz w:val="28"/>
          <w:szCs w:val="20"/>
          <w:highlight w:val="none"/>
        </w:rPr>
      </w:pPr>
      <w:r>
        <w:rPr>
          <w:rFonts w:hint="eastAsia" w:cs="Times New Roman"/>
          <w:color w:val="auto"/>
          <w:sz w:val="28"/>
          <w:szCs w:val="20"/>
          <w:highlight w:val="none"/>
        </w:rPr>
        <w:t>一、投标函</w:t>
      </w:r>
    </w:p>
    <w:p w14:paraId="0ED0742B">
      <w:pPr>
        <w:rPr>
          <w:rFonts w:cs="Times New Roman"/>
          <w:color w:val="auto"/>
          <w:sz w:val="28"/>
          <w:szCs w:val="20"/>
          <w:highlight w:val="none"/>
        </w:rPr>
      </w:pPr>
      <w:r>
        <w:rPr>
          <w:rFonts w:hint="eastAsia" w:cs="Times New Roman"/>
          <w:color w:val="auto"/>
          <w:sz w:val="28"/>
          <w:szCs w:val="20"/>
          <w:highlight w:val="none"/>
        </w:rPr>
        <w:t>二、投标报价一览表</w:t>
      </w:r>
    </w:p>
    <w:p w14:paraId="68CF3047">
      <w:pPr>
        <w:rPr>
          <w:rFonts w:cs="Times New Roman"/>
          <w:color w:val="auto"/>
          <w:sz w:val="28"/>
          <w:szCs w:val="20"/>
          <w:highlight w:val="none"/>
        </w:rPr>
      </w:pPr>
      <w:r>
        <w:rPr>
          <w:rFonts w:hint="eastAsia" w:cs="Times New Roman"/>
          <w:color w:val="auto"/>
          <w:sz w:val="28"/>
          <w:szCs w:val="20"/>
          <w:highlight w:val="none"/>
        </w:rPr>
        <w:t>三、法定代表人身份证明书</w:t>
      </w:r>
    </w:p>
    <w:p w14:paraId="37AFD6AD">
      <w:pPr>
        <w:rPr>
          <w:rFonts w:cs="Times New Roman"/>
          <w:color w:val="auto"/>
          <w:sz w:val="28"/>
          <w:szCs w:val="20"/>
          <w:highlight w:val="none"/>
        </w:rPr>
      </w:pPr>
      <w:r>
        <w:rPr>
          <w:rFonts w:hint="eastAsia" w:cs="Times New Roman"/>
          <w:color w:val="auto"/>
          <w:sz w:val="28"/>
          <w:szCs w:val="20"/>
          <w:highlight w:val="none"/>
        </w:rPr>
        <w:t>四、授权委托书</w:t>
      </w:r>
    </w:p>
    <w:p w14:paraId="2642BD19">
      <w:pPr>
        <w:rPr>
          <w:rFonts w:cs="Times New Roman"/>
          <w:color w:val="auto"/>
          <w:sz w:val="28"/>
          <w:szCs w:val="20"/>
          <w:highlight w:val="none"/>
        </w:rPr>
      </w:pPr>
      <w:r>
        <w:rPr>
          <w:rFonts w:hint="eastAsia" w:cs="Times New Roman"/>
          <w:color w:val="auto"/>
          <w:sz w:val="28"/>
          <w:szCs w:val="20"/>
          <w:highlight w:val="none"/>
        </w:rPr>
        <w:t>五、投标承诺函</w:t>
      </w:r>
    </w:p>
    <w:p w14:paraId="574F404E">
      <w:pPr>
        <w:rPr>
          <w:rFonts w:cs="Times New Roman"/>
          <w:color w:val="auto"/>
          <w:sz w:val="28"/>
          <w:szCs w:val="20"/>
          <w:highlight w:val="none"/>
        </w:rPr>
      </w:pPr>
      <w:r>
        <w:rPr>
          <w:rFonts w:hint="eastAsia" w:cs="Times New Roman"/>
          <w:color w:val="auto"/>
          <w:sz w:val="28"/>
          <w:szCs w:val="20"/>
          <w:highlight w:val="none"/>
        </w:rPr>
        <w:t>六、投标供应商情况</w:t>
      </w:r>
    </w:p>
    <w:p w14:paraId="38B29666">
      <w:pPr>
        <w:rPr>
          <w:rFonts w:cs="Times New Roman"/>
          <w:color w:val="auto"/>
          <w:sz w:val="28"/>
          <w:szCs w:val="20"/>
          <w:highlight w:val="none"/>
        </w:rPr>
      </w:pPr>
      <w:r>
        <w:rPr>
          <w:rFonts w:hint="eastAsia" w:cs="Times New Roman"/>
          <w:color w:val="auto"/>
          <w:sz w:val="28"/>
          <w:szCs w:val="20"/>
          <w:highlight w:val="none"/>
        </w:rPr>
        <w:t>七、技术方案</w:t>
      </w:r>
    </w:p>
    <w:p w14:paraId="5C90F99F">
      <w:pPr>
        <w:rPr>
          <w:rFonts w:cs="Times New Roman"/>
          <w:color w:val="auto"/>
          <w:sz w:val="28"/>
          <w:szCs w:val="20"/>
          <w:highlight w:val="none"/>
        </w:rPr>
      </w:pPr>
      <w:r>
        <w:rPr>
          <w:rFonts w:hint="eastAsia" w:cs="Times New Roman"/>
          <w:color w:val="auto"/>
          <w:sz w:val="28"/>
          <w:szCs w:val="20"/>
          <w:highlight w:val="none"/>
        </w:rPr>
        <w:t>八、商务部分</w:t>
      </w:r>
    </w:p>
    <w:p w14:paraId="365DC85D">
      <w:pPr>
        <w:rPr>
          <w:rFonts w:cs="Times New Roman"/>
          <w:color w:val="auto"/>
          <w:sz w:val="28"/>
          <w:szCs w:val="20"/>
          <w:highlight w:val="none"/>
        </w:rPr>
      </w:pPr>
      <w:r>
        <w:rPr>
          <w:rFonts w:hint="eastAsia" w:cs="Times New Roman"/>
          <w:color w:val="auto"/>
          <w:sz w:val="28"/>
          <w:szCs w:val="20"/>
          <w:highlight w:val="none"/>
        </w:rPr>
        <w:t>九、其他资料</w:t>
      </w:r>
    </w:p>
    <w:p w14:paraId="31A23D42">
      <w:pPr>
        <w:spacing w:line="360" w:lineRule="auto"/>
        <w:rPr>
          <w:rFonts w:cs="Times New Roman"/>
          <w:color w:val="auto"/>
          <w:sz w:val="28"/>
          <w:szCs w:val="28"/>
          <w:highlight w:val="none"/>
        </w:rPr>
      </w:pPr>
    </w:p>
    <w:p w14:paraId="1DF105BA">
      <w:pPr>
        <w:jc w:val="center"/>
        <w:rPr>
          <w:rFonts w:cs="Times New Roman"/>
          <w:b/>
          <w:bCs/>
          <w:color w:val="auto"/>
          <w:sz w:val="32"/>
          <w:szCs w:val="32"/>
          <w:highlight w:val="none"/>
        </w:rPr>
      </w:pPr>
      <w:r>
        <w:rPr>
          <w:rFonts w:hint="eastAsia" w:cs="Times New Roman"/>
          <w:b/>
          <w:bCs/>
          <w:color w:val="auto"/>
          <w:sz w:val="24"/>
          <w:szCs w:val="24"/>
          <w:highlight w:val="none"/>
        </w:rPr>
        <w:br w:type="page"/>
      </w:r>
      <w:bookmarkStart w:id="238" w:name="_Toc169921409"/>
      <w:bookmarkEnd w:id="238"/>
      <w:bookmarkStart w:id="239" w:name="_Toc171073044"/>
      <w:bookmarkEnd w:id="239"/>
      <w:bookmarkStart w:id="240" w:name="_Toc171073209"/>
      <w:bookmarkEnd w:id="240"/>
      <w:bookmarkStart w:id="241" w:name="_Toc223432389"/>
      <w:r>
        <w:rPr>
          <w:rFonts w:hint="eastAsia" w:cs="Times New Roman"/>
          <w:b/>
          <w:bCs/>
          <w:color w:val="auto"/>
          <w:sz w:val="32"/>
          <w:szCs w:val="32"/>
          <w:highlight w:val="none"/>
        </w:rPr>
        <w:t>一、投 标 函</w:t>
      </w:r>
    </w:p>
    <w:p w14:paraId="4771DE3E">
      <w:pPr>
        <w:spacing w:line="460" w:lineRule="exact"/>
        <w:rPr>
          <w:rFonts w:cs="Times New Roman"/>
          <w:color w:val="auto"/>
          <w:sz w:val="28"/>
          <w:szCs w:val="28"/>
          <w:highlight w:val="none"/>
          <w:u w:val="single"/>
        </w:rPr>
      </w:pPr>
      <w:bookmarkStart w:id="242" w:name="_Toc30205"/>
      <w:r>
        <w:rPr>
          <w:rFonts w:hint="eastAsia" w:cs="Times New Roman"/>
          <w:color w:val="auto"/>
          <w:sz w:val="28"/>
          <w:szCs w:val="28"/>
          <w:highlight w:val="none"/>
        </w:rPr>
        <w:t>致：</w:t>
      </w:r>
      <w:bookmarkEnd w:id="242"/>
      <w:r>
        <w:rPr>
          <w:rFonts w:hint="eastAsia" w:cs="Times New Roman"/>
          <w:color w:val="auto"/>
          <w:sz w:val="28"/>
          <w:szCs w:val="28"/>
          <w:highlight w:val="none"/>
          <w:u w:val="single"/>
        </w:rPr>
        <w:t xml:space="preserve">    (采购人名称）   </w:t>
      </w:r>
    </w:p>
    <w:p w14:paraId="3B171D29">
      <w:pPr>
        <w:spacing w:line="460" w:lineRule="exact"/>
        <w:ind w:right="-273" w:rightChars="-124" w:firstLine="560" w:firstLineChars="200"/>
        <w:rPr>
          <w:rFonts w:cs="Times New Roman"/>
          <w:color w:val="auto"/>
          <w:sz w:val="28"/>
          <w:szCs w:val="28"/>
          <w:highlight w:val="none"/>
        </w:rPr>
      </w:pPr>
      <w:r>
        <w:rPr>
          <w:rFonts w:hint="eastAsia" w:cs="Times New Roman"/>
          <w:color w:val="auto"/>
          <w:sz w:val="28"/>
          <w:szCs w:val="28"/>
          <w:highlight w:val="none"/>
        </w:rPr>
        <w:t>我们收到了采购项目编号为的</w:t>
      </w:r>
      <w:r>
        <w:rPr>
          <w:rFonts w:hint="eastAsia" w:cs="Times New Roman"/>
          <w:color w:val="auto"/>
          <w:sz w:val="28"/>
          <w:szCs w:val="28"/>
          <w:highlight w:val="none"/>
          <w:u w:val="single"/>
        </w:rPr>
        <w:t xml:space="preserve">        （项目名称）</w:t>
      </w:r>
      <w:r>
        <w:rPr>
          <w:rFonts w:hint="eastAsia" w:cs="Times New Roman"/>
          <w:color w:val="auto"/>
          <w:sz w:val="28"/>
          <w:szCs w:val="28"/>
          <w:highlight w:val="none"/>
        </w:rPr>
        <w:t>采购文件，经详细研究，我们决定参加该项目的招标采购活动并按要求提交响应文件。我们郑重声明以下诸点并负法律责任:</w:t>
      </w:r>
    </w:p>
    <w:p w14:paraId="75A89DE4">
      <w:pPr>
        <w:rPr>
          <w:color w:val="auto"/>
          <w:highlight w:val="none"/>
        </w:rPr>
      </w:pPr>
      <w:r>
        <w:rPr>
          <w:rFonts w:hint="eastAsia" w:cs="Times New Roman"/>
          <w:color w:val="auto"/>
          <w:sz w:val="28"/>
          <w:szCs w:val="28"/>
          <w:highlight w:val="none"/>
        </w:rPr>
        <w:t>愿按照竞争性磋商文件中规定的条款和要求，提供完成竞争性磋商文件规定的全部工作，此次总报价为（大写</w:t>
      </w:r>
      <w:r>
        <w:rPr>
          <w:rFonts w:hint="eastAsia" w:cs="Times New Roman"/>
          <w:color w:val="auto"/>
          <w:sz w:val="28"/>
          <w:szCs w:val="28"/>
          <w:highlight w:val="none"/>
          <w:u w:val="single"/>
        </w:rPr>
        <w:t xml:space="preserve">            </w:t>
      </w:r>
      <w:r>
        <w:rPr>
          <w:rFonts w:hint="eastAsia" w:cs="Times New Roman"/>
          <w:color w:val="auto"/>
          <w:sz w:val="28"/>
          <w:szCs w:val="28"/>
          <w:highlight w:val="none"/>
        </w:rPr>
        <w:t>）人民币（小写：￥</w:t>
      </w:r>
      <w:r>
        <w:rPr>
          <w:rFonts w:hint="eastAsia" w:cs="Times New Roman"/>
          <w:color w:val="auto"/>
          <w:sz w:val="28"/>
          <w:szCs w:val="28"/>
          <w:highlight w:val="none"/>
          <w:u w:val="single"/>
        </w:rPr>
        <w:t xml:space="preserve">       </w:t>
      </w:r>
      <w:r>
        <w:rPr>
          <w:rFonts w:hint="eastAsia" w:cs="Times New Roman"/>
          <w:color w:val="auto"/>
          <w:sz w:val="28"/>
          <w:szCs w:val="28"/>
          <w:highlight w:val="none"/>
        </w:rPr>
        <w:t>元），</w:t>
      </w:r>
      <w:r>
        <w:rPr>
          <w:rFonts w:hint="eastAsia" w:cs="Times New Roman"/>
          <w:bCs/>
          <w:color w:val="auto"/>
          <w:sz w:val="28"/>
          <w:szCs w:val="28"/>
          <w:highlight w:val="none"/>
        </w:rPr>
        <w:t>质量标准</w:t>
      </w:r>
      <w:r>
        <w:rPr>
          <w:rFonts w:hint="eastAsia" w:cs="Times New Roman"/>
          <w:bCs/>
          <w:color w:val="auto"/>
          <w:sz w:val="28"/>
          <w:szCs w:val="28"/>
          <w:highlight w:val="none"/>
          <w:u w:val="single"/>
        </w:rPr>
        <w:t xml:space="preserve">           </w:t>
      </w:r>
      <w:r>
        <w:rPr>
          <w:rFonts w:hint="eastAsia" w:cs="Times New Roman"/>
          <w:color w:val="auto"/>
          <w:sz w:val="28"/>
          <w:szCs w:val="28"/>
          <w:highlight w:val="none"/>
        </w:rPr>
        <w:t>，投标有效期</w:t>
      </w:r>
      <w:r>
        <w:rPr>
          <w:rFonts w:hint="eastAsia"/>
          <w:color w:val="auto"/>
          <w:highlight w:val="none"/>
          <w:u w:val="single"/>
        </w:rPr>
        <w:t xml:space="preserve">                  </w:t>
      </w:r>
      <w:r>
        <w:rPr>
          <w:rFonts w:hint="eastAsia"/>
          <w:color w:val="auto"/>
          <w:highlight w:val="none"/>
        </w:rPr>
        <w:t>。</w:t>
      </w:r>
    </w:p>
    <w:p w14:paraId="39381495">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（2）如果我们的响应文件被接受，我们将履行竞争性磋商文件中规定的各项要求。</w:t>
      </w:r>
    </w:p>
    <w:p w14:paraId="48D5E6E0">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（3）我们同意本竞争性磋商文件中有关有效期的规定。如果成交，有效期延长至合同终止日止。</w:t>
      </w:r>
    </w:p>
    <w:p w14:paraId="703F069B">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（4）我们愿提供竞争性磋商文件中要求的所有文件资料。</w:t>
      </w:r>
    </w:p>
    <w:p w14:paraId="02BC9F31">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（5）我们已经详细审核了全部竞争性磋商文件，如有需要澄清的问题，我们同意按竞争性磋商文件规定的时间向采购人提出。逾期不提，我公司同意放弃对这方面有不明及误解的权利。</w:t>
      </w:r>
    </w:p>
    <w:p w14:paraId="5CA00BD5">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（6）我们愿按《中华人民共和国民法典》履行自己的全部责任。</w:t>
      </w:r>
    </w:p>
    <w:p w14:paraId="065FB4E6">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（7）投标报价含运输费、材料费、人工费、税金等关于本项目的一切费用。</w:t>
      </w:r>
    </w:p>
    <w:p w14:paraId="4F50E88F">
      <w:pPr>
        <w:ind w:firstLine="3080" w:firstLineChars="1100"/>
        <w:rPr>
          <w:rFonts w:cs="Times New Roman"/>
          <w:color w:val="auto"/>
          <w:sz w:val="28"/>
          <w:szCs w:val="28"/>
          <w:highlight w:val="none"/>
        </w:rPr>
      </w:pPr>
      <w:r>
        <w:rPr>
          <w:rFonts w:hint="eastAsia" w:cs="Times New Roman"/>
          <w:color w:val="auto"/>
          <w:sz w:val="28"/>
          <w:szCs w:val="28"/>
          <w:highlight w:val="none"/>
        </w:rPr>
        <w:t>供应商(盖章)：</w:t>
      </w:r>
    </w:p>
    <w:p w14:paraId="0B2AA78C">
      <w:pPr>
        <w:spacing w:after="120"/>
        <w:ind w:firstLine="3080" w:firstLineChars="1100"/>
        <w:rPr>
          <w:rFonts w:cs="Times New Roman"/>
          <w:color w:val="auto"/>
          <w:szCs w:val="24"/>
          <w:highlight w:val="none"/>
        </w:rPr>
      </w:pPr>
      <w:r>
        <w:rPr>
          <w:rFonts w:hint="eastAsia" w:cs="Times New Roman"/>
          <w:color w:val="auto"/>
          <w:sz w:val="28"/>
          <w:szCs w:val="28"/>
          <w:highlight w:val="none"/>
        </w:rPr>
        <w:t>地址：</w:t>
      </w:r>
    </w:p>
    <w:p w14:paraId="7DF2DE9D">
      <w:pPr>
        <w:spacing w:line="480" w:lineRule="auto"/>
        <w:ind w:firstLine="3080" w:firstLineChars="1100"/>
        <w:rPr>
          <w:rFonts w:cs="Times New Roman"/>
          <w:color w:val="auto"/>
          <w:sz w:val="28"/>
          <w:szCs w:val="28"/>
          <w:highlight w:val="none"/>
        </w:rPr>
      </w:pPr>
      <w:r>
        <w:rPr>
          <w:rFonts w:hint="eastAsia" w:cs="Times New Roman"/>
          <w:color w:val="auto"/>
          <w:sz w:val="28"/>
          <w:szCs w:val="28"/>
          <w:highlight w:val="none"/>
        </w:rPr>
        <w:t>法定代表人或委托代理人(签字或盖章)：</w:t>
      </w:r>
    </w:p>
    <w:p w14:paraId="641B6FEA">
      <w:pPr>
        <w:spacing w:line="480" w:lineRule="auto"/>
        <w:ind w:firstLine="3080" w:firstLineChars="1100"/>
        <w:rPr>
          <w:rFonts w:cs="Times New Roman"/>
          <w:color w:val="auto"/>
          <w:sz w:val="28"/>
          <w:szCs w:val="28"/>
          <w:highlight w:val="none"/>
          <w:u w:val="single"/>
        </w:rPr>
      </w:pPr>
      <w:r>
        <w:rPr>
          <w:rFonts w:hint="eastAsia" w:cs="Times New Roman"/>
          <w:color w:val="auto"/>
          <w:sz w:val="28"/>
          <w:szCs w:val="28"/>
          <w:highlight w:val="none"/>
        </w:rPr>
        <w:t>联系方式：</w:t>
      </w:r>
    </w:p>
    <w:p w14:paraId="712C4F2D">
      <w:pPr>
        <w:spacing w:line="480" w:lineRule="auto"/>
        <w:ind w:firstLine="3080" w:firstLineChars="1100"/>
        <w:rPr>
          <w:rFonts w:cs="Times New Roman"/>
          <w:b/>
          <w:bCs/>
          <w:color w:val="auto"/>
          <w:sz w:val="28"/>
          <w:szCs w:val="28"/>
          <w:highlight w:val="none"/>
        </w:rPr>
      </w:pPr>
      <w:r>
        <w:rPr>
          <w:rFonts w:hint="eastAsia" w:cs="Times New Roman"/>
          <w:color w:val="auto"/>
          <w:sz w:val="28"/>
          <w:szCs w:val="28"/>
          <w:highlight w:val="none"/>
        </w:rPr>
        <w:t>日期：</w:t>
      </w:r>
    </w:p>
    <w:p w14:paraId="26006C07">
      <w:pPr>
        <w:spacing w:line="480" w:lineRule="auto"/>
        <w:jc w:val="center"/>
        <w:rPr>
          <w:rFonts w:cs="Times New Roman"/>
          <w:color w:val="auto"/>
          <w:sz w:val="28"/>
          <w:szCs w:val="28"/>
          <w:highlight w:val="none"/>
          <w:u w:val="single"/>
        </w:rPr>
      </w:pPr>
      <w:r>
        <w:rPr>
          <w:rFonts w:hint="eastAsia" w:cs="Times New Roman"/>
          <w:b/>
          <w:bCs/>
          <w:color w:val="auto"/>
          <w:sz w:val="28"/>
          <w:szCs w:val="28"/>
          <w:highlight w:val="none"/>
        </w:rPr>
        <w:br w:type="page"/>
      </w:r>
      <w:r>
        <w:rPr>
          <w:rFonts w:hint="eastAsia" w:cs="Times New Roman"/>
          <w:b/>
          <w:bCs/>
          <w:color w:val="auto"/>
          <w:sz w:val="32"/>
          <w:szCs w:val="32"/>
          <w:highlight w:val="none"/>
        </w:rPr>
        <w:t>二、投标报价一览表</w:t>
      </w:r>
    </w:p>
    <w:p w14:paraId="08312C70">
      <w:pPr>
        <w:adjustRightInd w:val="0"/>
        <w:jc w:val="center"/>
        <w:rPr>
          <w:color w:val="auto"/>
          <w:sz w:val="28"/>
          <w:szCs w:val="28"/>
          <w:highlight w:val="none"/>
        </w:rPr>
      </w:pPr>
      <w:r>
        <w:rPr>
          <w:rFonts w:hint="eastAsia"/>
          <w:color w:val="auto"/>
          <w:sz w:val="28"/>
          <w:szCs w:val="28"/>
          <w:highlight w:val="none"/>
        </w:rPr>
        <w:t>2.1投标报价一览表</w:t>
      </w:r>
    </w:p>
    <w:tbl>
      <w:tblPr>
        <w:tblStyle w:val="1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1E9A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noWrap w:val="0"/>
            <w:vAlign w:val="center"/>
          </w:tcPr>
          <w:p w14:paraId="6285B382">
            <w:pPr>
              <w:spacing w:line="440" w:lineRule="exact"/>
              <w:jc w:val="center"/>
              <w:rPr>
                <w:rFonts w:hint="eastAsia" w:cs="Times New Roman"/>
                <w:color w:val="auto"/>
                <w:sz w:val="28"/>
                <w:szCs w:val="28"/>
                <w:highlight w:val="none"/>
              </w:rPr>
            </w:pPr>
            <w:r>
              <w:rPr>
                <w:rFonts w:hint="eastAsia" w:cs="Times New Roman"/>
                <w:color w:val="auto"/>
                <w:sz w:val="28"/>
                <w:szCs w:val="28"/>
                <w:highlight w:val="none"/>
              </w:rPr>
              <w:t>供应商名称</w:t>
            </w:r>
          </w:p>
        </w:tc>
        <w:tc>
          <w:tcPr>
            <w:tcW w:w="7359" w:type="dxa"/>
            <w:gridSpan w:val="3"/>
            <w:noWrap w:val="0"/>
            <w:vAlign w:val="center"/>
          </w:tcPr>
          <w:p w14:paraId="54F2D286">
            <w:pPr>
              <w:spacing w:line="440" w:lineRule="exact"/>
              <w:jc w:val="center"/>
              <w:rPr>
                <w:rFonts w:cs="Times New Roman"/>
                <w:color w:val="auto"/>
                <w:sz w:val="28"/>
                <w:szCs w:val="28"/>
                <w:highlight w:val="none"/>
              </w:rPr>
            </w:pPr>
          </w:p>
        </w:tc>
      </w:tr>
      <w:tr w14:paraId="5D86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742950E3">
            <w:pPr>
              <w:spacing w:line="440" w:lineRule="exact"/>
              <w:jc w:val="center"/>
              <w:rPr>
                <w:rFonts w:hint="eastAsia" w:cs="Times New Roman"/>
                <w:color w:val="auto"/>
                <w:sz w:val="28"/>
                <w:szCs w:val="28"/>
                <w:highlight w:val="none"/>
              </w:rPr>
            </w:pPr>
            <w:r>
              <w:rPr>
                <w:rFonts w:hint="eastAsia" w:cs="Times New Roman"/>
                <w:color w:val="auto"/>
                <w:sz w:val="28"/>
                <w:szCs w:val="28"/>
                <w:highlight w:val="none"/>
              </w:rPr>
              <w:t>项目名称</w:t>
            </w:r>
          </w:p>
        </w:tc>
        <w:tc>
          <w:tcPr>
            <w:tcW w:w="7359" w:type="dxa"/>
            <w:gridSpan w:val="3"/>
            <w:noWrap w:val="0"/>
            <w:vAlign w:val="center"/>
          </w:tcPr>
          <w:p w14:paraId="1D481883">
            <w:pPr>
              <w:spacing w:line="440" w:lineRule="exact"/>
              <w:rPr>
                <w:rFonts w:cs="Times New Roman"/>
                <w:color w:val="auto"/>
                <w:sz w:val="28"/>
                <w:szCs w:val="28"/>
                <w:highlight w:val="none"/>
                <w:u w:val="single"/>
              </w:rPr>
            </w:pPr>
          </w:p>
        </w:tc>
      </w:tr>
      <w:tr w14:paraId="6B5E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noWrap w:val="0"/>
            <w:vAlign w:val="center"/>
          </w:tcPr>
          <w:p w14:paraId="04D9BA2C">
            <w:pPr>
              <w:spacing w:line="440" w:lineRule="exact"/>
              <w:jc w:val="center"/>
              <w:rPr>
                <w:rFonts w:cs="Times New Roman"/>
                <w:color w:val="auto"/>
                <w:sz w:val="28"/>
                <w:szCs w:val="28"/>
                <w:highlight w:val="none"/>
              </w:rPr>
            </w:pPr>
            <w:r>
              <w:rPr>
                <w:rFonts w:hint="eastAsia" w:cs="Times New Roman"/>
                <w:color w:val="auto"/>
                <w:sz w:val="28"/>
                <w:szCs w:val="28"/>
                <w:highlight w:val="none"/>
              </w:rPr>
              <w:t>项目编号</w:t>
            </w:r>
          </w:p>
        </w:tc>
        <w:tc>
          <w:tcPr>
            <w:tcW w:w="7359" w:type="dxa"/>
            <w:gridSpan w:val="3"/>
            <w:noWrap w:val="0"/>
            <w:vAlign w:val="center"/>
          </w:tcPr>
          <w:p w14:paraId="523F2B04">
            <w:pPr>
              <w:spacing w:line="440" w:lineRule="exact"/>
              <w:jc w:val="center"/>
              <w:rPr>
                <w:rFonts w:cs="Times New Roman"/>
                <w:color w:val="auto"/>
                <w:sz w:val="28"/>
                <w:szCs w:val="28"/>
                <w:highlight w:val="none"/>
              </w:rPr>
            </w:pPr>
          </w:p>
        </w:tc>
      </w:tr>
      <w:tr w14:paraId="570E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2FD730A3">
            <w:pPr>
              <w:spacing w:line="440" w:lineRule="exact"/>
              <w:jc w:val="center"/>
              <w:rPr>
                <w:rFonts w:cs="Times New Roman"/>
                <w:color w:val="auto"/>
                <w:sz w:val="28"/>
                <w:szCs w:val="28"/>
                <w:highlight w:val="none"/>
              </w:rPr>
            </w:pPr>
            <w:r>
              <w:rPr>
                <w:rFonts w:hint="eastAsia" w:cs="Times New Roman"/>
                <w:color w:val="auto"/>
                <w:sz w:val="28"/>
                <w:szCs w:val="28"/>
                <w:highlight w:val="none"/>
              </w:rPr>
              <w:t>投标报价（元）</w:t>
            </w:r>
          </w:p>
        </w:tc>
        <w:tc>
          <w:tcPr>
            <w:tcW w:w="7359" w:type="dxa"/>
            <w:gridSpan w:val="3"/>
            <w:noWrap w:val="0"/>
            <w:vAlign w:val="center"/>
          </w:tcPr>
          <w:p w14:paraId="6B2318FC">
            <w:pPr>
              <w:spacing w:line="440" w:lineRule="exact"/>
              <w:rPr>
                <w:rFonts w:cs="Times New Roman"/>
                <w:color w:val="auto"/>
                <w:sz w:val="28"/>
                <w:szCs w:val="28"/>
                <w:highlight w:val="none"/>
              </w:rPr>
            </w:pPr>
            <w:r>
              <w:rPr>
                <w:rFonts w:hint="eastAsia" w:cs="Times New Roman"/>
                <w:color w:val="auto"/>
                <w:sz w:val="28"/>
                <w:szCs w:val="28"/>
                <w:highlight w:val="none"/>
              </w:rPr>
              <w:t>大写：</w:t>
            </w:r>
          </w:p>
          <w:p w14:paraId="75072E74">
            <w:pPr>
              <w:adjustRightInd w:val="0"/>
              <w:rPr>
                <w:color w:val="auto"/>
                <w:sz w:val="28"/>
                <w:szCs w:val="28"/>
                <w:highlight w:val="none"/>
              </w:rPr>
            </w:pPr>
            <w:r>
              <w:rPr>
                <w:rFonts w:hint="eastAsia"/>
                <w:color w:val="auto"/>
                <w:sz w:val="28"/>
                <w:szCs w:val="28"/>
                <w:highlight w:val="none"/>
              </w:rPr>
              <w:t>小写：</w:t>
            </w:r>
          </w:p>
        </w:tc>
      </w:tr>
      <w:tr w14:paraId="6BD3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0F950691">
            <w:pPr>
              <w:spacing w:line="440" w:lineRule="exact"/>
              <w:jc w:val="center"/>
              <w:rPr>
                <w:rFonts w:cs="Times New Roman"/>
                <w:color w:val="auto"/>
                <w:sz w:val="28"/>
                <w:szCs w:val="28"/>
                <w:highlight w:val="none"/>
              </w:rPr>
            </w:pPr>
            <w:r>
              <w:rPr>
                <w:rFonts w:hint="eastAsia" w:cs="Times New Roman"/>
                <w:bCs/>
                <w:color w:val="auto"/>
                <w:sz w:val="28"/>
                <w:szCs w:val="28"/>
                <w:highlight w:val="none"/>
              </w:rPr>
              <w:t>供货期限</w:t>
            </w:r>
          </w:p>
        </w:tc>
        <w:tc>
          <w:tcPr>
            <w:tcW w:w="7359" w:type="dxa"/>
            <w:gridSpan w:val="3"/>
            <w:noWrap w:val="0"/>
            <w:vAlign w:val="center"/>
          </w:tcPr>
          <w:p w14:paraId="6C1E6B06">
            <w:pPr>
              <w:spacing w:line="440" w:lineRule="exact"/>
              <w:rPr>
                <w:rFonts w:cs="Times New Roman"/>
                <w:color w:val="auto"/>
                <w:sz w:val="28"/>
                <w:szCs w:val="28"/>
                <w:highlight w:val="none"/>
              </w:rPr>
            </w:pPr>
          </w:p>
        </w:tc>
      </w:tr>
      <w:tr w14:paraId="2229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noWrap w:val="0"/>
            <w:vAlign w:val="center"/>
          </w:tcPr>
          <w:p w14:paraId="35059661">
            <w:pPr>
              <w:spacing w:line="440" w:lineRule="exact"/>
              <w:jc w:val="center"/>
              <w:rPr>
                <w:rFonts w:cs="Times New Roman"/>
                <w:color w:val="auto"/>
                <w:sz w:val="28"/>
                <w:szCs w:val="28"/>
                <w:highlight w:val="none"/>
              </w:rPr>
            </w:pPr>
            <w:r>
              <w:rPr>
                <w:rFonts w:hint="eastAsia" w:cs="Times New Roman"/>
                <w:bCs/>
                <w:color w:val="auto"/>
                <w:sz w:val="28"/>
                <w:szCs w:val="28"/>
                <w:highlight w:val="none"/>
              </w:rPr>
              <w:t>质量标准</w:t>
            </w:r>
          </w:p>
        </w:tc>
        <w:tc>
          <w:tcPr>
            <w:tcW w:w="7359" w:type="dxa"/>
            <w:gridSpan w:val="3"/>
            <w:noWrap w:val="0"/>
            <w:vAlign w:val="center"/>
          </w:tcPr>
          <w:p w14:paraId="05600853">
            <w:pPr>
              <w:spacing w:line="440" w:lineRule="exact"/>
              <w:rPr>
                <w:rFonts w:cs="Times New Roman"/>
                <w:color w:val="auto"/>
                <w:sz w:val="28"/>
                <w:szCs w:val="28"/>
                <w:highlight w:val="none"/>
              </w:rPr>
            </w:pPr>
          </w:p>
        </w:tc>
      </w:tr>
      <w:tr w14:paraId="051A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9" w:type="dxa"/>
            <w:noWrap w:val="0"/>
            <w:vAlign w:val="center"/>
          </w:tcPr>
          <w:p w14:paraId="744B5A01">
            <w:pPr>
              <w:spacing w:line="440" w:lineRule="exact"/>
              <w:jc w:val="center"/>
              <w:rPr>
                <w:rFonts w:cs="Times New Roman"/>
                <w:color w:val="auto"/>
                <w:sz w:val="28"/>
                <w:szCs w:val="28"/>
                <w:highlight w:val="none"/>
              </w:rPr>
            </w:pPr>
            <w:r>
              <w:rPr>
                <w:rFonts w:hint="eastAsia" w:cs="Times New Roman"/>
                <w:bCs/>
                <w:color w:val="auto"/>
                <w:sz w:val="28"/>
                <w:szCs w:val="28"/>
                <w:highlight w:val="none"/>
              </w:rPr>
              <w:t>供货地点</w:t>
            </w:r>
          </w:p>
        </w:tc>
        <w:tc>
          <w:tcPr>
            <w:tcW w:w="7359" w:type="dxa"/>
            <w:gridSpan w:val="3"/>
            <w:noWrap w:val="0"/>
            <w:vAlign w:val="center"/>
          </w:tcPr>
          <w:p w14:paraId="6A29A394">
            <w:pPr>
              <w:spacing w:line="440" w:lineRule="exact"/>
              <w:rPr>
                <w:rFonts w:cs="Times New Roman"/>
                <w:color w:val="auto"/>
                <w:sz w:val="28"/>
                <w:szCs w:val="28"/>
                <w:highlight w:val="none"/>
              </w:rPr>
            </w:pPr>
          </w:p>
        </w:tc>
      </w:tr>
      <w:tr w14:paraId="1C73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noWrap w:val="0"/>
            <w:vAlign w:val="center"/>
          </w:tcPr>
          <w:p w14:paraId="26B991C8">
            <w:pPr>
              <w:spacing w:line="440" w:lineRule="exact"/>
              <w:jc w:val="center"/>
              <w:rPr>
                <w:rFonts w:cs="Times New Roman"/>
                <w:color w:val="auto"/>
                <w:sz w:val="28"/>
                <w:szCs w:val="28"/>
                <w:highlight w:val="none"/>
              </w:rPr>
            </w:pPr>
            <w:r>
              <w:rPr>
                <w:rFonts w:hint="eastAsia" w:cs="Times New Roman"/>
                <w:color w:val="auto"/>
                <w:sz w:val="28"/>
                <w:szCs w:val="28"/>
                <w:highlight w:val="none"/>
              </w:rPr>
              <w:t>投标有效期</w:t>
            </w:r>
          </w:p>
        </w:tc>
        <w:tc>
          <w:tcPr>
            <w:tcW w:w="7359" w:type="dxa"/>
            <w:gridSpan w:val="3"/>
            <w:noWrap w:val="0"/>
            <w:vAlign w:val="center"/>
          </w:tcPr>
          <w:p w14:paraId="58EEED3D">
            <w:pPr>
              <w:spacing w:line="440" w:lineRule="exact"/>
              <w:rPr>
                <w:rFonts w:cs="Times New Roman"/>
                <w:color w:val="auto"/>
                <w:sz w:val="28"/>
                <w:szCs w:val="28"/>
                <w:highlight w:val="none"/>
              </w:rPr>
            </w:pPr>
          </w:p>
        </w:tc>
      </w:tr>
      <w:tr w14:paraId="28D3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noWrap w:val="0"/>
            <w:vAlign w:val="center"/>
          </w:tcPr>
          <w:p w14:paraId="695ED0FA">
            <w:pPr>
              <w:spacing w:line="440" w:lineRule="exact"/>
              <w:jc w:val="center"/>
              <w:rPr>
                <w:rFonts w:cs="Times New Roman"/>
                <w:color w:val="auto"/>
                <w:sz w:val="28"/>
                <w:szCs w:val="28"/>
                <w:highlight w:val="none"/>
              </w:rPr>
            </w:pPr>
            <w:r>
              <w:rPr>
                <w:rFonts w:hint="eastAsia" w:cs="Times New Roman"/>
                <w:color w:val="auto"/>
                <w:sz w:val="28"/>
                <w:szCs w:val="28"/>
                <w:highlight w:val="none"/>
              </w:rPr>
              <w:t>项目负责人</w:t>
            </w:r>
          </w:p>
        </w:tc>
        <w:tc>
          <w:tcPr>
            <w:tcW w:w="3193" w:type="dxa"/>
            <w:noWrap w:val="0"/>
            <w:vAlign w:val="center"/>
          </w:tcPr>
          <w:p w14:paraId="72C05267">
            <w:pPr>
              <w:spacing w:line="440" w:lineRule="exact"/>
              <w:rPr>
                <w:rFonts w:cs="Times New Roman"/>
                <w:color w:val="auto"/>
                <w:sz w:val="28"/>
                <w:szCs w:val="28"/>
                <w:highlight w:val="none"/>
              </w:rPr>
            </w:pPr>
          </w:p>
        </w:tc>
        <w:tc>
          <w:tcPr>
            <w:tcW w:w="1500" w:type="dxa"/>
            <w:noWrap w:val="0"/>
            <w:vAlign w:val="center"/>
          </w:tcPr>
          <w:p w14:paraId="1C16E994">
            <w:pPr>
              <w:spacing w:line="440" w:lineRule="exact"/>
              <w:jc w:val="center"/>
              <w:rPr>
                <w:rFonts w:cs="Times New Roman"/>
                <w:color w:val="auto"/>
                <w:sz w:val="28"/>
                <w:szCs w:val="28"/>
                <w:highlight w:val="none"/>
              </w:rPr>
            </w:pPr>
            <w:r>
              <w:rPr>
                <w:rFonts w:hint="eastAsia" w:cs="Times New Roman"/>
                <w:color w:val="auto"/>
                <w:sz w:val="28"/>
                <w:szCs w:val="28"/>
                <w:highlight w:val="none"/>
              </w:rPr>
              <w:t>联系电话</w:t>
            </w:r>
          </w:p>
        </w:tc>
        <w:tc>
          <w:tcPr>
            <w:tcW w:w="2666" w:type="dxa"/>
            <w:noWrap w:val="0"/>
            <w:vAlign w:val="center"/>
          </w:tcPr>
          <w:p w14:paraId="2AA360E9">
            <w:pPr>
              <w:spacing w:line="440" w:lineRule="exact"/>
              <w:rPr>
                <w:rFonts w:cs="Times New Roman"/>
                <w:color w:val="auto"/>
                <w:sz w:val="28"/>
                <w:szCs w:val="28"/>
                <w:highlight w:val="none"/>
              </w:rPr>
            </w:pPr>
          </w:p>
        </w:tc>
      </w:tr>
      <w:tr w14:paraId="0710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29" w:type="dxa"/>
            <w:noWrap w:val="0"/>
            <w:vAlign w:val="center"/>
          </w:tcPr>
          <w:p w14:paraId="4DD8FCE4">
            <w:pPr>
              <w:spacing w:line="440" w:lineRule="exact"/>
              <w:jc w:val="center"/>
              <w:rPr>
                <w:rFonts w:cs="Times New Roman"/>
                <w:color w:val="auto"/>
                <w:sz w:val="28"/>
                <w:szCs w:val="28"/>
                <w:highlight w:val="none"/>
              </w:rPr>
            </w:pPr>
            <w:r>
              <w:rPr>
                <w:rFonts w:hint="eastAsia" w:cs="Times New Roman"/>
                <w:color w:val="auto"/>
                <w:sz w:val="28"/>
                <w:szCs w:val="28"/>
                <w:highlight w:val="none"/>
              </w:rPr>
              <w:t>备注</w:t>
            </w:r>
          </w:p>
        </w:tc>
        <w:tc>
          <w:tcPr>
            <w:tcW w:w="7359" w:type="dxa"/>
            <w:gridSpan w:val="3"/>
            <w:noWrap w:val="0"/>
            <w:vAlign w:val="center"/>
          </w:tcPr>
          <w:p w14:paraId="0F9E56CB">
            <w:pPr>
              <w:spacing w:line="440" w:lineRule="exact"/>
              <w:rPr>
                <w:rFonts w:cs="Times New Roman"/>
                <w:color w:val="auto"/>
                <w:sz w:val="28"/>
                <w:szCs w:val="28"/>
                <w:highlight w:val="none"/>
              </w:rPr>
            </w:pPr>
          </w:p>
        </w:tc>
      </w:tr>
    </w:tbl>
    <w:p w14:paraId="170290C6">
      <w:pPr>
        <w:spacing w:line="440" w:lineRule="exact"/>
        <w:rPr>
          <w:rFonts w:cs="Times New Roman"/>
          <w:color w:val="auto"/>
          <w:sz w:val="28"/>
          <w:szCs w:val="28"/>
          <w:highlight w:val="none"/>
        </w:rPr>
      </w:pPr>
    </w:p>
    <w:p w14:paraId="78235DC5">
      <w:pPr>
        <w:spacing w:line="400" w:lineRule="exact"/>
        <w:ind w:firstLine="490" w:firstLineChars="175"/>
        <w:rPr>
          <w:rFonts w:cs="Times New Roman"/>
          <w:color w:val="auto"/>
          <w:sz w:val="28"/>
          <w:szCs w:val="28"/>
          <w:highlight w:val="none"/>
        </w:rPr>
      </w:pPr>
      <w:r>
        <w:rPr>
          <w:rFonts w:hint="eastAsia" w:cs="Times New Roman"/>
          <w:color w:val="auto"/>
          <w:sz w:val="28"/>
          <w:szCs w:val="28"/>
          <w:highlight w:val="none"/>
        </w:rPr>
        <w:t>注1：上述日期均以日历天为单位，包括法定节假日。</w:t>
      </w:r>
    </w:p>
    <w:p w14:paraId="516B472F">
      <w:pPr>
        <w:spacing w:line="400" w:lineRule="exact"/>
        <w:ind w:firstLine="490" w:firstLineChars="175"/>
        <w:rPr>
          <w:rFonts w:cs="Times New Roman"/>
          <w:color w:val="auto"/>
          <w:sz w:val="28"/>
          <w:szCs w:val="28"/>
          <w:highlight w:val="none"/>
        </w:rPr>
      </w:pPr>
      <w:r>
        <w:rPr>
          <w:rFonts w:hint="eastAsia" w:cs="Times New Roman"/>
          <w:color w:val="auto"/>
          <w:sz w:val="28"/>
          <w:szCs w:val="28"/>
          <w:highlight w:val="none"/>
        </w:rPr>
        <w:t>注2：</w:t>
      </w:r>
      <w:bookmarkStart w:id="243" w:name="_Toc26489"/>
      <w:r>
        <w:rPr>
          <w:rFonts w:hint="eastAsia" w:cs="Times New Roman"/>
          <w:color w:val="auto"/>
          <w:sz w:val="28"/>
          <w:szCs w:val="28"/>
          <w:highlight w:val="none"/>
        </w:rPr>
        <w:t>投标报价含货物、运输费、人工费、售后服务、税金等一切费用。</w:t>
      </w:r>
      <w:bookmarkEnd w:id="243"/>
    </w:p>
    <w:p w14:paraId="79482FF5">
      <w:pPr>
        <w:spacing w:line="400" w:lineRule="exact"/>
        <w:ind w:firstLine="2800" w:firstLineChars="1000"/>
        <w:rPr>
          <w:color w:val="auto"/>
          <w:sz w:val="28"/>
          <w:szCs w:val="28"/>
          <w:highlight w:val="none"/>
        </w:rPr>
      </w:pPr>
      <w:r>
        <w:rPr>
          <w:rFonts w:hint="eastAsia"/>
          <w:color w:val="auto"/>
          <w:sz w:val="28"/>
          <w:szCs w:val="28"/>
          <w:highlight w:val="none"/>
        </w:rPr>
        <w:t xml:space="preserve">供应商：（盖章） </w:t>
      </w:r>
    </w:p>
    <w:p w14:paraId="341FCD56">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法定代表人或委托代理人：（签字或盖章）</w:t>
      </w:r>
    </w:p>
    <w:p w14:paraId="7AB4307F">
      <w:pPr>
        <w:spacing w:line="400" w:lineRule="exact"/>
        <w:ind w:firstLine="2800" w:firstLineChars="1000"/>
        <w:rPr>
          <w:color w:val="auto"/>
          <w:sz w:val="24"/>
          <w:szCs w:val="24"/>
          <w:highlight w:val="none"/>
        </w:rPr>
      </w:pPr>
      <w:r>
        <w:rPr>
          <w:rFonts w:hint="eastAsia"/>
          <w:iCs/>
          <w:color w:val="auto"/>
          <w:sz w:val="28"/>
          <w:szCs w:val="28"/>
          <w:highlight w:val="none"/>
        </w:rPr>
        <w:t>日期：</w:t>
      </w:r>
    </w:p>
    <w:p w14:paraId="6D4650D8">
      <w:pPr>
        <w:rPr>
          <w:rFonts w:cs="Times New Roman"/>
          <w:color w:val="auto"/>
          <w:szCs w:val="20"/>
          <w:highlight w:val="none"/>
        </w:rPr>
      </w:pPr>
    </w:p>
    <w:p w14:paraId="4699A615">
      <w:pPr>
        <w:rPr>
          <w:rFonts w:cs="Times New Roman"/>
          <w:color w:val="auto"/>
          <w:szCs w:val="20"/>
          <w:highlight w:val="none"/>
        </w:rPr>
      </w:pPr>
    </w:p>
    <w:p w14:paraId="1EF6352A">
      <w:pPr>
        <w:rPr>
          <w:rFonts w:cs="Times New Roman"/>
          <w:color w:val="auto"/>
          <w:szCs w:val="20"/>
          <w:highlight w:val="none"/>
        </w:rPr>
      </w:pPr>
    </w:p>
    <w:p w14:paraId="47C506A1">
      <w:pPr>
        <w:rPr>
          <w:rFonts w:cs="Times New Roman"/>
          <w:color w:val="auto"/>
          <w:szCs w:val="20"/>
          <w:highlight w:val="none"/>
        </w:rPr>
      </w:pPr>
    </w:p>
    <w:p w14:paraId="4A0F9545">
      <w:pPr>
        <w:rPr>
          <w:rFonts w:cs="Times New Roman"/>
          <w:color w:val="auto"/>
          <w:szCs w:val="20"/>
          <w:highlight w:val="none"/>
        </w:rPr>
      </w:pPr>
    </w:p>
    <w:p w14:paraId="7AB7FF72">
      <w:pPr>
        <w:spacing w:line="500" w:lineRule="exact"/>
        <w:jc w:val="center"/>
        <w:rPr>
          <w:rFonts w:hint="eastAsia" w:cs="Times New Roman"/>
          <w:b/>
          <w:bCs/>
          <w:color w:val="auto"/>
          <w:sz w:val="32"/>
          <w:szCs w:val="32"/>
          <w:highlight w:val="none"/>
        </w:rPr>
      </w:pPr>
    </w:p>
    <w:p w14:paraId="08CB4B8D">
      <w:pPr>
        <w:spacing w:line="500" w:lineRule="exact"/>
        <w:jc w:val="center"/>
        <w:rPr>
          <w:rFonts w:hint="eastAsia" w:cs="Times New Roman"/>
          <w:b/>
          <w:bCs/>
          <w:color w:val="auto"/>
          <w:sz w:val="32"/>
          <w:szCs w:val="32"/>
          <w:highlight w:val="none"/>
        </w:rPr>
      </w:pPr>
    </w:p>
    <w:p w14:paraId="5950E634">
      <w:pPr>
        <w:spacing w:line="500" w:lineRule="exact"/>
        <w:jc w:val="center"/>
        <w:rPr>
          <w:rFonts w:hint="eastAsia" w:cs="Times New Roman"/>
          <w:b/>
          <w:bCs/>
          <w:color w:val="auto"/>
          <w:sz w:val="32"/>
          <w:szCs w:val="32"/>
          <w:highlight w:val="none"/>
        </w:rPr>
      </w:pPr>
    </w:p>
    <w:p w14:paraId="75305022">
      <w:pPr>
        <w:spacing w:line="500" w:lineRule="exact"/>
        <w:jc w:val="center"/>
        <w:rPr>
          <w:rFonts w:cs="Times New Roman"/>
          <w:b/>
          <w:bCs/>
          <w:color w:val="auto"/>
          <w:sz w:val="32"/>
          <w:szCs w:val="32"/>
          <w:highlight w:val="none"/>
        </w:rPr>
      </w:pPr>
      <w:r>
        <w:rPr>
          <w:rFonts w:hint="eastAsia" w:cs="Times New Roman"/>
          <w:b/>
          <w:bCs/>
          <w:color w:val="auto"/>
          <w:sz w:val="32"/>
          <w:szCs w:val="32"/>
          <w:highlight w:val="none"/>
        </w:rPr>
        <w:t>附件：投标参数及明细报价</w:t>
      </w:r>
    </w:p>
    <w:p w14:paraId="18025CE4">
      <w:pPr>
        <w:keepNext/>
        <w:keepLines/>
        <w:numPr>
          <w:ilvl w:val="0"/>
          <w:numId w:val="2"/>
        </w:numPr>
        <w:spacing w:line="360" w:lineRule="auto"/>
        <w:jc w:val="center"/>
        <w:outlineLvl w:val="2"/>
        <w:rPr>
          <w:rFonts w:cs="Times New Roman"/>
          <w:b/>
          <w:bCs/>
          <w:color w:val="auto"/>
          <w:szCs w:val="21"/>
          <w:highlight w:val="none"/>
        </w:rPr>
      </w:pPr>
      <w:r>
        <w:rPr>
          <w:rFonts w:hint="eastAsia" w:cs="Times New Roman"/>
          <w:b/>
          <w:bCs/>
          <w:color w:val="auto"/>
          <w:szCs w:val="21"/>
          <w:highlight w:val="none"/>
        </w:rPr>
        <w:t xml:space="preserve"> </w:t>
      </w:r>
      <w:bookmarkStart w:id="244" w:name="_Toc8501"/>
      <w:bookmarkStart w:id="245" w:name="_Toc495304005"/>
      <w:bookmarkStart w:id="246" w:name="_Toc3959"/>
      <w:r>
        <w:rPr>
          <w:rFonts w:hint="eastAsia" w:cs="Times New Roman"/>
          <w:b/>
          <w:bCs/>
          <w:color w:val="auto"/>
          <w:szCs w:val="21"/>
          <w:highlight w:val="none"/>
        </w:rPr>
        <w:t>货物分项报价一览表</w:t>
      </w:r>
      <w:bookmarkEnd w:id="244"/>
      <w:bookmarkEnd w:id="245"/>
      <w:bookmarkEnd w:id="246"/>
    </w:p>
    <w:tbl>
      <w:tblPr>
        <w:tblStyle w:val="15"/>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560"/>
        <w:gridCol w:w="1284"/>
        <w:gridCol w:w="1103"/>
        <w:gridCol w:w="862"/>
        <w:gridCol w:w="930"/>
        <w:gridCol w:w="928"/>
        <w:gridCol w:w="865"/>
        <w:gridCol w:w="623"/>
      </w:tblGrid>
      <w:tr w14:paraId="40C9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 w:type="dxa"/>
            <w:noWrap w:val="0"/>
            <w:vAlign w:val="center"/>
          </w:tcPr>
          <w:p w14:paraId="38247E21">
            <w:pPr>
              <w:adjustRightInd w:val="0"/>
              <w:spacing w:line="360" w:lineRule="auto"/>
              <w:jc w:val="center"/>
              <w:rPr>
                <w:rFonts w:cs="Times New Roman"/>
                <w:color w:val="auto"/>
                <w:szCs w:val="21"/>
                <w:highlight w:val="none"/>
              </w:rPr>
            </w:pPr>
            <w:r>
              <w:rPr>
                <w:rFonts w:hint="eastAsia" w:cs="Times New Roman"/>
                <w:color w:val="auto"/>
                <w:szCs w:val="21"/>
                <w:highlight w:val="none"/>
              </w:rPr>
              <w:t>序号</w:t>
            </w:r>
          </w:p>
        </w:tc>
        <w:tc>
          <w:tcPr>
            <w:tcW w:w="1560" w:type="dxa"/>
            <w:noWrap w:val="0"/>
            <w:vAlign w:val="center"/>
          </w:tcPr>
          <w:p w14:paraId="6BC862D3">
            <w:pPr>
              <w:adjustRightInd w:val="0"/>
              <w:spacing w:line="360" w:lineRule="auto"/>
              <w:jc w:val="center"/>
              <w:rPr>
                <w:rFonts w:cs="Times New Roman"/>
                <w:color w:val="auto"/>
                <w:szCs w:val="21"/>
                <w:highlight w:val="none"/>
              </w:rPr>
            </w:pPr>
            <w:r>
              <w:rPr>
                <w:rFonts w:hint="eastAsia" w:cs="Times New Roman"/>
                <w:color w:val="auto"/>
                <w:szCs w:val="21"/>
                <w:highlight w:val="none"/>
              </w:rPr>
              <w:t>货物名称</w:t>
            </w:r>
          </w:p>
        </w:tc>
        <w:tc>
          <w:tcPr>
            <w:tcW w:w="1284" w:type="dxa"/>
            <w:noWrap w:val="0"/>
            <w:vAlign w:val="center"/>
          </w:tcPr>
          <w:p w14:paraId="6EB3E4B1">
            <w:pPr>
              <w:adjustRightInd w:val="0"/>
              <w:spacing w:line="360" w:lineRule="auto"/>
              <w:jc w:val="center"/>
              <w:rPr>
                <w:rFonts w:hint="eastAsia" w:cs="Times New Roman"/>
                <w:color w:val="auto"/>
                <w:szCs w:val="21"/>
                <w:highlight w:val="none"/>
              </w:rPr>
            </w:pPr>
            <w:r>
              <w:rPr>
                <w:rFonts w:hint="eastAsia" w:cs="Times New Roman"/>
                <w:color w:val="auto"/>
                <w:szCs w:val="21"/>
                <w:highlight w:val="none"/>
              </w:rPr>
              <w:t>品牌/型号</w:t>
            </w:r>
          </w:p>
        </w:tc>
        <w:tc>
          <w:tcPr>
            <w:tcW w:w="1103" w:type="dxa"/>
            <w:noWrap w:val="0"/>
            <w:vAlign w:val="center"/>
          </w:tcPr>
          <w:p w14:paraId="77998575">
            <w:pPr>
              <w:adjustRightInd w:val="0"/>
              <w:spacing w:line="360" w:lineRule="auto"/>
              <w:jc w:val="center"/>
              <w:rPr>
                <w:rFonts w:hint="eastAsia" w:cs="Times New Roman"/>
                <w:color w:val="auto"/>
                <w:szCs w:val="21"/>
                <w:highlight w:val="none"/>
                <w:lang w:val="en-US" w:eastAsia="zh-CN"/>
              </w:rPr>
            </w:pPr>
            <w:r>
              <w:rPr>
                <w:rFonts w:hint="eastAsia" w:cs="Times New Roman"/>
                <w:color w:val="auto"/>
                <w:szCs w:val="21"/>
                <w:highlight w:val="none"/>
                <w:lang w:val="en-US" w:eastAsia="zh-CN"/>
              </w:rPr>
              <w:t>生产厂家</w:t>
            </w:r>
          </w:p>
          <w:p w14:paraId="1F360CEB">
            <w:pPr>
              <w:adjustRightInd w:val="0"/>
              <w:spacing w:line="360" w:lineRule="auto"/>
              <w:jc w:val="center"/>
              <w:rPr>
                <w:rFonts w:cs="Times New Roman"/>
                <w:color w:val="auto"/>
                <w:szCs w:val="21"/>
                <w:highlight w:val="none"/>
              </w:rPr>
            </w:pPr>
            <w:r>
              <w:rPr>
                <w:rFonts w:hint="eastAsia" w:cs="Times New Roman"/>
                <w:color w:val="auto"/>
                <w:szCs w:val="21"/>
                <w:highlight w:val="none"/>
                <w:lang w:val="en-US" w:eastAsia="zh-CN"/>
              </w:rPr>
              <w:t>（如有）</w:t>
            </w:r>
          </w:p>
        </w:tc>
        <w:tc>
          <w:tcPr>
            <w:tcW w:w="862" w:type="dxa"/>
            <w:noWrap w:val="0"/>
            <w:vAlign w:val="center"/>
          </w:tcPr>
          <w:p w14:paraId="673990A0">
            <w:pPr>
              <w:adjustRightInd w:val="0"/>
              <w:spacing w:line="360" w:lineRule="auto"/>
              <w:jc w:val="center"/>
              <w:rPr>
                <w:rFonts w:cs="Times New Roman"/>
                <w:color w:val="auto"/>
                <w:szCs w:val="21"/>
                <w:highlight w:val="none"/>
              </w:rPr>
            </w:pPr>
            <w:r>
              <w:rPr>
                <w:rFonts w:hint="eastAsia" w:cs="Times New Roman"/>
                <w:color w:val="auto"/>
                <w:szCs w:val="21"/>
                <w:highlight w:val="none"/>
              </w:rPr>
              <w:t>单位</w:t>
            </w:r>
          </w:p>
        </w:tc>
        <w:tc>
          <w:tcPr>
            <w:tcW w:w="930" w:type="dxa"/>
            <w:noWrap w:val="0"/>
            <w:vAlign w:val="center"/>
          </w:tcPr>
          <w:p w14:paraId="62BE2C67">
            <w:pPr>
              <w:adjustRightInd w:val="0"/>
              <w:spacing w:line="360" w:lineRule="auto"/>
              <w:jc w:val="center"/>
              <w:rPr>
                <w:rFonts w:cs="Times New Roman"/>
                <w:color w:val="auto"/>
                <w:szCs w:val="21"/>
                <w:highlight w:val="none"/>
              </w:rPr>
            </w:pPr>
            <w:r>
              <w:rPr>
                <w:rFonts w:hint="eastAsia" w:cs="Times New Roman"/>
                <w:color w:val="auto"/>
                <w:szCs w:val="21"/>
                <w:highlight w:val="none"/>
              </w:rPr>
              <w:t>数量</w:t>
            </w:r>
          </w:p>
        </w:tc>
        <w:tc>
          <w:tcPr>
            <w:tcW w:w="928" w:type="dxa"/>
            <w:noWrap w:val="0"/>
            <w:vAlign w:val="center"/>
          </w:tcPr>
          <w:p w14:paraId="465A1A2E">
            <w:pPr>
              <w:adjustRightInd w:val="0"/>
              <w:spacing w:line="360" w:lineRule="auto"/>
              <w:jc w:val="center"/>
              <w:rPr>
                <w:rFonts w:cs="Times New Roman"/>
                <w:color w:val="auto"/>
                <w:szCs w:val="21"/>
                <w:highlight w:val="none"/>
              </w:rPr>
            </w:pPr>
            <w:r>
              <w:rPr>
                <w:rFonts w:hint="eastAsia" w:cs="Times New Roman"/>
                <w:color w:val="auto"/>
                <w:szCs w:val="21"/>
                <w:highlight w:val="none"/>
              </w:rPr>
              <w:t>单价（元）</w:t>
            </w:r>
          </w:p>
        </w:tc>
        <w:tc>
          <w:tcPr>
            <w:tcW w:w="865" w:type="dxa"/>
            <w:noWrap w:val="0"/>
            <w:vAlign w:val="center"/>
          </w:tcPr>
          <w:p w14:paraId="43F7076F">
            <w:pPr>
              <w:adjustRightInd w:val="0"/>
              <w:spacing w:line="360" w:lineRule="auto"/>
              <w:jc w:val="center"/>
              <w:rPr>
                <w:rFonts w:hint="default" w:eastAsia="宋体" w:cs="Times New Roman"/>
                <w:color w:val="auto"/>
                <w:szCs w:val="21"/>
                <w:highlight w:val="none"/>
                <w:lang w:val="en-US" w:eastAsia="zh-CN"/>
              </w:rPr>
            </w:pPr>
            <w:r>
              <w:rPr>
                <w:rFonts w:hint="eastAsia" w:cs="Times New Roman"/>
                <w:color w:val="auto"/>
                <w:szCs w:val="21"/>
                <w:highlight w:val="none"/>
              </w:rPr>
              <w:t>总价（元）</w:t>
            </w:r>
          </w:p>
        </w:tc>
        <w:tc>
          <w:tcPr>
            <w:tcW w:w="623" w:type="dxa"/>
            <w:noWrap w:val="0"/>
            <w:vAlign w:val="center"/>
          </w:tcPr>
          <w:p w14:paraId="57D9951D">
            <w:pPr>
              <w:adjustRightInd w:val="0"/>
              <w:spacing w:line="360" w:lineRule="auto"/>
              <w:jc w:val="center"/>
              <w:rPr>
                <w:rFonts w:hint="eastAsia" w:cs="Times New Roman"/>
                <w:color w:val="auto"/>
                <w:szCs w:val="21"/>
                <w:highlight w:val="none"/>
              </w:rPr>
            </w:pPr>
            <w:r>
              <w:rPr>
                <w:rFonts w:hint="eastAsia" w:cs="Times New Roman"/>
                <w:color w:val="auto"/>
                <w:szCs w:val="21"/>
                <w:highlight w:val="none"/>
              </w:rPr>
              <w:t>备注</w:t>
            </w:r>
          </w:p>
        </w:tc>
      </w:tr>
      <w:tr w14:paraId="1219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3F7DC1A6">
            <w:pPr>
              <w:adjustRightInd w:val="0"/>
              <w:spacing w:line="360" w:lineRule="auto"/>
              <w:rPr>
                <w:rFonts w:cs="Times New Roman"/>
                <w:color w:val="auto"/>
                <w:szCs w:val="21"/>
                <w:highlight w:val="none"/>
              </w:rPr>
            </w:pPr>
          </w:p>
        </w:tc>
        <w:tc>
          <w:tcPr>
            <w:tcW w:w="1560" w:type="dxa"/>
            <w:noWrap w:val="0"/>
            <w:vAlign w:val="top"/>
          </w:tcPr>
          <w:p w14:paraId="75FD0A6D">
            <w:pPr>
              <w:adjustRightInd w:val="0"/>
              <w:spacing w:line="360" w:lineRule="auto"/>
              <w:rPr>
                <w:rFonts w:cs="Times New Roman"/>
                <w:color w:val="auto"/>
                <w:szCs w:val="21"/>
                <w:highlight w:val="none"/>
              </w:rPr>
            </w:pPr>
          </w:p>
        </w:tc>
        <w:tc>
          <w:tcPr>
            <w:tcW w:w="1284" w:type="dxa"/>
            <w:noWrap w:val="0"/>
            <w:vAlign w:val="top"/>
          </w:tcPr>
          <w:p w14:paraId="74A58E8A">
            <w:pPr>
              <w:adjustRightInd w:val="0"/>
              <w:spacing w:line="360" w:lineRule="auto"/>
              <w:rPr>
                <w:rFonts w:cs="Times New Roman"/>
                <w:color w:val="auto"/>
                <w:szCs w:val="21"/>
                <w:highlight w:val="none"/>
              </w:rPr>
            </w:pPr>
          </w:p>
        </w:tc>
        <w:tc>
          <w:tcPr>
            <w:tcW w:w="1103" w:type="dxa"/>
            <w:noWrap w:val="0"/>
            <w:vAlign w:val="top"/>
          </w:tcPr>
          <w:p w14:paraId="3C0E1C39">
            <w:pPr>
              <w:adjustRightInd w:val="0"/>
              <w:spacing w:line="360" w:lineRule="auto"/>
              <w:rPr>
                <w:rFonts w:cs="Times New Roman"/>
                <w:color w:val="auto"/>
                <w:szCs w:val="21"/>
                <w:highlight w:val="none"/>
              </w:rPr>
            </w:pPr>
          </w:p>
        </w:tc>
        <w:tc>
          <w:tcPr>
            <w:tcW w:w="862" w:type="dxa"/>
            <w:noWrap w:val="0"/>
            <w:vAlign w:val="top"/>
          </w:tcPr>
          <w:p w14:paraId="24FFA395">
            <w:pPr>
              <w:adjustRightInd w:val="0"/>
              <w:spacing w:line="360" w:lineRule="auto"/>
              <w:rPr>
                <w:rFonts w:cs="Times New Roman"/>
                <w:color w:val="auto"/>
                <w:szCs w:val="21"/>
                <w:highlight w:val="none"/>
              </w:rPr>
            </w:pPr>
          </w:p>
        </w:tc>
        <w:tc>
          <w:tcPr>
            <w:tcW w:w="930" w:type="dxa"/>
            <w:noWrap w:val="0"/>
            <w:vAlign w:val="top"/>
          </w:tcPr>
          <w:p w14:paraId="4E569D89">
            <w:pPr>
              <w:adjustRightInd w:val="0"/>
              <w:spacing w:line="360" w:lineRule="auto"/>
              <w:rPr>
                <w:rFonts w:cs="Times New Roman"/>
                <w:color w:val="auto"/>
                <w:szCs w:val="21"/>
                <w:highlight w:val="none"/>
              </w:rPr>
            </w:pPr>
          </w:p>
        </w:tc>
        <w:tc>
          <w:tcPr>
            <w:tcW w:w="928" w:type="dxa"/>
            <w:noWrap w:val="0"/>
            <w:vAlign w:val="top"/>
          </w:tcPr>
          <w:p w14:paraId="38AF0B41">
            <w:pPr>
              <w:adjustRightInd w:val="0"/>
              <w:spacing w:line="360" w:lineRule="auto"/>
              <w:rPr>
                <w:rFonts w:cs="Times New Roman"/>
                <w:color w:val="auto"/>
                <w:szCs w:val="21"/>
                <w:highlight w:val="none"/>
              </w:rPr>
            </w:pPr>
          </w:p>
        </w:tc>
        <w:tc>
          <w:tcPr>
            <w:tcW w:w="865" w:type="dxa"/>
            <w:noWrap w:val="0"/>
            <w:vAlign w:val="top"/>
          </w:tcPr>
          <w:p w14:paraId="5CB2459C">
            <w:pPr>
              <w:adjustRightInd w:val="0"/>
              <w:spacing w:line="360" w:lineRule="auto"/>
              <w:rPr>
                <w:rFonts w:cs="Times New Roman"/>
                <w:color w:val="auto"/>
                <w:szCs w:val="21"/>
                <w:highlight w:val="none"/>
              </w:rPr>
            </w:pPr>
          </w:p>
        </w:tc>
        <w:tc>
          <w:tcPr>
            <w:tcW w:w="623" w:type="dxa"/>
            <w:noWrap w:val="0"/>
            <w:vAlign w:val="top"/>
          </w:tcPr>
          <w:p w14:paraId="2550673F">
            <w:pPr>
              <w:adjustRightInd w:val="0"/>
              <w:spacing w:line="360" w:lineRule="auto"/>
              <w:rPr>
                <w:rFonts w:cs="Times New Roman"/>
                <w:color w:val="auto"/>
                <w:szCs w:val="21"/>
                <w:highlight w:val="none"/>
              </w:rPr>
            </w:pPr>
          </w:p>
        </w:tc>
      </w:tr>
      <w:tr w14:paraId="75F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18A24ECC">
            <w:pPr>
              <w:adjustRightInd w:val="0"/>
              <w:spacing w:line="360" w:lineRule="auto"/>
              <w:rPr>
                <w:rFonts w:cs="Times New Roman"/>
                <w:color w:val="auto"/>
                <w:szCs w:val="21"/>
                <w:highlight w:val="none"/>
              </w:rPr>
            </w:pPr>
          </w:p>
        </w:tc>
        <w:tc>
          <w:tcPr>
            <w:tcW w:w="1560" w:type="dxa"/>
            <w:noWrap w:val="0"/>
            <w:vAlign w:val="top"/>
          </w:tcPr>
          <w:p w14:paraId="5734AB34">
            <w:pPr>
              <w:adjustRightInd w:val="0"/>
              <w:spacing w:line="360" w:lineRule="auto"/>
              <w:rPr>
                <w:rFonts w:cs="Times New Roman"/>
                <w:color w:val="auto"/>
                <w:szCs w:val="21"/>
                <w:highlight w:val="none"/>
              </w:rPr>
            </w:pPr>
          </w:p>
        </w:tc>
        <w:tc>
          <w:tcPr>
            <w:tcW w:w="1284" w:type="dxa"/>
            <w:noWrap w:val="0"/>
            <w:vAlign w:val="top"/>
          </w:tcPr>
          <w:p w14:paraId="2213D0D0">
            <w:pPr>
              <w:adjustRightInd w:val="0"/>
              <w:spacing w:line="360" w:lineRule="auto"/>
              <w:rPr>
                <w:rFonts w:cs="Times New Roman"/>
                <w:color w:val="auto"/>
                <w:szCs w:val="21"/>
                <w:highlight w:val="none"/>
              </w:rPr>
            </w:pPr>
          </w:p>
        </w:tc>
        <w:tc>
          <w:tcPr>
            <w:tcW w:w="1103" w:type="dxa"/>
            <w:noWrap w:val="0"/>
            <w:vAlign w:val="top"/>
          </w:tcPr>
          <w:p w14:paraId="4883312E">
            <w:pPr>
              <w:adjustRightInd w:val="0"/>
              <w:spacing w:line="360" w:lineRule="auto"/>
              <w:rPr>
                <w:rFonts w:cs="Times New Roman"/>
                <w:color w:val="auto"/>
                <w:szCs w:val="21"/>
                <w:highlight w:val="none"/>
              </w:rPr>
            </w:pPr>
          </w:p>
        </w:tc>
        <w:tc>
          <w:tcPr>
            <w:tcW w:w="862" w:type="dxa"/>
            <w:noWrap w:val="0"/>
            <w:vAlign w:val="top"/>
          </w:tcPr>
          <w:p w14:paraId="12EA2993">
            <w:pPr>
              <w:adjustRightInd w:val="0"/>
              <w:spacing w:line="360" w:lineRule="auto"/>
              <w:rPr>
                <w:rFonts w:cs="Times New Roman"/>
                <w:color w:val="auto"/>
                <w:szCs w:val="21"/>
                <w:highlight w:val="none"/>
              </w:rPr>
            </w:pPr>
          </w:p>
        </w:tc>
        <w:tc>
          <w:tcPr>
            <w:tcW w:w="930" w:type="dxa"/>
            <w:noWrap w:val="0"/>
            <w:vAlign w:val="top"/>
          </w:tcPr>
          <w:p w14:paraId="0CBB2363">
            <w:pPr>
              <w:adjustRightInd w:val="0"/>
              <w:spacing w:line="360" w:lineRule="auto"/>
              <w:rPr>
                <w:rFonts w:cs="Times New Roman"/>
                <w:color w:val="auto"/>
                <w:szCs w:val="21"/>
                <w:highlight w:val="none"/>
              </w:rPr>
            </w:pPr>
          </w:p>
        </w:tc>
        <w:tc>
          <w:tcPr>
            <w:tcW w:w="928" w:type="dxa"/>
            <w:noWrap w:val="0"/>
            <w:vAlign w:val="top"/>
          </w:tcPr>
          <w:p w14:paraId="4980477F">
            <w:pPr>
              <w:adjustRightInd w:val="0"/>
              <w:spacing w:line="360" w:lineRule="auto"/>
              <w:rPr>
                <w:rFonts w:cs="Times New Roman"/>
                <w:color w:val="auto"/>
                <w:szCs w:val="21"/>
                <w:highlight w:val="none"/>
              </w:rPr>
            </w:pPr>
          </w:p>
        </w:tc>
        <w:tc>
          <w:tcPr>
            <w:tcW w:w="865" w:type="dxa"/>
            <w:noWrap w:val="0"/>
            <w:vAlign w:val="top"/>
          </w:tcPr>
          <w:p w14:paraId="7DEDB44C">
            <w:pPr>
              <w:adjustRightInd w:val="0"/>
              <w:spacing w:line="360" w:lineRule="auto"/>
              <w:rPr>
                <w:rFonts w:cs="Times New Roman"/>
                <w:color w:val="auto"/>
                <w:szCs w:val="21"/>
                <w:highlight w:val="none"/>
              </w:rPr>
            </w:pPr>
          </w:p>
        </w:tc>
        <w:tc>
          <w:tcPr>
            <w:tcW w:w="623" w:type="dxa"/>
            <w:noWrap w:val="0"/>
            <w:vAlign w:val="top"/>
          </w:tcPr>
          <w:p w14:paraId="2C81A7C8">
            <w:pPr>
              <w:adjustRightInd w:val="0"/>
              <w:spacing w:line="360" w:lineRule="auto"/>
              <w:rPr>
                <w:rFonts w:cs="Times New Roman"/>
                <w:color w:val="auto"/>
                <w:szCs w:val="21"/>
                <w:highlight w:val="none"/>
              </w:rPr>
            </w:pPr>
          </w:p>
        </w:tc>
      </w:tr>
      <w:tr w14:paraId="4B10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3C34B757">
            <w:pPr>
              <w:adjustRightInd w:val="0"/>
              <w:spacing w:line="360" w:lineRule="auto"/>
              <w:rPr>
                <w:rFonts w:cs="Times New Roman"/>
                <w:color w:val="auto"/>
                <w:szCs w:val="21"/>
                <w:highlight w:val="none"/>
              </w:rPr>
            </w:pPr>
          </w:p>
        </w:tc>
        <w:tc>
          <w:tcPr>
            <w:tcW w:w="1560" w:type="dxa"/>
            <w:noWrap w:val="0"/>
            <w:vAlign w:val="top"/>
          </w:tcPr>
          <w:p w14:paraId="0912B12C">
            <w:pPr>
              <w:adjustRightInd w:val="0"/>
              <w:spacing w:line="360" w:lineRule="auto"/>
              <w:rPr>
                <w:rFonts w:cs="Times New Roman"/>
                <w:color w:val="auto"/>
                <w:szCs w:val="21"/>
                <w:highlight w:val="none"/>
              </w:rPr>
            </w:pPr>
          </w:p>
        </w:tc>
        <w:tc>
          <w:tcPr>
            <w:tcW w:w="1284" w:type="dxa"/>
            <w:noWrap w:val="0"/>
            <w:vAlign w:val="top"/>
          </w:tcPr>
          <w:p w14:paraId="57DC2ED6">
            <w:pPr>
              <w:adjustRightInd w:val="0"/>
              <w:spacing w:line="360" w:lineRule="auto"/>
              <w:rPr>
                <w:rFonts w:cs="Times New Roman"/>
                <w:color w:val="auto"/>
                <w:szCs w:val="21"/>
                <w:highlight w:val="none"/>
              </w:rPr>
            </w:pPr>
          </w:p>
        </w:tc>
        <w:tc>
          <w:tcPr>
            <w:tcW w:w="1103" w:type="dxa"/>
            <w:noWrap w:val="0"/>
            <w:vAlign w:val="top"/>
          </w:tcPr>
          <w:p w14:paraId="122DDACB">
            <w:pPr>
              <w:adjustRightInd w:val="0"/>
              <w:spacing w:line="360" w:lineRule="auto"/>
              <w:rPr>
                <w:rFonts w:cs="Times New Roman"/>
                <w:color w:val="auto"/>
                <w:szCs w:val="21"/>
                <w:highlight w:val="none"/>
              </w:rPr>
            </w:pPr>
          </w:p>
        </w:tc>
        <w:tc>
          <w:tcPr>
            <w:tcW w:w="862" w:type="dxa"/>
            <w:noWrap w:val="0"/>
            <w:vAlign w:val="top"/>
          </w:tcPr>
          <w:p w14:paraId="236457A0">
            <w:pPr>
              <w:adjustRightInd w:val="0"/>
              <w:spacing w:line="360" w:lineRule="auto"/>
              <w:rPr>
                <w:rFonts w:cs="Times New Roman"/>
                <w:color w:val="auto"/>
                <w:szCs w:val="21"/>
                <w:highlight w:val="none"/>
              </w:rPr>
            </w:pPr>
          </w:p>
        </w:tc>
        <w:tc>
          <w:tcPr>
            <w:tcW w:w="930" w:type="dxa"/>
            <w:noWrap w:val="0"/>
            <w:vAlign w:val="top"/>
          </w:tcPr>
          <w:p w14:paraId="7F38EE94">
            <w:pPr>
              <w:adjustRightInd w:val="0"/>
              <w:spacing w:line="360" w:lineRule="auto"/>
              <w:rPr>
                <w:rFonts w:cs="Times New Roman"/>
                <w:color w:val="auto"/>
                <w:szCs w:val="21"/>
                <w:highlight w:val="none"/>
              </w:rPr>
            </w:pPr>
          </w:p>
        </w:tc>
        <w:tc>
          <w:tcPr>
            <w:tcW w:w="928" w:type="dxa"/>
            <w:noWrap w:val="0"/>
            <w:vAlign w:val="top"/>
          </w:tcPr>
          <w:p w14:paraId="4F688ECF">
            <w:pPr>
              <w:adjustRightInd w:val="0"/>
              <w:spacing w:line="360" w:lineRule="auto"/>
              <w:rPr>
                <w:rFonts w:cs="Times New Roman"/>
                <w:color w:val="auto"/>
                <w:szCs w:val="21"/>
                <w:highlight w:val="none"/>
              </w:rPr>
            </w:pPr>
          </w:p>
        </w:tc>
        <w:tc>
          <w:tcPr>
            <w:tcW w:w="865" w:type="dxa"/>
            <w:noWrap w:val="0"/>
            <w:vAlign w:val="top"/>
          </w:tcPr>
          <w:p w14:paraId="134ABD32">
            <w:pPr>
              <w:adjustRightInd w:val="0"/>
              <w:spacing w:line="360" w:lineRule="auto"/>
              <w:rPr>
                <w:rFonts w:cs="Times New Roman"/>
                <w:color w:val="auto"/>
                <w:szCs w:val="21"/>
                <w:highlight w:val="none"/>
              </w:rPr>
            </w:pPr>
          </w:p>
        </w:tc>
        <w:tc>
          <w:tcPr>
            <w:tcW w:w="623" w:type="dxa"/>
            <w:noWrap w:val="0"/>
            <w:vAlign w:val="top"/>
          </w:tcPr>
          <w:p w14:paraId="44A8DB4C">
            <w:pPr>
              <w:adjustRightInd w:val="0"/>
              <w:spacing w:line="360" w:lineRule="auto"/>
              <w:rPr>
                <w:rFonts w:cs="Times New Roman"/>
                <w:color w:val="auto"/>
                <w:szCs w:val="21"/>
                <w:highlight w:val="none"/>
              </w:rPr>
            </w:pPr>
          </w:p>
        </w:tc>
      </w:tr>
      <w:tr w14:paraId="4633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2C656D4E">
            <w:pPr>
              <w:adjustRightInd w:val="0"/>
              <w:spacing w:line="360" w:lineRule="auto"/>
              <w:rPr>
                <w:rFonts w:cs="Times New Roman"/>
                <w:color w:val="auto"/>
                <w:szCs w:val="21"/>
                <w:highlight w:val="none"/>
              </w:rPr>
            </w:pPr>
          </w:p>
        </w:tc>
        <w:tc>
          <w:tcPr>
            <w:tcW w:w="1560" w:type="dxa"/>
            <w:noWrap w:val="0"/>
            <w:vAlign w:val="top"/>
          </w:tcPr>
          <w:p w14:paraId="06E3B8CC">
            <w:pPr>
              <w:adjustRightInd w:val="0"/>
              <w:spacing w:line="360" w:lineRule="auto"/>
              <w:rPr>
                <w:rFonts w:cs="Times New Roman"/>
                <w:color w:val="auto"/>
                <w:szCs w:val="21"/>
                <w:highlight w:val="none"/>
              </w:rPr>
            </w:pPr>
          </w:p>
        </w:tc>
        <w:tc>
          <w:tcPr>
            <w:tcW w:w="1284" w:type="dxa"/>
            <w:noWrap w:val="0"/>
            <w:vAlign w:val="top"/>
          </w:tcPr>
          <w:p w14:paraId="753478CE">
            <w:pPr>
              <w:adjustRightInd w:val="0"/>
              <w:spacing w:line="360" w:lineRule="auto"/>
              <w:rPr>
                <w:rFonts w:cs="Times New Roman"/>
                <w:color w:val="auto"/>
                <w:szCs w:val="21"/>
                <w:highlight w:val="none"/>
              </w:rPr>
            </w:pPr>
          </w:p>
        </w:tc>
        <w:tc>
          <w:tcPr>
            <w:tcW w:w="1103" w:type="dxa"/>
            <w:noWrap w:val="0"/>
            <w:vAlign w:val="top"/>
          </w:tcPr>
          <w:p w14:paraId="49276195">
            <w:pPr>
              <w:adjustRightInd w:val="0"/>
              <w:spacing w:line="360" w:lineRule="auto"/>
              <w:rPr>
                <w:rFonts w:cs="Times New Roman"/>
                <w:color w:val="auto"/>
                <w:szCs w:val="21"/>
                <w:highlight w:val="none"/>
              </w:rPr>
            </w:pPr>
          </w:p>
        </w:tc>
        <w:tc>
          <w:tcPr>
            <w:tcW w:w="862" w:type="dxa"/>
            <w:noWrap w:val="0"/>
            <w:vAlign w:val="top"/>
          </w:tcPr>
          <w:p w14:paraId="72DA865B">
            <w:pPr>
              <w:adjustRightInd w:val="0"/>
              <w:spacing w:line="360" w:lineRule="auto"/>
              <w:rPr>
                <w:rFonts w:cs="Times New Roman"/>
                <w:color w:val="auto"/>
                <w:szCs w:val="21"/>
                <w:highlight w:val="none"/>
              </w:rPr>
            </w:pPr>
          </w:p>
        </w:tc>
        <w:tc>
          <w:tcPr>
            <w:tcW w:w="930" w:type="dxa"/>
            <w:noWrap w:val="0"/>
            <w:vAlign w:val="top"/>
          </w:tcPr>
          <w:p w14:paraId="2EE490B4">
            <w:pPr>
              <w:adjustRightInd w:val="0"/>
              <w:spacing w:line="360" w:lineRule="auto"/>
              <w:rPr>
                <w:rFonts w:cs="Times New Roman"/>
                <w:color w:val="auto"/>
                <w:szCs w:val="21"/>
                <w:highlight w:val="none"/>
              </w:rPr>
            </w:pPr>
          </w:p>
        </w:tc>
        <w:tc>
          <w:tcPr>
            <w:tcW w:w="928" w:type="dxa"/>
            <w:noWrap w:val="0"/>
            <w:vAlign w:val="top"/>
          </w:tcPr>
          <w:p w14:paraId="2CE0E024">
            <w:pPr>
              <w:adjustRightInd w:val="0"/>
              <w:spacing w:line="360" w:lineRule="auto"/>
              <w:rPr>
                <w:rFonts w:cs="Times New Roman"/>
                <w:color w:val="auto"/>
                <w:szCs w:val="21"/>
                <w:highlight w:val="none"/>
              </w:rPr>
            </w:pPr>
          </w:p>
        </w:tc>
        <w:tc>
          <w:tcPr>
            <w:tcW w:w="865" w:type="dxa"/>
            <w:noWrap w:val="0"/>
            <w:vAlign w:val="top"/>
          </w:tcPr>
          <w:p w14:paraId="720591A3">
            <w:pPr>
              <w:adjustRightInd w:val="0"/>
              <w:spacing w:line="360" w:lineRule="auto"/>
              <w:rPr>
                <w:rFonts w:cs="Times New Roman"/>
                <w:color w:val="auto"/>
                <w:szCs w:val="21"/>
                <w:highlight w:val="none"/>
              </w:rPr>
            </w:pPr>
          </w:p>
        </w:tc>
        <w:tc>
          <w:tcPr>
            <w:tcW w:w="623" w:type="dxa"/>
            <w:noWrap w:val="0"/>
            <w:vAlign w:val="top"/>
          </w:tcPr>
          <w:p w14:paraId="6F00BB7E">
            <w:pPr>
              <w:adjustRightInd w:val="0"/>
              <w:spacing w:line="360" w:lineRule="auto"/>
              <w:rPr>
                <w:rFonts w:cs="Times New Roman"/>
                <w:color w:val="auto"/>
                <w:szCs w:val="21"/>
                <w:highlight w:val="none"/>
              </w:rPr>
            </w:pPr>
          </w:p>
        </w:tc>
      </w:tr>
      <w:tr w14:paraId="45C0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77A2D772">
            <w:pPr>
              <w:adjustRightInd w:val="0"/>
              <w:spacing w:line="360" w:lineRule="auto"/>
              <w:rPr>
                <w:rFonts w:cs="Times New Roman"/>
                <w:color w:val="auto"/>
                <w:szCs w:val="21"/>
                <w:highlight w:val="none"/>
              </w:rPr>
            </w:pPr>
          </w:p>
        </w:tc>
        <w:tc>
          <w:tcPr>
            <w:tcW w:w="1560" w:type="dxa"/>
            <w:noWrap w:val="0"/>
            <w:vAlign w:val="top"/>
          </w:tcPr>
          <w:p w14:paraId="62690730">
            <w:pPr>
              <w:adjustRightInd w:val="0"/>
              <w:spacing w:line="360" w:lineRule="auto"/>
              <w:rPr>
                <w:rFonts w:cs="Times New Roman"/>
                <w:color w:val="auto"/>
                <w:szCs w:val="21"/>
                <w:highlight w:val="none"/>
              </w:rPr>
            </w:pPr>
          </w:p>
        </w:tc>
        <w:tc>
          <w:tcPr>
            <w:tcW w:w="1284" w:type="dxa"/>
            <w:noWrap w:val="0"/>
            <w:vAlign w:val="top"/>
          </w:tcPr>
          <w:p w14:paraId="591DCFF9">
            <w:pPr>
              <w:adjustRightInd w:val="0"/>
              <w:spacing w:line="360" w:lineRule="auto"/>
              <w:rPr>
                <w:rFonts w:cs="Times New Roman"/>
                <w:color w:val="auto"/>
                <w:szCs w:val="21"/>
                <w:highlight w:val="none"/>
              </w:rPr>
            </w:pPr>
          </w:p>
        </w:tc>
        <w:tc>
          <w:tcPr>
            <w:tcW w:w="1103" w:type="dxa"/>
            <w:noWrap w:val="0"/>
            <w:vAlign w:val="top"/>
          </w:tcPr>
          <w:p w14:paraId="63BEDC1A">
            <w:pPr>
              <w:adjustRightInd w:val="0"/>
              <w:spacing w:line="360" w:lineRule="auto"/>
              <w:rPr>
                <w:rFonts w:cs="Times New Roman"/>
                <w:color w:val="auto"/>
                <w:szCs w:val="21"/>
                <w:highlight w:val="none"/>
              </w:rPr>
            </w:pPr>
          </w:p>
        </w:tc>
        <w:tc>
          <w:tcPr>
            <w:tcW w:w="862" w:type="dxa"/>
            <w:noWrap w:val="0"/>
            <w:vAlign w:val="top"/>
          </w:tcPr>
          <w:p w14:paraId="53DC0C05">
            <w:pPr>
              <w:adjustRightInd w:val="0"/>
              <w:spacing w:line="360" w:lineRule="auto"/>
              <w:rPr>
                <w:rFonts w:cs="Times New Roman"/>
                <w:color w:val="auto"/>
                <w:szCs w:val="21"/>
                <w:highlight w:val="none"/>
              </w:rPr>
            </w:pPr>
          </w:p>
        </w:tc>
        <w:tc>
          <w:tcPr>
            <w:tcW w:w="930" w:type="dxa"/>
            <w:noWrap w:val="0"/>
            <w:vAlign w:val="top"/>
          </w:tcPr>
          <w:p w14:paraId="1C98519E">
            <w:pPr>
              <w:adjustRightInd w:val="0"/>
              <w:spacing w:line="360" w:lineRule="auto"/>
              <w:rPr>
                <w:rFonts w:cs="Times New Roman"/>
                <w:color w:val="auto"/>
                <w:szCs w:val="21"/>
                <w:highlight w:val="none"/>
              </w:rPr>
            </w:pPr>
          </w:p>
        </w:tc>
        <w:tc>
          <w:tcPr>
            <w:tcW w:w="928" w:type="dxa"/>
            <w:noWrap w:val="0"/>
            <w:vAlign w:val="top"/>
          </w:tcPr>
          <w:p w14:paraId="3CB9AE34">
            <w:pPr>
              <w:adjustRightInd w:val="0"/>
              <w:spacing w:line="360" w:lineRule="auto"/>
              <w:rPr>
                <w:rFonts w:cs="Times New Roman"/>
                <w:color w:val="auto"/>
                <w:szCs w:val="21"/>
                <w:highlight w:val="none"/>
              </w:rPr>
            </w:pPr>
          </w:p>
        </w:tc>
        <w:tc>
          <w:tcPr>
            <w:tcW w:w="865" w:type="dxa"/>
            <w:noWrap w:val="0"/>
            <w:vAlign w:val="top"/>
          </w:tcPr>
          <w:p w14:paraId="7C0BAF68">
            <w:pPr>
              <w:adjustRightInd w:val="0"/>
              <w:spacing w:line="360" w:lineRule="auto"/>
              <w:rPr>
                <w:rFonts w:cs="Times New Roman"/>
                <w:color w:val="auto"/>
                <w:szCs w:val="21"/>
                <w:highlight w:val="none"/>
              </w:rPr>
            </w:pPr>
          </w:p>
        </w:tc>
        <w:tc>
          <w:tcPr>
            <w:tcW w:w="623" w:type="dxa"/>
            <w:noWrap w:val="0"/>
            <w:vAlign w:val="top"/>
          </w:tcPr>
          <w:p w14:paraId="5CEAB584">
            <w:pPr>
              <w:adjustRightInd w:val="0"/>
              <w:spacing w:line="360" w:lineRule="auto"/>
              <w:rPr>
                <w:rFonts w:cs="Times New Roman"/>
                <w:color w:val="auto"/>
                <w:szCs w:val="21"/>
                <w:highlight w:val="none"/>
              </w:rPr>
            </w:pPr>
          </w:p>
        </w:tc>
      </w:tr>
      <w:tr w14:paraId="33E1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2" w:type="dxa"/>
            <w:noWrap w:val="0"/>
            <w:vAlign w:val="top"/>
          </w:tcPr>
          <w:p w14:paraId="2C6183CD">
            <w:pPr>
              <w:adjustRightInd w:val="0"/>
              <w:spacing w:line="360" w:lineRule="auto"/>
              <w:rPr>
                <w:rFonts w:cs="Times New Roman"/>
                <w:color w:val="auto"/>
                <w:szCs w:val="21"/>
                <w:highlight w:val="none"/>
              </w:rPr>
            </w:pPr>
          </w:p>
        </w:tc>
        <w:tc>
          <w:tcPr>
            <w:tcW w:w="1560" w:type="dxa"/>
            <w:noWrap w:val="0"/>
            <w:vAlign w:val="top"/>
          </w:tcPr>
          <w:p w14:paraId="61CCD7AB">
            <w:pPr>
              <w:adjustRightInd w:val="0"/>
              <w:spacing w:line="360" w:lineRule="auto"/>
              <w:rPr>
                <w:rFonts w:cs="Times New Roman"/>
                <w:color w:val="auto"/>
                <w:szCs w:val="21"/>
                <w:highlight w:val="none"/>
              </w:rPr>
            </w:pPr>
          </w:p>
        </w:tc>
        <w:tc>
          <w:tcPr>
            <w:tcW w:w="1284" w:type="dxa"/>
            <w:noWrap w:val="0"/>
            <w:vAlign w:val="top"/>
          </w:tcPr>
          <w:p w14:paraId="5A52FFA8">
            <w:pPr>
              <w:adjustRightInd w:val="0"/>
              <w:spacing w:line="360" w:lineRule="auto"/>
              <w:rPr>
                <w:rFonts w:cs="Times New Roman"/>
                <w:color w:val="auto"/>
                <w:szCs w:val="21"/>
                <w:highlight w:val="none"/>
              </w:rPr>
            </w:pPr>
          </w:p>
        </w:tc>
        <w:tc>
          <w:tcPr>
            <w:tcW w:w="1103" w:type="dxa"/>
            <w:noWrap w:val="0"/>
            <w:vAlign w:val="top"/>
          </w:tcPr>
          <w:p w14:paraId="07216009">
            <w:pPr>
              <w:adjustRightInd w:val="0"/>
              <w:spacing w:line="360" w:lineRule="auto"/>
              <w:rPr>
                <w:rFonts w:cs="Times New Roman"/>
                <w:color w:val="auto"/>
                <w:szCs w:val="21"/>
                <w:highlight w:val="none"/>
              </w:rPr>
            </w:pPr>
          </w:p>
        </w:tc>
        <w:tc>
          <w:tcPr>
            <w:tcW w:w="862" w:type="dxa"/>
            <w:noWrap w:val="0"/>
            <w:vAlign w:val="top"/>
          </w:tcPr>
          <w:p w14:paraId="3F006686">
            <w:pPr>
              <w:adjustRightInd w:val="0"/>
              <w:spacing w:line="360" w:lineRule="auto"/>
              <w:rPr>
                <w:rFonts w:cs="Times New Roman"/>
                <w:color w:val="auto"/>
                <w:szCs w:val="21"/>
                <w:highlight w:val="none"/>
              </w:rPr>
            </w:pPr>
          </w:p>
        </w:tc>
        <w:tc>
          <w:tcPr>
            <w:tcW w:w="930" w:type="dxa"/>
            <w:noWrap w:val="0"/>
            <w:vAlign w:val="top"/>
          </w:tcPr>
          <w:p w14:paraId="4A04E0D4">
            <w:pPr>
              <w:adjustRightInd w:val="0"/>
              <w:spacing w:line="360" w:lineRule="auto"/>
              <w:rPr>
                <w:rFonts w:cs="Times New Roman"/>
                <w:color w:val="auto"/>
                <w:szCs w:val="21"/>
                <w:highlight w:val="none"/>
              </w:rPr>
            </w:pPr>
          </w:p>
        </w:tc>
        <w:tc>
          <w:tcPr>
            <w:tcW w:w="928" w:type="dxa"/>
            <w:noWrap w:val="0"/>
            <w:vAlign w:val="top"/>
          </w:tcPr>
          <w:p w14:paraId="08D369DD">
            <w:pPr>
              <w:adjustRightInd w:val="0"/>
              <w:spacing w:line="360" w:lineRule="auto"/>
              <w:rPr>
                <w:rFonts w:cs="Times New Roman"/>
                <w:color w:val="auto"/>
                <w:szCs w:val="21"/>
                <w:highlight w:val="none"/>
              </w:rPr>
            </w:pPr>
          </w:p>
        </w:tc>
        <w:tc>
          <w:tcPr>
            <w:tcW w:w="865" w:type="dxa"/>
            <w:noWrap w:val="0"/>
            <w:vAlign w:val="top"/>
          </w:tcPr>
          <w:p w14:paraId="1566EB84">
            <w:pPr>
              <w:adjustRightInd w:val="0"/>
              <w:spacing w:line="360" w:lineRule="auto"/>
              <w:rPr>
                <w:rFonts w:cs="Times New Roman"/>
                <w:color w:val="auto"/>
                <w:szCs w:val="21"/>
                <w:highlight w:val="none"/>
              </w:rPr>
            </w:pPr>
          </w:p>
        </w:tc>
        <w:tc>
          <w:tcPr>
            <w:tcW w:w="623" w:type="dxa"/>
            <w:noWrap w:val="0"/>
            <w:vAlign w:val="top"/>
          </w:tcPr>
          <w:p w14:paraId="64078CE8">
            <w:pPr>
              <w:adjustRightInd w:val="0"/>
              <w:spacing w:line="360" w:lineRule="auto"/>
              <w:rPr>
                <w:rFonts w:cs="Times New Roman"/>
                <w:color w:val="auto"/>
                <w:szCs w:val="21"/>
                <w:highlight w:val="none"/>
              </w:rPr>
            </w:pPr>
          </w:p>
        </w:tc>
      </w:tr>
      <w:tr w14:paraId="5644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619" w:type="dxa"/>
            <w:gridSpan w:val="7"/>
            <w:noWrap w:val="0"/>
            <w:vAlign w:val="top"/>
          </w:tcPr>
          <w:p w14:paraId="00EC7996">
            <w:pPr>
              <w:adjustRightInd w:val="0"/>
              <w:spacing w:line="360" w:lineRule="auto"/>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总合计（元）</w:t>
            </w:r>
          </w:p>
        </w:tc>
        <w:tc>
          <w:tcPr>
            <w:tcW w:w="1488" w:type="dxa"/>
            <w:gridSpan w:val="2"/>
            <w:noWrap w:val="0"/>
            <w:vAlign w:val="top"/>
          </w:tcPr>
          <w:p w14:paraId="19D67E0E">
            <w:pPr>
              <w:adjustRightInd w:val="0"/>
              <w:spacing w:line="360" w:lineRule="auto"/>
              <w:rPr>
                <w:rFonts w:cs="Times New Roman"/>
                <w:color w:val="auto"/>
                <w:szCs w:val="21"/>
                <w:highlight w:val="none"/>
              </w:rPr>
            </w:pPr>
          </w:p>
        </w:tc>
      </w:tr>
    </w:tbl>
    <w:p w14:paraId="0DA05947">
      <w:pPr>
        <w:spacing w:line="500" w:lineRule="exact"/>
        <w:jc w:val="center"/>
        <w:rPr>
          <w:rFonts w:cs="Times New Roman"/>
          <w:b/>
          <w:bCs/>
          <w:color w:val="auto"/>
          <w:sz w:val="32"/>
          <w:szCs w:val="32"/>
          <w:highlight w:val="none"/>
        </w:rPr>
      </w:pPr>
    </w:p>
    <w:p w14:paraId="172FBE9F">
      <w:pPr>
        <w:spacing w:line="500" w:lineRule="exact"/>
        <w:jc w:val="center"/>
        <w:rPr>
          <w:rFonts w:cs="Times New Roman"/>
          <w:b/>
          <w:bCs/>
          <w:color w:val="auto"/>
          <w:sz w:val="32"/>
          <w:szCs w:val="32"/>
          <w:highlight w:val="none"/>
        </w:rPr>
      </w:pPr>
    </w:p>
    <w:p w14:paraId="18630C6D">
      <w:pPr>
        <w:spacing w:line="500" w:lineRule="exact"/>
        <w:jc w:val="center"/>
        <w:rPr>
          <w:rFonts w:cs="Times New Roman"/>
          <w:b/>
          <w:bCs/>
          <w:color w:val="auto"/>
          <w:sz w:val="32"/>
          <w:szCs w:val="32"/>
          <w:highlight w:val="none"/>
        </w:rPr>
      </w:pPr>
    </w:p>
    <w:p w14:paraId="4BB488FB">
      <w:pPr>
        <w:spacing w:line="400" w:lineRule="exact"/>
        <w:ind w:firstLine="2800" w:firstLineChars="1000"/>
        <w:rPr>
          <w:color w:val="auto"/>
          <w:sz w:val="28"/>
          <w:szCs w:val="28"/>
          <w:highlight w:val="none"/>
        </w:rPr>
      </w:pPr>
      <w:r>
        <w:rPr>
          <w:rFonts w:hint="eastAsia"/>
          <w:color w:val="auto"/>
          <w:sz w:val="28"/>
          <w:szCs w:val="28"/>
          <w:highlight w:val="none"/>
        </w:rPr>
        <w:t xml:space="preserve">供应商：（盖章） </w:t>
      </w:r>
    </w:p>
    <w:p w14:paraId="24819DAB">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法定代表人或委托代理人：（签字或盖章）</w:t>
      </w:r>
    </w:p>
    <w:p w14:paraId="13C12AF2">
      <w:pPr>
        <w:spacing w:line="500" w:lineRule="exact"/>
        <w:ind w:firstLine="4110" w:firstLineChars="1468"/>
        <w:rPr>
          <w:rFonts w:cs="Times New Roman"/>
          <w:bCs/>
          <w:color w:val="auto"/>
          <w:sz w:val="28"/>
          <w:szCs w:val="28"/>
          <w:highlight w:val="none"/>
        </w:rPr>
      </w:pPr>
      <w:r>
        <w:rPr>
          <w:rFonts w:hint="eastAsia"/>
          <w:iCs/>
          <w:color w:val="auto"/>
          <w:sz w:val="28"/>
          <w:szCs w:val="28"/>
          <w:highlight w:val="none"/>
        </w:rPr>
        <w:t>日期：</w:t>
      </w:r>
    </w:p>
    <w:p w14:paraId="6D64A150">
      <w:pPr>
        <w:spacing w:line="500" w:lineRule="exact"/>
        <w:rPr>
          <w:rFonts w:cs="Times New Roman"/>
          <w:b/>
          <w:bCs/>
          <w:color w:val="auto"/>
          <w:sz w:val="32"/>
          <w:szCs w:val="32"/>
          <w:highlight w:val="none"/>
        </w:rPr>
        <w:sectPr>
          <w:headerReference r:id="rId5" w:type="default"/>
          <w:footerReference r:id="rId6" w:type="default"/>
          <w:pgSz w:w="11906" w:h="16838"/>
          <w:pgMar w:top="1440" w:right="1440" w:bottom="1440" w:left="1440" w:header="851" w:footer="992" w:gutter="0"/>
          <w:cols w:space="720" w:num="1"/>
          <w:docGrid w:type="lines" w:linePitch="312" w:charSpace="0"/>
        </w:sectPr>
      </w:pPr>
    </w:p>
    <w:p w14:paraId="2D3CA2C0">
      <w:pPr>
        <w:keepNext/>
        <w:keepLines/>
        <w:spacing w:line="360" w:lineRule="auto"/>
        <w:jc w:val="center"/>
        <w:outlineLvl w:val="2"/>
        <w:rPr>
          <w:b/>
          <w:color w:val="auto"/>
          <w:sz w:val="24"/>
          <w:szCs w:val="24"/>
          <w:highlight w:val="none"/>
        </w:rPr>
      </w:pPr>
      <w:r>
        <w:rPr>
          <w:rFonts w:hint="eastAsia"/>
          <w:b/>
          <w:color w:val="auto"/>
          <w:sz w:val="24"/>
          <w:szCs w:val="24"/>
          <w:highlight w:val="none"/>
        </w:rPr>
        <w:t>（二）技术偏差表</w:t>
      </w:r>
    </w:p>
    <w:tbl>
      <w:tblPr>
        <w:tblStyle w:val="15"/>
        <w:tblpPr w:leftFromText="180" w:rightFromText="180" w:vertAnchor="text" w:horzAnchor="page" w:tblpXSpec="center" w:tblpY="661"/>
        <w:tblOverlap w:val="never"/>
        <w:tblW w:w="85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137"/>
        <w:gridCol w:w="2509"/>
        <w:gridCol w:w="2425"/>
        <w:gridCol w:w="1744"/>
      </w:tblGrid>
      <w:tr w14:paraId="657FE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7D12971C">
            <w:pPr>
              <w:snapToGrid w:val="0"/>
              <w:spacing w:before="312" w:beforeLines="100" w:after="312" w:afterLines="100" w:line="360" w:lineRule="auto"/>
              <w:jc w:val="center"/>
              <w:rPr>
                <w:color w:val="auto"/>
                <w:szCs w:val="21"/>
                <w:highlight w:val="none"/>
              </w:rPr>
            </w:pPr>
            <w:r>
              <w:rPr>
                <w:rFonts w:hint="eastAsia"/>
                <w:color w:val="auto"/>
                <w:szCs w:val="21"/>
                <w:highlight w:val="none"/>
              </w:rPr>
              <w:t>序号</w:t>
            </w:r>
          </w:p>
        </w:tc>
        <w:tc>
          <w:tcPr>
            <w:tcW w:w="1137" w:type="dxa"/>
            <w:noWrap w:val="0"/>
            <w:vAlign w:val="center"/>
          </w:tcPr>
          <w:p w14:paraId="60A95B3F">
            <w:pPr>
              <w:snapToGrid w:val="0"/>
              <w:spacing w:before="156" w:beforeLines="50" w:after="156" w:afterLines="50" w:line="360" w:lineRule="auto"/>
              <w:jc w:val="center"/>
              <w:rPr>
                <w:color w:val="auto"/>
                <w:szCs w:val="21"/>
                <w:highlight w:val="none"/>
              </w:rPr>
            </w:pPr>
            <w:r>
              <w:rPr>
                <w:rFonts w:hint="eastAsia"/>
                <w:color w:val="auto"/>
                <w:szCs w:val="21"/>
                <w:highlight w:val="none"/>
              </w:rPr>
              <w:t>货物名称</w:t>
            </w:r>
          </w:p>
        </w:tc>
        <w:tc>
          <w:tcPr>
            <w:tcW w:w="2509" w:type="dxa"/>
            <w:noWrap w:val="0"/>
            <w:vAlign w:val="center"/>
          </w:tcPr>
          <w:p w14:paraId="60AA200B">
            <w:pPr>
              <w:snapToGrid w:val="0"/>
              <w:spacing w:before="156" w:beforeLines="50" w:after="156" w:afterLines="50" w:line="360" w:lineRule="auto"/>
              <w:jc w:val="center"/>
              <w:rPr>
                <w:color w:val="auto"/>
                <w:szCs w:val="21"/>
                <w:highlight w:val="none"/>
              </w:rPr>
            </w:pPr>
            <w:r>
              <w:rPr>
                <w:rFonts w:hint="eastAsia"/>
                <w:color w:val="auto"/>
                <w:szCs w:val="21"/>
                <w:highlight w:val="none"/>
              </w:rPr>
              <w:t>磋商文件技术需求</w:t>
            </w:r>
          </w:p>
        </w:tc>
        <w:tc>
          <w:tcPr>
            <w:tcW w:w="2425" w:type="dxa"/>
            <w:noWrap w:val="0"/>
            <w:vAlign w:val="center"/>
          </w:tcPr>
          <w:p w14:paraId="6AA9E22A">
            <w:pPr>
              <w:snapToGrid w:val="0"/>
              <w:spacing w:before="156" w:beforeLines="50" w:after="156" w:afterLines="50" w:line="360" w:lineRule="auto"/>
              <w:jc w:val="center"/>
              <w:rPr>
                <w:b/>
                <w:color w:val="auto"/>
                <w:szCs w:val="21"/>
                <w:highlight w:val="none"/>
              </w:rPr>
            </w:pPr>
            <w:r>
              <w:rPr>
                <w:rFonts w:hint="eastAsia"/>
                <w:color w:val="auto"/>
                <w:szCs w:val="21"/>
                <w:highlight w:val="none"/>
              </w:rPr>
              <w:t>响应文件的技术参数</w:t>
            </w:r>
          </w:p>
        </w:tc>
        <w:tc>
          <w:tcPr>
            <w:tcW w:w="1744" w:type="dxa"/>
            <w:noWrap w:val="0"/>
            <w:vAlign w:val="center"/>
          </w:tcPr>
          <w:p w14:paraId="1A795AC1">
            <w:pPr>
              <w:snapToGrid w:val="0"/>
              <w:spacing w:before="156" w:beforeLines="50" w:after="156" w:afterLines="50" w:line="360" w:lineRule="auto"/>
              <w:jc w:val="center"/>
              <w:rPr>
                <w:color w:val="auto"/>
                <w:szCs w:val="21"/>
                <w:highlight w:val="none"/>
              </w:rPr>
            </w:pPr>
            <w:r>
              <w:rPr>
                <w:rFonts w:hint="eastAsia"/>
                <w:color w:val="auto"/>
                <w:szCs w:val="21"/>
                <w:highlight w:val="none"/>
              </w:rPr>
              <w:t>偏差说明</w:t>
            </w:r>
          </w:p>
        </w:tc>
      </w:tr>
      <w:tr w14:paraId="66A4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5808EAF3">
            <w:pPr>
              <w:snapToGrid w:val="0"/>
              <w:spacing w:before="312" w:beforeLines="100" w:after="312" w:afterLines="100" w:line="360" w:lineRule="auto"/>
              <w:jc w:val="center"/>
              <w:rPr>
                <w:color w:val="auto"/>
                <w:szCs w:val="21"/>
                <w:highlight w:val="none"/>
              </w:rPr>
            </w:pPr>
            <w:r>
              <w:rPr>
                <w:rFonts w:hint="eastAsia"/>
                <w:color w:val="auto"/>
                <w:szCs w:val="21"/>
                <w:highlight w:val="none"/>
              </w:rPr>
              <w:t>1</w:t>
            </w:r>
          </w:p>
        </w:tc>
        <w:tc>
          <w:tcPr>
            <w:tcW w:w="1137" w:type="dxa"/>
            <w:noWrap w:val="0"/>
            <w:vAlign w:val="center"/>
          </w:tcPr>
          <w:p w14:paraId="569AD2F2">
            <w:pPr>
              <w:spacing w:line="360" w:lineRule="auto"/>
              <w:jc w:val="center"/>
              <w:rPr>
                <w:color w:val="auto"/>
                <w:szCs w:val="21"/>
                <w:highlight w:val="none"/>
              </w:rPr>
            </w:pPr>
          </w:p>
        </w:tc>
        <w:tc>
          <w:tcPr>
            <w:tcW w:w="2509" w:type="dxa"/>
            <w:noWrap w:val="0"/>
            <w:vAlign w:val="center"/>
          </w:tcPr>
          <w:p w14:paraId="71757A23">
            <w:pPr>
              <w:spacing w:line="360" w:lineRule="auto"/>
              <w:jc w:val="center"/>
              <w:rPr>
                <w:color w:val="auto"/>
                <w:szCs w:val="21"/>
                <w:highlight w:val="none"/>
              </w:rPr>
            </w:pPr>
          </w:p>
        </w:tc>
        <w:tc>
          <w:tcPr>
            <w:tcW w:w="2425" w:type="dxa"/>
            <w:noWrap w:val="0"/>
            <w:vAlign w:val="center"/>
          </w:tcPr>
          <w:p w14:paraId="65217806">
            <w:pPr>
              <w:spacing w:line="360" w:lineRule="auto"/>
              <w:jc w:val="center"/>
              <w:rPr>
                <w:color w:val="auto"/>
                <w:szCs w:val="21"/>
                <w:highlight w:val="none"/>
              </w:rPr>
            </w:pPr>
          </w:p>
        </w:tc>
        <w:tc>
          <w:tcPr>
            <w:tcW w:w="1744" w:type="dxa"/>
            <w:noWrap w:val="0"/>
            <w:vAlign w:val="center"/>
          </w:tcPr>
          <w:p w14:paraId="1D7BB1C4">
            <w:pPr>
              <w:spacing w:line="360" w:lineRule="auto"/>
              <w:jc w:val="center"/>
              <w:rPr>
                <w:color w:val="auto"/>
                <w:szCs w:val="21"/>
                <w:highlight w:val="none"/>
              </w:rPr>
            </w:pPr>
          </w:p>
        </w:tc>
      </w:tr>
      <w:tr w14:paraId="4D338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6BEDB946">
            <w:pPr>
              <w:snapToGrid w:val="0"/>
              <w:spacing w:before="312" w:beforeLines="100" w:after="312" w:afterLines="100" w:line="360" w:lineRule="auto"/>
              <w:jc w:val="center"/>
              <w:rPr>
                <w:color w:val="auto"/>
                <w:szCs w:val="21"/>
                <w:highlight w:val="none"/>
              </w:rPr>
            </w:pPr>
            <w:r>
              <w:rPr>
                <w:rFonts w:hint="eastAsia"/>
                <w:color w:val="auto"/>
                <w:szCs w:val="21"/>
                <w:highlight w:val="none"/>
              </w:rPr>
              <w:t>2</w:t>
            </w:r>
          </w:p>
        </w:tc>
        <w:tc>
          <w:tcPr>
            <w:tcW w:w="1137" w:type="dxa"/>
            <w:noWrap w:val="0"/>
            <w:vAlign w:val="center"/>
          </w:tcPr>
          <w:p w14:paraId="74ED4D75">
            <w:pPr>
              <w:spacing w:line="360" w:lineRule="auto"/>
              <w:jc w:val="center"/>
              <w:rPr>
                <w:color w:val="auto"/>
                <w:szCs w:val="21"/>
                <w:highlight w:val="none"/>
              </w:rPr>
            </w:pPr>
          </w:p>
        </w:tc>
        <w:tc>
          <w:tcPr>
            <w:tcW w:w="2509" w:type="dxa"/>
            <w:noWrap w:val="0"/>
            <w:vAlign w:val="center"/>
          </w:tcPr>
          <w:p w14:paraId="066169C3">
            <w:pPr>
              <w:spacing w:line="360" w:lineRule="auto"/>
              <w:jc w:val="center"/>
              <w:rPr>
                <w:color w:val="auto"/>
                <w:szCs w:val="21"/>
                <w:highlight w:val="none"/>
              </w:rPr>
            </w:pPr>
          </w:p>
        </w:tc>
        <w:tc>
          <w:tcPr>
            <w:tcW w:w="2425" w:type="dxa"/>
            <w:noWrap w:val="0"/>
            <w:vAlign w:val="center"/>
          </w:tcPr>
          <w:p w14:paraId="32C58AE5">
            <w:pPr>
              <w:spacing w:line="360" w:lineRule="auto"/>
              <w:jc w:val="center"/>
              <w:rPr>
                <w:color w:val="auto"/>
                <w:szCs w:val="21"/>
                <w:highlight w:val="none"/>
              </w:rPr>
            </w:pPr>
          </w:p>
        </w:tc>
        <w:tc>
          <w:tcPr>
            <w:tcW w:w="1744" w:type="dxa"/>
            <w:noWrap w:val="0"/>
            <w:vAlign w:val="center"/>
          </w:tcPr>
          <w:p w14:paraId="35BC2ACA">
            <w:pPr>
              <w:spacing w:line="360" w:lineRule="auto"/>
              <w:jc w:val="center"/>
              <w:rPr>
                <w:color w:val="auto"/>
                <w:szCs w:val="21"/>
                <w:highlight w:val="none"/>
              </w:rPr>
            </w:pPr>
          </w:p>
        </w:tc>
      </w:tr>
      <w:tr w14:paraId="7BC5E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115933FF">
            <w:pPr>
              <w:snapToGrid w:val="0"/>
              <w:spacing w:before="312" w:beforeLines="100" w:after="312" w:afterLines="100" w:line="360" w:lineRule="auto"/>
              <w:jc w:val="center"/>
              <w:rPr>
                <w:color w:val="auto"/>
                <w:szCs w:val="21"/>
                <w:highlight w:val="none"/>
              </w:rPr>
            </w:pPr>
            <w:r>
              <w:rPr>
                <w:rFonts w:cs="Arial"/>
                <w:color w:val="auto"/>
                <w:szCs w:val="21"/>
                <w:highlight w:val="none"/>
              </w:rPr>
              <w:t>…</w:t>
            </w:r>
          </w:p>
        </w:tc>
        <w:tc>
          <w:tcPr>
            <w:tcW w:w="1137" w:type="dxa"/>
            <w:noWrap w:val="0"/>
            <w:vAlign w:val="center"/>
          </w:tcPr>
          <w:p w14:paraId="4754691E">
            <w:pPr>
              <w:spacing w:line="360" w:lineRule="auto"/>
              <w:jc w:val="center"/>
              <w:rPr>
                <w:color w:val="auto"/>
                <w:szCs w:val="21"/>
                <w:highlight w:val="none"/>
              </w:rPr>
            </w:pPr>
          </w:p>
        </w:tc>
        <w:tc>
          <w:tcPr>
            <w:tcW w:w="2509" w:type="dxa"/>
            <w:noWrap w:val="0"/>
            <w:vAlign w:val="center"/>
          </w:tcPr>
          <w:p w14:paraId="69545494">
            <w:pPr>
              <w:spacing w:line="360" w:lineRule="auto"/>
              <w:jc w:val="center"/>
              <w:rPr>
                <w:color w:val="auto"/>
                <w:szCs w:val="21"/>
                <w:highlight w:val="none"/>
              </w:rPr>
            </w:pPr>
          </w:p>
        </w:tc>
        <w:tc>
          <w:tcPr>
            <w:tcW w:w="2425" w:type="dxa"/>
            <w:noWrap w:val="0"/>
            <w:vAlign w:val="center"/>
          </w:tcPr>
          <w:p w14:paraId="172E1F3C">
            <w:pPr>
              <w:spacing w:line="360" w:lineRule="auto"/>
              <w:jc w:val="center"/>
              <w:rPr>
                <w:color w:val="auto"/>
                <w:szCs w:val="21"/>
                <w:highlight w:val="none"/>
              </w:rPr>
            </w:pPr>
          </w:p>
        </w:tc>
        <w:tc>
          <w:tcPr>
            <w:tcW w:w="1744" w:type="dxa"/>
            <w:noWrap w:val="0"/>
            <w:vAlign w:val="center"/>
          </w:tcPr>
          <w:p w14:paraId="1C926FAB">
            <w:pPr>
              <w:spacing w:line="360" w:lineRule="auto"/>
              <w:jc w:val="center"/>
              <w:rPr>
                <w:color w:val="auto"/>
                <w:szCs w:val="21"/>
                <w:highlight w:val="none"/>
              </w:rPr>
            </w:pPr>
          </w:p>
        </w:tc>
      </w:tr>
    </w:tbl>
    <w:p w14:paraId="3C86640D">
      <w:pPr>
        <w:spacing w:line="360" w:lineRule="auto"/>
        <w:rPr>
          <w:rFonts w:cs="Times New Roman"/>
          <w:bCs/>
          <w:color w:val="auto"/>
          <w:sz w:val="28"/>
          <w:szCs w:val="28"/>
          <w:highlight w:val="none"/>
        </w:rPr>
      </w:pPr>
    </w:p>
    <w:p w14:paraId="64A7AA87">
      <w:pPr>
        <w:spacing w:line="360" w:lineRule="auto"/>
        <w:jc w:val="center"/>
        <w:rPr>
          <w:rFonts w:cs="Times New Roman"/>
          <w:b/>
          <w:bCs/>
          <w:color w:val="auto"/>
          <w:sz w:val="32"/>
          <w:szCs w:val="32"/>
          <w:highlight w:val="none"/>
        </w:rPr>
      </w:pPr>
    </w:p>
    <w:p w14:paraId="6439672F">
      <w:pPr>
        <w:spacing w:line="360" w:lineRule="auto"/>
        <w:jc w:val="center"/>
        <w:rPr>
          <w:rFonts w:cs="Times New Roman"/>
          <w:b/>
          <w:bCs/>
          <w:color w:val="auto"/>
          <w:sz w:val="32"/>
          <w:szCs w:val="32"/>
          <w:highlight w:val="none"/>
        </w:rPr>
      </w:pPr>
    </w:p>
    <w:p w14:paraId="5568E365">
      <w:pPr>
        <w:spacing w:line="360" w:lineRule="auto"/>
        <w:jc w:val="center"/>
        <w:rPr>
          <w:rFonts w:cs="Times New Roman"/>
          <w:b/>
          <w:bCs/>
          <w:color w:val="auto"/>
          <w:sz w:val="32"/>
          <w:szCs w:val="32"/>
          <w:highlight w:val="none"/>
        </w:rPr>
      </w:pPr>
    </w:p>
    <w:p w14:paraId="45BFDB58">
      <w:pPr>
        <w:adjustRightInd w:val="0"/>
        <w:snapToGrid w:val="0"/>
        <w:spacing w:line="360" w:lineRule="auto"/>
        <w:ind w:firstLine="480" w:firstLineChars="200"/>
        <w:rPr>
          <w:color w:val="auto"/>
          <w:szCs w:val="21"/>
          <w:highlight w:val="none"/>
        </w:rPr>
      </w:pPr>
      <w:r>
        <w:rPr>
          <w:rFonts w:hint="eastAsia" w:cs="Times New Roman"/>
          <w:color w:val="auto"/>
          <w:sz w:val="24"/>
          <w:szCs w:val="21"/>
          <w:highlight w:val="none"/>
        </w:rPr>
        <w:t>注：</w:t>
      </w:r>
      <w:r>
        <w:rPr>
          <w:rFonts w:hint="eastAsia"/>
          <w:color w:val="auto"/>
          <w:szCs w:val="21"/>
          <w:highlight w:val="none"/>
        </w:rPr>
        <w:t>1. 供应商需按磋商文件第三章“采购需求”条款的要求逐条填写，列出所投产品或服务的具体技术指标，并辅以详细解释。除“满足”项目外，必须在偏差说明一栏中对偏差予以详细说明。</w:t>
      </w:r>
    </w:p>
    <w:p w14:paraId="10784F56">
      <w:pPr>
        <w:adjustRightInd w:val="0"/>
        <w:snapToGrid w:val="0"/>
        <w:spacing w:line="360" w:lineRule="auto"/>
        <w:ind w:firstLine="440" w:firstLineChars="200"/>
        <w:rPr>
          <w:color w:val="auto"/>
          <w:szCs w:val="21"/>
          <w:highlight w:val="none"/>
        </w:rPr>
      </w:pPr>
      <w:r>
        <w:rPr>
          <w:rFonts w:hint="eastAsia"/>
          <w:color w:val="auto"/>
          <w:szCs w:val="21"/>
          <w:highlight w:val="none"/>
        </w:rPr>
        <w:t>2. 供应商可根据其响应内容进一步细化上述表格，并可增添其它表格或说明以便进一步明确响应内容。</w:t>
      </w:r>
    </w:p>
    <w:p w14:paraId="46B85556">
      <w:pPr>
        <w:adjustRightInd w:val="0"/>
        <w:snapToGrid w:val="0"/>
        <w:spacing w:line="360" w:lineRule="auto"/>
        <w:ind w:firstLine="440" w:firstLineChars="200"/>
        <w:rPr>
          <w:rFonts w:cs="Times New Roman"/>
          <w:color w:val="auto"/>
          <w:sz w:val="24"/>
          <w:szCs w:val="21"/>
          <w:highlight w:val="none"/>
        </w:rPr>
      </w:pPr>
      <w:r>
        <w:rPr>
          <w:rFonts w:hint="eastAsia"/>
          <w:color w:val="auto"/>
          <w:szCs w:val="21"/>
          <w:highlight w:val="none"/>
        </w:rPr>
        <w:t>3.未按要求填写，可能会造成不良后果，供应商自行承担。</w:t>
      </w:r>
    </w:p>
    <w:p w14:paraId="14A2DAD2">
      <w:pPr>
        <w:spacing w:line="360" w:lineRule="auto"/>
        <w:jc w:val="center"/>
        <w:rPr>
          <w:rFonts w:cs="Times New Roman"/>
          <w:b/>
          <w:bCs/>
          <w:color w:val="auto"/>
          <w:sz w:val="32"/>
          <w:szCs w:val="32"/>
          <w:highlight w:val="none"/>
        </w:rPr>
      </w:pPr>
    </w:p>
    <w:p w14:paraId="684CFA57">
      <w:pPr>
        <w:spacing w:line="360" w:lineRule="auto"/>
        <w:jc w:val="center"/>
        <w:rPr>
          <w:rFonts w:cs="Times New Roman"/>
          <w:b/>
          <w:bCs/>
          <w:color w:val="auto"/>
          <w:sz w:val="32"/>
          <w:szCs w:val="32"/>
          <w:highlight w:val="none"/>
        </w:rPr>
      </w:pPr>
    </w:p>
    <w:p w14:paraId="2907D758">
      <w:pPr>
        <w:spacing w:after="120"/>
        <w:rPr>
          <w:rFonts w:cs="Times New Roman"/>
          <w:color w:val="auto"/>
          <w:szCs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bookmarkEnd w:id="241"/>
    <w:p w14:paraId="4E590A10">
      <w:pPr>
        <w:adjustRightInd w:val="0"/>
        <w:jc w:val="center"/>
        <w:rPr>
          <w:color w:val="auto"/>
          <w:sz w:val="24"/>
          <w:szCs w:val="24"/>
          <w:highlight w:val="none"/>
        </w:rPr>
      </w:pPr>
      <w:r>
        <w:rPr>
          <w:rFonts w:hint="eastAsia"/>
          <w:b/>
          <w:bCs/>
          <w:color w:val="auto"/>
          <w:sz w:val="32"/>
          <w:szCs w:val="32"/>
          <w:highlight w:val="none"/>
        </w:rPr>
        <w:t>三、法定代表人身份证明书</w:t>
      </w:r>
    </w:p>
    <w:p w14:paraId="0765CCA5">
      <w:pPr>
        <w:spacing w:line="440" w:lineRule="exact"/>
        <w:rPr>
          <w:rFonts w:cs="Times New Roman"/>
          <w:b/>
          <w:bCs/>
          <w:color w:val="auto"/>
          <w:szCs w:val="20"/>
          <w:highlight w:val="none"/>
        </w:rPr>
      </w:pPr>
    </w:p>
    <w:p w14:paraId="75F3BAC8">
      <w:pPr>
        <w:spacing w:line="480" w:lineRule="auto"/>
        <w:ind w:firstLine="612"/>
        <w:rPr>
          <w:rFonts w:cs="Times New Roman"/>
          <w:color w:val="auto"/>
          <w:sz w:val="28"/>
          <w:szCs w:val="28"/>
          <w:highlight w:val="none"/>
        </w:rPr>
      </w:pPr>
      <w:r>
        <w:rPr>
          <w:rFonts w:hint="eastAsia" w:cs="Times New Roman"/>
          <w:color w:val="auto"/>
          <w:sz w:val="28"/>
          <w:szCs w:val="28"/>
          <w:highlight w:val="none"/>
        </w:rPr>
        <w:t>单位名称：</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5D15DBCD">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单位性质：</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0FCA401D">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地    址：</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25015394">
      <w:pPr>
        <w:spacing w:line="480" w:lineRule="auto"/>
        <w:ind w:firstLine="610"/>
        <w:rPr>
          <w:rFonts w:cs="Times New Roman"/>
          <w:color w:val="auto"/>
          <w:sz w:val="28"/>
          <w:szCs w:val="28"/>
          <w:highlight w:val="none"/>
        </w:rPr>
      </w:pPr>
      <w:r>
        <w:rPr>
          <w:rFonts w:hint="eastAsia" w:cs="Times New Roman"/>
          <w:color w:val="auto"/>
          <w:sz w:val="28"/>
          <w:szCs w:val="28"/>
          <w:highlight w:val="none"/>
        </w:rPr>
        <w:t>成立时间：</w:t>
      </w:r>
      <w:r>
        <w:rPr>
          <w:rFonts w:hint="eastAsia" w:cs="Times New Roman"/>
          <w:color w:val="auto"/>
          <w:sz w:val="28"/>
          <w:szCs w:val="28"/>
          <w:highlight w:val="none"/>
          <w:u w:val="single"/>
        </w:rPr>
        <w:t xml:space="preserve">       </w:t>
      </w:r>
      <w:r>
        <w:rPr>
          <w:rFonts w:hint="eastAsia" w:cs="Times New Roman"/>
          <w:color w:val="auto"/>
          <w:sz w:val="28"/>
          <w:szCs w:val="28"/>
          <w:highlight w:val="none"/>
        </w:rPr>
        <w:t>年</w:t>
      </w:r>
      <w:r>
        <w:rPr>
          <w:rFonts w:hint="eastAsia" w:cs="Times New Roman"/>
          <w:color w:val="auto"/>
          <w:sz w:val="28"/>
          <w:szCs w:val="28"/>
          <w:highlight w:val="none"/>
          <w:u w:val="single"/>
        </w:rPr>
        <w:t xml:space="preserve">       </w:t>
      </w:r>
      <w:r>
        <w:rPr>
          <w:rFonts w:hint="eastAsia" w:cs="Times New Roman"/>
          <w:color w:val="auto"/>
          <w:sz w:val="28"/>
          <w:szCs w:val="28"/>
          <w:highlight w:val="none"/>
        </w:rPr>
        <w:t>月</w:t>
      </w:r>
      <w:r>
        <w:rPr>
          <w:rFonts w:hint="eastAsia" w:cs="Times New Roman"/>
          <w:color w:val="auto"/>
          <w:sz w:val="28"/>
          <w:szCs w:val="28"/>
          <w:highlight w:val="none"/>
          <w:u w:val="single"/>
        </w:rPr>
        <w:t xml:space="preserve">       </w:t>
      </w:r>
      <w:r>
        <w:rPr>
          <w:rFonts w:hint="eastAsia" w:cs="Times New Roman"/>
          <w:color w:val="auto"/>
          <w:sz w:val="28"/>
          <w:szCs w:val="28"/>
          <w:highlight w:val="none"/>
        </w:rPr>
        <w:t>日</w:t>
      </w:r>
    </w:p>
    <w:p w14:paraId="6686D80A">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经营期限：</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5A77DD31">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姓    名：</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72697106">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性    别：</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7C92406D">
      <w:pPr>
        <w:spacing w:line="480" w:lineRule="auto"/>
        <w:ind w:firstLine="610"/>
        <w:rPr>
          <w:rFonts w:cs="Times New Roman"/>
          <w:color w:val="auto"/>
          <w:sz w:val="28"/>
          <w:szCs w:val="28"/>
          <w:highlight w:val="none"/>
        </w:rPr>
      </w:pPr>
      <w:r>
        <w:rPr>
          <w:rFonts w:hint="eastAsia" w:cs="Times New Roman"/>
          <w:color w:val="auto"/>
          <w:sz w:val="28"/>
          <w:szCs w:val="28"/>
          <w:highlight w:val="none"/>
        </w:rPr>
        <w:t>年    龄：</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r>
        <w:rPr>
          <w:rFonts w:hint="eastAsia" w:cs="Times New Roman"/>
          <w:color w:val="auto"/>
          <w:sz w:val="28"/>
          <w:szCs w:val="28"/>
          <w:highlight w:val="none"/>
        </w:rPr>
        <w:t xml:space="preserve"> </w:t>
      </w:r>
    </w:p>
    <w:p w14:paraId="5CE8ECBE">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职    务：</w:t>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r>
        <w:rPr>
          <w:rFonts w:hint="eastAsia" w:cs="Times New Roman"/>
          <w:color w:val="auto"/>
          <w:sz w:val="28"/>
          <w:szCs w:val="28"/>
          <w:highlight w:val="none"/>
          <w:u w:val="single"/>
        </w:rPr>
        <w:tab/>
      </w:r>
    </w:p>
    <w:p w14:paraId="2C0A24C5">
      <w:pPr>
        <w:spacing w:line="480" w:lineRule="auto"/>
        <w:ind w:firstLine="610"/>
        <w:rPr>
          <w:rFonts w:cs="Times New Roman"/>
          <w:color w:val="auto"/>
          <w:sz w:val="28"/>
          <w:szCs w:val="28"/>
          <w:highlight w:val="none"/>
        </w:rPr>
      </w:pPr>
      <w:r>
        <w:rPr>
          <w:rFonts w:hint="eastAsia" w:cs="Times New Roman"/>
          <w:color w:val="auto"/>
          <w:sz w:val="28"/>
          <w:szCs w:val="28"/>
          <w:highlight w:val="none"/>
        </w:rPr>
        <w:t>系</w:t>
      </w:r>
      <w:r>
        <w:rPr>
          <w:rFonts w:hint="eastAsia" w:cs="Times New Roman"/>
          <w:color w:val="auto"/>
          <w:sz w:val="28"/>
          <w:szCs w:val="28"/>
          <w:highlight w:val="none"/>
          <w:u w:val="single"/>
        </w:rPr>
        <w:t xml:space="preserve">          （供应商单位名称）         </w:t>
      </w:r>
      <w:r>
        <w:rPr>
          <w:rFonts w:hint="eastAsia" w:cs="Times New Roman"/>
          <w:color w:val="auto"/>
          <w:sz w:val="28"/>
          <w:szCs w:val="28"/>
          <w:highlight w:val="none"/>
        </w:rPr>
        <w:t>的法定代表人。</w:t>
      </w:r>
    </w:p>
    <w:p w14:paraId="15EBDC92">
      <w:pPr>
        <w:spacing w:line="480" w:lineRule="auto"/>
        <w:ind w:firstLine="610"/>
        <w:rPr>
          <w:rFonts w:cs="Times New Roman"/>
          <w:color w:val="auto"/>
          <w:sz w:val="28"/>
          <w:szCs w:val="28"/>
          <w:highlight w:val="none"/>
        </w:rPr>
      </w:pPr>
    </w:p>
    <w:p w14:paraId="53525DF9">
      <w:pPr>
        <w:spacing w:line="480" w:lineRule="auto"/>
        <w:ind w:firstLine="1271" w:firstLineChars="454"/>
        <w:rPr>
          <w:rFonts w:cs="Times New Roman"/>
          <w:color w:val="auto"/>
          <w:sz w:val="28"/>
          <w:szCs w:val="28"/>
          <w:highlight w:val="none"/>
        </w:rPr>
      </w:pPr>
      <w:r>
        <w:rPr>
          <w:rFonts w:hint="eastAsia" w:cs="Times New Roman"/>
          <w:color w:val="auto"/>
          <w:sz w:val="28"/>
          <w:szCs w:val="28"/>
          <w:highlight w:val="none"/>
        </w:rPr>
        <w:t>特此证明。</w:t>
      </w:r>
    </w:p>
    <w:p w14:paraId="4FCAFD85">
      <w:pPr>
        <w:spacing w:line="480" w:lineRule="auto"/>
        <w:ind w:firstLine="5880" w:firstLineChars="2100"/>
        <w:rPr>
          <w:rFonts w:cs="Times New Roman"/>
          <w:color w:val="auto"/>
          <w:sz w:val="28"/>
          <w:szCs w:val="28"/>
          <w:highlight w:val="none"/>
        </w:rPr>
      </w:pPr>
    </w:p>
    <w:p w14:paraId="5E605A57">
      <w:pPr>
        <w:spacing w:line="480" w:lineRule="auto"/>
        <w:ind w:firstLine="5880" w:firstLineChars="2100"/>
        <w:rPr>
          <w:rFonts w:cs="Times New Roman"/>
          <w:color w:val="auto"/>
          <w:sz w:val="28"/>
          <w:szCs w:val="28"/>
          <w:highlight w:val="none"/>
        </w:rPr>
      </w:pPr>
    </w:p>
    <w:p w14:paraId="6E8D853B">
      <w:pPr>
        <w:spacing w:line="480" w:lineRule="auto"/>
        <w:ind w:firstLine="5880" w:firstLineChars="2100"/>
        <w:rPr>
          <w:rFonts w:cs="Times New Roman"/>
          <w:color w:val="auto"/>
          <w:sz w:val="28"/>
          <w:szCs w:val="28"/>
          <w:highlight w:val="none"/>
        </w:rPr>
      </w:pPr>
    </w:p>
    <w:p w14:paraId="6690877C">
      <w:pPr>
        <w:spacing w:line="480" w:lineRule="auto"/>
        <w:ind w:firstLine="3402" w:firstLineChars="1215"/>
        <w:rPr>
          <w:rFonts w:cs="Times New Roman"/>
          <w:color w:val="auto"/>
          <w:sz w:val="28"/>
          <w:szCs w:val="28"/>
          <w:highlight w:val="none"/>
          <w:u w:val="single"/>
        </w:rPr>
      </w:pPr>
      <w:r>
        <w:rPr>
          <w:rFonts w:hint="eastAsia" w:cs="Times New Roman"/>
          <w:color w:val="auto"/>
          <w:sz w:val="28"/>
          <w:szCs w:val="28"/>
          <w:highlight w:val="none"/>
        </w:rPr>
        <w:t>供应商(</w:t>
      </w:r>
      <w:r>
        <w:rPr>
          <w:rFonts w:hint="eastAsia"/>
          <w:color w:val="auto"/>
          <w:sz w:val="28"/>
          <w:szCs w:val="28"/>
          <w:highlight w:val="none"/>
        </w:rPr>
        <w:t>盖章</w:t>
      </w:r>
      <w:r>
        <w:rPr>
          <w:rFonts w:hint="eastAsia" w:cs="Times New Roman"/>
          <w:color w:val="auto"/>
          <w:sz w:val="28"/>
          <w:szCs w:val="28"/>
          <w:highlight w:val="none"/>
        </w:rPr>
        <w:t>)：</w:t>
      </w:r>
    </w:p>
    <w:p w14:paraId="3C8FD780">
      <w:pPr>
        <w:spacing w:line="480" w:lineRule="auto"/>
        <w:ind w:firstLine="3402" w:firstLineChars="1215"/>
        <w:rPr>
          <w:rFonts w:cs="Times New Roman"/>
          <w:color w:val="auto"/>
          <w:sz w:val="28"/>
          <w:szCs w:val="28"/>
          <w:highlight w:val="none"/>
        </w:rPr>
      </w:pPr>
      <w:r>
        <w:rPr>
          <w:rFonts w:hint="eastAsia" w:cs="Times New Roman"/>
          <w:color w:val="auto"/>
          <w:sz w:val="28"/>
          <w:szCs w:val="28"/>
          <w:highlight w:val="none"/>
        </w:rPr>
        <w:t>日期：</w:t>
      </w:r>
    </w:p>
    <w:p w14:paraId="491EE213">
      <w:pPr>
        <w:spacing w:line="480" w:lineRule="auto"/>
        <w:ind w:firstLine="5310" w:firstLineChars="1889"/>
        <w:rPr>
          <w:rFonts w:cs="Times New Roman"/>
          <w:b/>
          <w:bCs/>
          <w:color w:val="auto"/>
          <w:sz w:val="28"/>
          <w:szCs w:val="28"/>
          <w:highlight w:val="none"/>
        </w:rPr>
      </w:pPr>
    </w:p>
    <w:p w14:paraId="769B9434">
      <w:pPr>
        <w:spacing w:line="480" w:lineRule="auto"/>
        <w:ind w:right="480"/>
        <w:rPr>
          <w:rFonts w:cs="Times New Roman"/>
          <w:b/>
          <w:bCs/>
          <w:color w:val="auto"/>
          <w:sz w:val="24"/>
          <w:szCs w:val="24"/>
          <w:highlight w:val="none"/>
        </w:rPr>
      </w:pPr>
      <w:r>
        <w:rPr>
          <w:rFonts w:hint="eastAsia" w:cs="Times New Roman"/>
          <w:b/>
          <w:bCs/>
          <w:color w:val="auto"/>
          <w:sz w:val="28"/>
          <w:szCs w:val="28"/>
          <w:highlight w:val="none"/>
        </w:rPr>
        <w:t>（后附法定代表人身份证正反面原件扫描件加盖电子签章）</w:t>
      </w:r>
    </w:p>
    <w:p w14:paraId="3B71BD5F">
      <w:pPr>
        <w:jc w:val="center"/>
        <w:rPr>
          <w:rFonts w:cs="Times New Roman"/>
          <w:color w:val="auto"/>
          <w:sz w:val="28"/>
          <w:szCs w:val="28"/>
          <w:highlight w:val="none"/>
        </w:rPr>
      </w:pPr>
      <w:bookmarkStart w:id="247" w:name="_Toc169921411"/>
      <w:bookmarkEnd w:id="247"/>
      <w:bookmarkStart w:id="248" w:name="_Toc223432391"/>
      <w:bookmarkEnd w:id="248"/>
      <w:bookmarkStart w:id="249" w:name="_Toc171073046"/>
      <w:bookmarkEnd w:id="249"/>
      <w:r>
        <w:rPr>
          <w:rFonts w:hint="eastAsia" w:cs="Times New Roman"/>
          <w:b/>
          <w:bCs/>
          <w:color w:val="auto"/>
          <w:sz w:val="32"/>
          <w:szCs w:val="32"/>
          <w:highlight w:val="none"/>
        </w:rPr>
        <w:br w:type="page"/>
      </w:r>
      <w:r>
        <w:rPr>
          <w:rFonts w:hint="eastAsia" w:cs="Times New Roman"/>
          <w:b/>
          <w:bCs/>
          <w:color w:val="auto"/>
          <w:sz w:val="32"/>
          <w:szCs w:val="32"/>
          <w:highlight w:val="none"/>
        </w:rPr>
        <w:t>四、授权委托书</w:t>
      </w:r>
    </w:p>
    <w:p w14:paraId="6F28E0CE">
      <w:pPr>
        <w:spacing w:line="360" w:lineRule="auto"/>
        <w:ind w:firstLine="585" w:firstLineChars="209"/>
        <w:rPr>
          <w:rFonts w:cs="Times New Roman"/>
          <w:color w:val="auto"/>
          <w:sz w:val="28"/>
          <w:szCs w:val="28"/>
          <w:highlight w:val="none"/>
        </w:rPr>
      </w:pPr>
      <w:r>
        <w:rPr>
          <w:rFonts w:hint="eastAsia" w:cs="Times New Roman"/>
          <w:color w:val="auto"/>
          <w:sz w:val="28"/>
          <w:szCs w:val="28"/>
          <w:highlight w:val="none"/>
        </w:rPr>
        <w:t>本人（姓名）系（供应商名称）的法定代表人，现委托</w:t>
      </w:r>
      <w:r>
        <w:rPr>
          <w:rFonts w:hint="eastAsia" w:cs="Times New Roman"/>
          <w:color w:val="auto"/>
          <w:sz w:val="28"/>
          <w:szCs w:val="28"/>
          <w:highlight w:val="none"/>
          <w:u w:val="single"/>
        </w:rPr>
        <w:t xml:space="preserve">         （姓名）</w:t>
      </w:r>
      <w:r>
        <w:rPr>
          <w:rFonts w:hint="eastAsia" w:cs="Times New Roman"/>
          <w:color w:val="auto"/>
          <w:sz w:val="28"/>
          <w:szCs w:val="28"/>
          <w:highlight w:val="none"/>
        </w:rPr>
        <w:t>为我方代理人。代理人根据授权，以我方名义签署、澄清、说明、补正、递交、撤回、修改</w:t>
      </w:r>
      <w:r>
        <w:rPr>
          <w:rFonts w:hint="eastAsia" w:cs="Times New Roman"/>
          <w:color w:val="auto"/>
          <w:sz w:val="28"/>
          <w:szCs w:val="28"/>
          <w:highlight w:val="none"/>
          <w:u w:val="single"/>
        </w:rPr>
        <w:t xml:space="preserve">                          （项目名称）</w:t>
      </w:r>
      <w:r>
        <w:rPr>
          <w:rFonts w:hint="eastAsia" w:cs="Times New Roman"/>
          <w:color w:val="auto"/>
          <w:sz w:val="28"/>
          <w:szCs w:val="28"/>
          <w:highlight w:val="none"/>
        </w:rPr>
        <w:t>响应文件、签订合同和处理有关事宜，其法律后果由我方承担。</w:t>
      </w:r>
    </w:p>
    <w:p w14:paraId="36310CE1">
      <w:pPr>
        <w:spacing w:line="360" w:lineRule="auto"/>
        <w:ind w:firstLine="560" w:firstLineChars="200"/>
        <w:rPr>
          <w:rFonts w:cs="Times New Roman"/>
          <w:color w:val="auto"/>
          <w:sz w:val="28"/>
          <w:szCs w:val="28"/>
          <w:highlight w:val="none"/>
          <w:u w:val="single"/>
        </w:rPr>
      </w:pPr>
      <w:r>
        <w:rPr>
          <w:rFonts w:hint="eastAsia" w:cs="Times New Roman"/>
          <w:color w:val="auto"/>
          <w:sz w:val="28"/>
          <w:szCs w:val="28"/>
          <w:highlight w:val="none"/>
        </w:rPr>
        <w:t>委托期限：</w:t>
      </w:r>
      <w:r>
        <w:rPr>
          <w:rFonts w:hint="eastAsia" w:cs="Times New Roman"/>
          <w:color w:val="auto"/>
          <w:sz w:val="28"/>
          <w:szCs w:val="28"/>
          <w:highlight w:val="none"/>
          <w:u w:val="single"/>
        </w:rPr>
        <w:t xml:space="preserve"> 至本项目结束 </w:t>
      </w:r>
    </w:p>
    <w:p w14:paraId="242E06DE">
      <w:pPr>
        <w:spacing w:line="360" w:lineRule="auto"/>
        <w:ind w:firstLine="957" w:firstLineChars="342"/>
        <w:rPr>
          <w:rFonts w:cs="Times New Roman"/>
          <w:color w:val="auto"/>
          <w:sz w:val="28"/>
          <w:szCs w:val="28"/>
          <w:highlight w:val="none"/>
        </w:rPr>
      </w:pPr>
      <w:r>
        <w:rPr>
          <w:rFonts w:hint="eastAsia" w:cs="Times New Roman"/>
          <w:color w:val="auto"/>
          <w:sz w:val="28"/>
          <w:szCs w:val="28"/>
          <w:highlight w:val="none"/>
        </w:rPr>
        <w:t>代理人无转委托权。</w:t>
      </w:r>
    </w:p>
    <w:p w14:paraId="3F188D98">
      <w:pPr>
        <w:spacing w:line="360" w:lineRule="auto"/>
        <w:ind w:firstLine="957" w:firstLineChars="342"/>
        <w:rPr>
          <w:rFonts w:cs="Times New Roman"/>
          <w:color w:val="auto"/>
          <w:sz w:val="28"/>
          <w:szCs w:val="28"/>
          <w:highlight w:val="none"/>
        </w:rPr>
      </w:pPr>
    </w:p>
    <w:p w14:paraId="7128AF69">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供应商：（</w:t>
      </w:r>
      <w:r>
        <w:rPr>
          <w:rFonts w:hint="eastAsia"/>
          <w:color w:val="auto"/>
          <w:sz w:val="28"/>
          <w:szCs w:val="28"/>
          <w:highlight w:val="none"/>
        </w:rPr>
        <w:t>盖章</w:t>
      </w:r>
      <w:r>
        <w:rPr>
          <w:rFonts w:hint="eastAsia" w:cs="Times New Roman"/>
          <w:color w:val="auto"/>
          <w:sz w:val="28"/>
          <w:szCs w:val="28"/>
          <w:highlight w:val="none"/>
        </w:rPr>
        <w:t>）</w:t>
      </w:r>
    </w:p>
    <w:p w14:paraId="2AF057E2">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法定代表人：（签字或盖章）</w:t>
      </w:r>
    </w:p>
    <w:p w14:paraId="28F0887B">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身份证号码：</w:t>
      </w:r>
    </w:p>
    <w:p w14:paraId="12821ECF">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委托人身份证号码：</w:t>
      </w:r>
    </w:p>
    <w:p w14:paraId="3320BE06">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日期：</w:t>
      </w:r>
    </w:p>
    <w:p w14:paraId="297B4B00">
      <w:pPr>
        <w:spacing w:line="360" w:lineRule="auto"/>
        <w:ind w:firstLine="4799" w:firstLineChars="1714"/>
        <w:rPr>
          <w:rFonts w:cs="Times New Roman"/>
          <w:color w:val="auto"/>
          <w:sz w:val="28"/>
          <w:szCs w:val="28"/>
          <w:highlight w:val="none"/>
        </w:rPr>
      </w:pPr>
    </w:p>
    <w:p w14:paraId="55F2AE8C">
      <w:pPr>
        <w:spacing w:line="360" w:lineRule="auto"/>
        <w:rPr>
          <w:rFonts w:cs="Times New Roman"/>
          <w:color w:val="auto"/>
          <w:sz w:val="28"/>
          <w:szCs w:val="28"/>
          <w:highlight w:val="none"/>
        </w:rPr>
      </w:pPr>
      <w:r>
        <w:rPr>
          <w:rFonts w:hint="eastAsia" w:cs="Times New Roman"/>
          <w:b/>
          <w:bCs/>
          <w:color w:val="auto"/>
          <w:sz w:val="28"/>
          <w:szCs w:val="28"/>
          <w:highlight w:val="none"/>
        </w:rPr>
        <w:t>（后附附委托代理人身份证正反面原件扫描件加盖电子签章）</w:t>
      </w:r>
    </w:p>
    <w:p w14:paraId="57E973E1">
      <w:pPr>
        <w:spacing w:line="360" w:lineRule="auto"/>
        <w:rPr>
          <w:rFonts w:cs="Times New Roman"/>
          <w:b/>
          <w:color w:val="auto"/>
          <w:szCs w:val="24"/>
          <w:highlight w:val="none"/>
        </w:rPr>
      </w:pPr>
    </w:p>
    <w:p w14:paraId="461ED04F">
      <w:pPr>
        <w:keepNext/>
        <w:keepLines/>
        <w:spacing w:line="440" w:lineRule="exact"/>
        <w:jc w:val="center"/>
        <w:outlineLvl w:val="1"/>
        <w:rPr>
          <w:rFonts w:cs="Times New Roman"/>
          <w:b/>
          <w:bCs/>
          <w:color w:val="auto"/>
          <w:sz w:val="32"/>
          <w:szCs w:val="32"/>
          <w:highlight w:val="none"/>
        </w:rPr>
      </w:pPr>
      <w:r>
        <w:rPr>
          <w:rFonts w:hint="eastAsia" w:cs="Times New Roman"/>
          <w:b/>
          <w:bCs/>
          <w:color w:val="auto"/>
          <w:sz w:val="32"/>
          <w:szCs w:val="24"/>
          <w:highlight w:val="none"/>
        </w:rPr>
        <w:br w:type="page"/>
      </w:r>
      <w:r>
        <w:rPr>
          <w:rFonts w:hint="eastAsia" w:cs="Times New Roman"/>
          <w:b/>
          <w:bCs/>
          <w:color w:val="auto"/>
          <w:sz w:val="32"/>
          <w:szCs w:val="32"/>
          <w:highlight w:val="none"/>
        </w:rPr>
        <w:t>五、投标承诺函</w:t>
      </w:r>
    </w:p>
    <w:p w14:paraId="280C7E0C">
      <w:pPr>
        <w:spacing w:line="360" w:lineRule="auto"/>
        <w:rPr>
          <w:rFonts w:cs="Times New Roman"/>
          <w:bCs/>
          <w:color w:val="auto"/>
          <w:sz w:val="28"/>
          <w:szCs w:val="28"/>
          <w:highlight w:val="none"/>
        </w:rPr>
      </w:pPr>
      <w:r>
        <w:rPr>
          <w:rFonts w:hint="eastAsia" w:cs="Times New Roman"/>
          <w:b/>
          <w:bCs/>
          <w:color w:val="auto"/>
          <w:sz w:val="28"/>
          <w:szCs w:val="28"/>
          <w:highlight w:val="none"/>
        </w:rPr>
        <w:t>致：</w:t>
      </w:r>
      <w:r>
        <w:rPr>
          <w:rFonts w:hint="eastAsia" w:cs="Times New Roman"/>
          <w:b/>
          <w:bCs/>
          <w:color w:val="auto"/>
          <w:sz w:val="28"/>
          <w:szCs w:val="28"/>
          <w:highlight w:val="none"/>
          <w:u w:val="single"/>
        </w:rPr>
        <w:t xml:space="preserve">                  </w:t>
      </w:r>
      <w:r>
        <w:rPr>
          <w:rFonts w:hint="eastAsia"/>
          <w:color w:val="auto"/>
          <w:sz w:val="28"/>
          <w:szCs w:val="28"/>
          <w:highlight w:val="none"/>
        </w:rPr>
        <w:t xml:space="preserve"> （采购人）</w:t>
      </w:r>
    </w:p>
    <w:p w14:paraId="01A912A2">
      <w:pPr>
        <w:adjustRightInd w:val="0"/>
        <w:spacing w:line="500" w:lineRule="exact"/>
        <w:ind w:firstLine="658" w:firstLineChars="235"/>
        <w:rPr>
          <w:color w:val="auto"/>
          <w:sz w:val="28"/>
          <w:szCs w:val="28"/>
          <w:highlight w:val="none"/>
        </w:rPr>
      </w:pPr>
      <w:r>
        <w:rPr>
          <w:rFonts w:hint="eastAsia"/>
          <w:color w:val="auto"/>
          <w:sz w:val="28"/>
          <w:szCs w:val="28"/>
          <w:highlight w:val="none"/>
        </w:rPr>
        <w:t>我方已充分了解了</w:t>
      </w:r>
      <w:r>
        <w:rPr>
          <w:rFonts w:hint="eastAsia"/>
          <w:color w:val="auto"/>
          <w:sz w:val="28"/>
          <w:szCs w:val="28"/>
          <w:highlight w:val="none"/>
          <w:u w:val="single"/>
        </w:rPr>
        <w:t xml:space="preserve">          （</w:t>
      </w:r>
      <w:r>
        <w:rPr>
          <w:rFonts w:hint="eastAsia"/>
          <w:color w:val="auto"/>
          <w:sz w:val="28"/>
          <w:szCs w:val="28"/>
          <w:highlight w:val="none"/>
        </w:rPr>
        <w:t>项目名称）的竞争性磋商文件，愿意遵照本项目《竞争性磋商文件》、《中华人民共和国政府采购法》等有关规定参与竞标，并承诺如下：</w:t>
      </w:r>
    </w:p>
    <w:p w14:paraId="4C684FEE">
      <w:pPr>
        <w:adjustRightInd w:val="0"/>
        <w:spacing w:line="500" w:lineRule="exact"/>
        <w:ind w:firstLine="658" w:firstLineChars="235"/>
        <w:rPr>
          <w:color w:val="auto"/>
          <w:sz w:val="28"/>
          <w:szCs w:val="28"/>
          <w:highlight w:val="none"/>
        </w:rPr>
      </w:pPr>
      <w:r>
        <w:rPr>
          <w:rFonts w:hint="eastAsia"/>
          <w:color w:val="auto"/>
          <w:sz w:val="28"/>
          <w:szCs w:val="28"/>
          <w:highlight w:val="none"/>
        </w:rPr>
        <w:t>1、我方承诺将严格按照“公开、公平、公正和诚实信用原则”参与本项目竞标活动。</w:t>
      </w:r>
    </w:p>
    <w:p w14:paraId="3B03EFA6">
      <w:pPr>
        <w:adjustRightInd w:val="0"/>
        <w:spacing w:line="500" w:lineRule="exact"/>
        <w:ind w:firstLine="658" w:firstLineChars="235"/>
        <w:rPr>
          <w:color w:val="auto"/>
          <w:sz w:val="28"/>
          <w:szCs w:val="28"/>
          <w:highlight w:val="none"/>
        </w:rPr>
      </w:pPr>
      <w:r>
        <w:rPr>
          <w:rFonts w:hint="eastAsia"/>
          <w:color w:val="auto"/>
          <w:sz w:val="28"/>
          <w:szCs w:val="28"/>
          <w:highlight w:val="none"/>
        </w:rPr>
        <w:t>2、我方承诺在投标有效期内不撤销响应性文件；</w:t>
      </w:r>
    </w:p>
    <w:p w14:paraId="797B3B62">
      <w:pPr>
        <w:adjustRightInd w:val="0"/>
        <w:spacing w:line="500" w:lineRule="exact"/>
        <w:ind w:firstLine="658" w:firstLineChars="235"/>
        <w:rPr>
          <w:color w:val="auto"/>
          <w:sz w:val="28"/>
          <w:szCs w:val="28"/>
          <w:highlight w:val="none"/>
        </w:rPr>
      </w:pPr>
      <w:r>
        <w:rPr>
          <w:rFonts w:hint="eastAsia"/>
          <w:color w:val="auto"/>
          <w:sz w:val="28"/>
          <w:szCs w:val="28"/>
          <w:highlight w:val="none"/>
        </w:rPr>
        <w:t>3、我方承诺绝不与采购人、其他投标供应商或者代理机构恶意串通的投标；</w:t>
      </w:r>
    </w:p>
    <w:p w14:paraId="6DC0946A">
      <w:pPr>
        <w:adjustRightInd w:val="0"/>
        <w:spacing w:line="500" w:lineRule="exact"/>
        <w:ind w:firstLine="658" w:firstLineChars="235"/>
        <w:rPr>
          <w:color w:val="auto"/>
          <w:sz w:val="28"/>
          <w:szCs w:val="28"/>
          <w:highlight w:val="none"/>
        </w:rPr>
      </w:pPr>
      <w:r>
        <w:rPr>
          <w:rFonts w:hint="eastAsia"/>
          <w:color w:val="auto"/>
          <w:sz w:val="28"/>
          <w:szCs w:val="28"/>
          <w:highlight w:val="none"/>
        </w:rPr>
        <w:t>4、我方承诺绝不以他人的名义投标、串通投标、以行贿手段谋取中标或者以其他弄虚作假方式投标；</w:t>
      </w:r>
    </w:p>
    <w:p w14:paraId="1037AB90">
      <w:pPr>
        <w:adjustRightInd w:val="0"/>
        <w:spacing w:line="500" w:lineRule="exact"/>
        <w:ind w:firstLine="658" w:firstLineChars="235"/>
        <w:rPr>
          <w:color w:val="auto"/>
          <w:sz w:val="28"/>
          <w:szCs w:val="28"/>
          <w:highlight w:val="none"/>
        </w:rPr>
      </w:pPr>
      <w:r>
        <w:rPr>
          <w:rFonts w:hint="eastAsia"/>
          <w:color w:val="auto"/>
          <w:sz w:val="28"/>
          <w:szCs w:val="28"/>
          <w:highlight w:val="none"/>
        </w:rPr>
        <w:t>5、我方承诺绝不采取不正当手段谋取中标；</w:t>
      </w:r>
    </w:p>
    <w:p w14:paraId="61C8D2F4">
      <w:pPr>
        <w:adjustRightInd w:val="0"/>
        <w:spacing w:line="500" w:lineRule="exact"/>
        <w:ind w:firstLine="658" w:firstLineChars="235"/>
        <w:rPr>
          <w:color w:val="auto"/>
          <w:sz w:val="28"/>
          <w:szCs w:val="28"/>
          <w:highlight w:val="none"/>
        </w:rPr>
      </w:pPr>
      <w:r>
        <w:rPr>
          <w:rFonts w:hint="eastAsia"/>
          <w:color w:val="auto"/>
          <w:sz w:val="28"/>
          <w:szCs w:val="28"/>
          <w:highlight w:val="none"/>
        </w:rPr>
        <w:t>6、如我方中标，我方承诺在收到成交通知书后，在成交通知书规定的期限内，根据竞争性磋商文件、我方的谈判响应文件及有关澄清承诺书的要求，与采购人订立书面合同，并按照合同约定承担完成合同的责任和义务；</w:t>
      </w:r>
    </w:p>
    <w:p w14:paraId="59CA9F17">
      <w:pPr>
        <w:adjustRightInd w:val="0"/>
        <w:spacing w:line="500" w:lineRule="exact"/>
        <w:ind w:firstLine="658" w:firstLineChars="235"/>
        <w:rPr>
          <w:color w:val="auto"/>
          <w:sz w:val="28"/>
          <w:szCs w:val="28"/>
          <w:highlight w:val="none"/>
        </w:rPr>
      </w:pPr>
      <w:r>
        <w:rPr>
          <w:rFonts w:hint="eastAsia"/>
          <w:color w:val="auto"/>
          <w:sz w:val="28"/>
          <w:szCs w:val="28"/>
          <w:highlight w:val="none"/>
        </w:rPr>
        <w:t>7、如我方违反此约定，愿意承担对本项目造成的一切经济损失，并同时依法承担相应法律责任。</w:t>
      </w:r>
    </w:p>
    <w:p w14:paraId="67432984">
      <w:pPr>
        <w:adjustRightInd w:val="0"/>
        <w:spacing w:line="500" w:lineRule="exact"/>
        <w:ind w:firstLine="658" w:firstLineChars="235"/>
        <w:rPr>
          <w:color w:val="auto"/>
          <w:sz w:val="28"/>
          <w:szCs w:val="28"/>
          <w:highlight w:val="none"/>
        </w:rPr>
      </w:pPr>
    </w:p>
    <w:p w14:paraId="015F6B77">
      <w:pPr>
        <w:spacing w:line="400" w:lineRule="exact"/>
        <w:rPr>
          <w:color w:val="auto"/>
          <w:sz w:val="28"/>
          <w:szCs w:val="28"/>
          <w:highlight w:val="none"/>
        </w:rPr>
      </w:pPr>
      <w:r>
        <w:rPr>
          <w:rFonts w:hint="eastAsia"/>
          <w:color w:val="auto"/>
          <w:sz w:val="28"/>
          <w:szCs w:val="28"/>
          <w:highlight w:val="none"/>
        </w:rPr>
        <w:t>供应商：</w:t>
      </w:r>
      <w:r>
        <w:rPr>
          <w:rFonts w:hint="eastAsia"/>
          <w:color w:val="auto"/>
          <w:sz w:val="28"/>
          <w:szCs w:val="28"/>
          <w:highlight w:val="none"/>
          <w:lang w:val="en-US"/>
        </w:rPr>
        <w:t xml:space="preserve">           </w:t>
      </w:r>
      <w:r>
        <w:rPr>
          <w:rFonts w:hint="eastAsia"/>
          <w:color w:val="auto"/>
          <w:sz w:val="28"/>
          <w:szCs w:val="28"/>
          <w:highlight w:val="none"/>
        </w:rPr>
        <w:t xml:space="preserve">（盖章） </w:t>
      </w:r>
    </w:p>
    <w:p w14:paraId="48AC747F">
      <w:pPr>
        <w:spacing w:line="400" w:lineRule="exact"/>
        <w:ind w:right="480"/>
        <w:rPr>
          <w:rFonts w:hint="eastAsia"/>
          <w:color w:val="auto"/>
          <w:sz w:val="28"/>
          <w:szCs w:val="28"/>
          <w:highlight w:val="none"/>
        </w:rPr>
      </w:pPr>
    </w:p>
    <w:p w14:paraId="48D7E2EB">
      <w:pPr>
        <w:spacing w:line="400" w:lineRule="exact"/>
        <w:ind w:right="480"/>
        <w:rPr>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lang w:val="en-US"/>
        </w:rPr>
        <w:t xml:space="preserve">          </w:t>
      </w:r>
      <w:r>
        <w:rPr>
          <w:rFonts w:hint="eastAsia"/>
          <w:color w:val="auto"/>
          <w:sz w:val="28"/>
          <w:szCs w:val="28"/>
          <w:highlight w:val="none"/>
        </w:rPr>
        <w:t>（签字或盖章）</w:t>
      </w:r>
    </w:p>
    <w:p w14:paraId="408A3F6B">
      <w:pPr>
        <w:spacing w:line="500" w:lineRule="exact"/>
        <w:rPr>
          <w:rFonts w:hint="eastAsia"/>
          <w:iCs/>
          <w:color w:val="auto"/>
          <w:sz w:val="28"/>
          <w:szCs w:val="28"/>
          <w:highlight w:val="none"/>
        </w:rPr>
      </w:pPr>
    </w:p>
    <w:p w14:paraId="5D4D9F20">
      <w:pPr>
        <w:spacing w:line="500" w:lineRule="exact"/>
        <w:rPr>
          <w:rFonts w:cs="Times New Roman"/>
          <w:bCs/>
          <w:color w:val="auto"/>
          <w:sz w:val="28"/>
          <w:szCs w:val="28"/>
          <w:highlight w:val="none"/>
        </w:rPr>
      </w:pPr>
      <w:r>
        <w:rPr>
          <w:rFonts w:hint="eastAsia"/>
          <w:iCs/>
          <w:color w:val="auto"/>
          <w:sz w:val="28"/>
          <w:szCs w:val="28"/>
          <w:highlight w:val="none"/>
        </w:rPr>
        <w:t>日期：</w:t>
      </w:r>
    </w:p>
    <w:p w14:paraId="0DF40775">
      <w:pPr>
        <w:spacing w:line="500" w:lineRule="exact"/>
        <w:rPr>
          <w:rFonts w:cs="Times New Roman"/>
          <w:b/>
          <w:bCs/>
          <w:color w:val="auto"/>
          <w:sz w:val="32"/>
          <w:szCs w:val="32"/>
          <w:highlight w:val="none"/>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02D825EB">
      <w:pPr>
        <w:spacing w:after="120"/>
        <w:jc w:val="center"/>
        <w:rPr>
          <w:rFonts w:cs="Times New Roman"/>
          <w:b/>
          <w:bCs/>
          <w:color w:val="auto"/>
          <w:sz w:val="32"/>
          <w:szCs w:val="32"/>
          <w:highlight w:val="none"/>
        </w:rPr>
      </w:pPr>
      <w:r>
        <w:rPr>
          <w:rFonts w:hint="eastAsia" w:cs="Times New Roman"/>
          <w:b/>
          <w:bCs/>
          <w:color w:val="auto"/>
          <w:sz w:val="32"/>
          <w:szCs w:val="32"/>
          <w:highlight w:val="none"/>
        </w:rPr>
        <w:t>六、投标供应商情况</w:t>
      </w:r>
    </w:p>
    <w:p w14:paraId="471C5D79">
      <w:pPr>
        <w:spacing w:after="120"/>
        <w:jc w:val="center"/>
        <w:rPr>
          <w:rFonts w:cs="Times New Roman"/>
          <w:b/>
          <w:bCs/>
          <w:color w:val="auto"/>
          <w:sz w:val="24"/>
          <w:szCs w:val="32"/>
          <w:highlight w:val="none"/>
        </w:rPr>
      </w:pPr>
      <w:r>
        <w:rPr>
          <w:rFonts w:hint="eastAsia" w:cs="Times New Roman"/>
          <w:b/>
          <w:bCs/>
          <w:color w:val="auto"/>
          <w:sz w:val="24"/>
          <w:szCs w:val="32"/>
          <w:highlight w:val="none"/>
        </w:rPr>
        <w:t>1、基本情况表</w:t>
      </w:r>
    </w:p>
    <w:tbl>
      <w:tblPr>
        <w:tblStyle w:val="15"/>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960"/>
        <w:gridCol w:w="2518"/>
        <w:gridCol w:w="1517"/>
        <w:gridCol w:w="2545"/>
      </w:tblGrid>
      <w:tr w14:paraId="2393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67" w:type="dxa"/>
            <w:noWrap w:val="0"/>
            <w:vAlign w:val="center"/>
          </w:tcPr>
          <w:p w14:paraId="014983FD">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投标供应商名称</w:t>
            </w:r>
          </w:p>
        </w:tc>
        <w:tc>
          <w:tcPr>
            <w:tcW w:w="7540" w:type="dxa"/>
            <w:gridSpan w:val="4"/>
            <w:noWrap w:val="0"/>
            <w:vAlign w:val="center"/>
          </w:tcPr>
          <w:p w14:paraId="0E6E4C4A">
            <w:pPr>
              <w:spacing w:line="360" w:lineRule="auto"/>
              <w:jc w:val="center"/>
              <w:rPr>
                <w:rFonts w:cs="Times New Roman"/>
                <w:bCs/>
                <w:color w:val="auto"/>
                <w:sz w:val="28"/>
                <w:szCs w:val="28"/>
                <w:highlight w:val="none"/>
              </w:rPr>
            </w:pPr>
          </w:p>
        </w:tc>
      </w:tr>
      <w:tr w14:paraId="5132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67" w:type="dxa"/>
            <w:noWrap w:val="0"/>
            <w:vAlign w:val="center"/>
          </w:tcPr>
          <w:p w14:paraId="64A0E7CE">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注册地址</w:t>
            </w:r>
          </w:p>
        </w:tc>
        <w:tc>
          <w:tcPr>
            <w:tcW w:w="3478" w:type="dxa"/>
            <w:gridSpan w:val="2"/>
            <w:noWrap w:val="0"/>
            <w:vAlign w:val="center"/>
          </w:tcPr>
          <w:p w14:paraId="00932B0D">
            <w:pPr>
              <w:spacing w:line="360" w:lineRule="auto"/>
              <w:jc w:val="center"/>
              <w:rPr>
                <w:rFonts w:cs="Times New Roman"/>
                <w:bCs/>
                <w:color w:val="auto"/>
                <w:sz w:val="28"/>
                <w:szCs w:val="28"/>
                <w:highlight w:val="none"/>
              </w:rPr>
            </w:pPr>
          </w:p>
        </w:tc>
        <w:tc>
          <w:tcPr>
            <w:tcW w:w="1517" w:type="dxa"/>
            <w:noWrap w:val="0"/>
            <w:vAlign w:val="center"/>
          </w:tcPr>
          <w:p w14:paraId="0A0BCA28">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注册时间</w:t>
            </w:r>
          </w:p>
        </w:tc>
        <w:tc>
          <w:tcPr>
            <w:tcW w:w="2545" w:type="dxa"/>
            <w:noWrap w:val="0"/>
            <w:vAlign w:val="center"/>
          </w:tcPr>
          <w:p w14:paraId="2F465FEF">
            <w:pPr>
              <w:spacing w:line="360" w:lineRule="auto"/>
              <w:jc w:val="center"/>
              <w:rPr>
                <w:rFonts w:cs="Times New Roman"/>
                <w:bCs/>
                <w:color w:val="auto"/>
                <w:sz w:val="28"/>
                <w:szCs w:val="28"/>
                <w:highlight w:val="none"/>
              </w:rPr>
            </w:pPr>
          </w:p>
        </w:tc>
      </w:tr>
      <w:tr w14:paraId="42C8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noWrap w:val="0"/>
            <w:vAlign w:val="center"/>
          </w:tcPr>
          <w:p w14:paraId="2C99F14D">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法定代表人</w:t>
            </w:r>
          </w:p>
        </w:tc>
        <w:tc>
          <w:tcPr>
            <w:tcW w:w="960" w:type="dxa"/>
            <w:noWrap w:val="0"/>
            <w:vAlign w:val="center"/>
          </w:tcPr>
          <w:p w14:paraId="22BBD186">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姓名</w:t>
            </w:r>
          </w:p>
        </w:tc>
        <w:tc>
          <w:tcPr>
            <w:tcW w:w="2518" w:type="dxa"/>
            <w:noWrap w:val="0"/>
            <w:vAlign w:val="center"/>
          </w:tcPr>
          <w:p w14:paraId="3550D710">
            <w:pPr>
              <w:spacing w:line="360" w:lineRule="auto"/>
              <w:jc w:val="center"/>
              <w:rPr>
                <w:rFonts w:cs="Times New Roman"/>
                <w:bCs/>
                <w:color w:val="auto"/>
                <w:sz w:val="28"/>
                <w:szCs w:val="28"/>
                <w:highlight w:val="none"/>
              </w:rPr>
            </w:pPr>
          </w:p>
        </w:tc>
        <w:tc>
          <w:tcPr>
            <w:tcW w:w="1517" w:type="dxa"/>
            <w:noWrap w:val="0"/>
            <w:vAlign w:val="center"/>
          </w:tcPr>
          <w:p w14:paraId="55889C1A">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电话</w:t>
            </w:r>
          </w:p>
        </w:tc>
        <w:tc>
          <w:tcPr>
            <w:tcW w:w="2545" w:type="dxa"/>
            <w:noWrap w:val="0"/>
            <w:vAlign w:val="center"/>
          </w:tcPr>
          <w:p w14:paraId="2DC8E690">
            <w:pPr>
              <w:spacing w:line="360" w:lineRule="auto"/>
              <w:jc w:val="center"/>
              <w:rPr>
                <w:rFonts w:cs="Times New Roman"/>
                <w:bCs/>
                <w:color w:val="auto"/>
                <w:sz w:val="28"/>
                <w:szCs w:val="28"/>
                <w:highlight w:val="none"/>
              </w:rPr>
            </w:pPr>
          </w:p>
        </w:tc>
      </w:tr>
      <w:tr w14:paraId="7A39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noWrap w:val="0"/>
            <w:vAlign w:val="center"/>
          </w:tcPr>
          <w:p w14:paraId="6092C2FE">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项目负责人</w:t>
            </w:r>
          </w:p>
        </w:tc>
        <w:tc>
          <w:tcPr>
            <w:tcW w:w="960" w:type="dxa"/>
            <w:noWrap w:val="0"/>
            <w:vAlign w:val="center"/>
          </w:tcPr>
          <w:p w14:paraId="5583EFF6">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姓名</w:t>
            </w:r>
          </w:p>
        </w:tc>
        <w:tc>
          <w:tcPr>
            <w:tcW w:w="2518" w:type="dxa"/>
            <w:noWrap w:val="0"/>
            <w:vAlign w:val="center"/>
          </w:tcPr>
          <w:p w14:paraId="5A672BCC">
            <w:pPr>
              <w:spacing w:line="360" w:lineRule="auto"/>
              <w:jc w:val="center"/>
              <w:rPr>
                <w:rFonts w:cs="Times New Roman"/>
                <w:bCs/>
                <w:color w:val="auto"/>
                <w:sz w:val="28"/>
                <w:szCs w:val="28"/>
                <w:highlight w:val="none"/>
              </w:rPr>
            </w:pPr>
          </w:p>
        </w:tc>
        <w:tc>
          <w:tcPr>
            <w:tcW w:w="1517" w:type="dxa"/>
            <w:noWrap w:val="0"/>
            <w:vAlign w:val="center"/>
          </w:tcPr>
          <w:p w14:paraId="6EB5EE2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电话</w:t>
            </w:r>
          </w:p>
        </w:tc>
        <w:tc>
          <w:tcPr>
            <w:tcW w:w="2545" w:type="dxa"/>
            <w:noWrap w:val="0"/>
            <w:vAlign w:val="center"/>
          </w:tcPr>
          <w:p w14:paraId="2A3746EE">
            <w:pPr>
              <w:spacing w:line="360" w:lineRule="auto"/>
              <w:jc w:val="center"/>
              <w:rPr>
                <w:rFonts w:cs="Times New Roman"/>
                <w:bCs/>
                <w:color w:val="auto"/>
                <w:sz w:val="28"/>
                <w:szCs w:val="28"/>
                <w:highlight w:val="none"/>
              </w:rPr>
            </w:pPr>
          </w:p>
        </w:tc>
      </w:tr>
      <w:tr w14:paraId="4EC4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367" w:type="dxa"/>
            <w:noWrap w:val="0"/>
            <w:vAlign w:val="center"/>
          </w:tcPr>
          <w:p w14:paraId="435EAEA4">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注册资金</w:t>
            </w:r>
          </w:p>
        </w:tc>
        <w:tc>
          <w:tcPr>
            <w:tcW w:w="7540" w:type="dxa"/>
            <w:gridSpan w:val="4"/>
            <w:noWrap w:val="0"/>
            <w:vAlign w:val="center"/>
          </w:tcPr>
          <w:p w14:paraId="0F7367A2">
            <w:pPr>
              <w:spacing w:line="360" w:lineRule="auto"/>
              <w:jc w:val="center"/>
              <w:rPr>
                <w:rFonts w:cs="Times New Roman"/>
                <w:bCs/>
                <w:color w:val="auto"/>
                <w:sz w:val="28"/>
                <w:szCs w:val="28"/>
                <w:highlight w:val="none"/>
              </w:rPr>
            </w:pPr>
          </w:p>
        </w:tc>
      </w:tr>
      <w:tr w14:paraId="7C10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67" w:type="dxa"/>
            <w:noWrap w:val="0"/>
            <w:vAlign w:val="center"/>
          </w:tcPr>
          <w:p w14:paraId="2F0E16E9">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营业执照号</w:t>
            </w:r>
          </w:p>
        </w:tc>
        <w:tc>
          <w:tcPr>
            <w:tcW w:w="3478" w:type="dxa"/>
            <w:gridSpan w:val="2"/>
            <w:noWrap w:val="0"/>
            <w:vAlign w:val="center"/>
          </w:tcPr>
          <w:p w14:paraId="783556A8">
            <w:pPr>
              <w:spacing w:line="360" w:lineRule="auto"/>
              <w:jc w:val="center"/>
              <w:rPr>
                <w:rFonts w:cs="Times New Roman"/>
                <w:bCs/>
                <w:color w:val="auto"/>
                <w:sz w:val="28"/>
                <w:szCs w:val="28"/>
                <w:highlight w:val="none"/>
              </w:rPr>
            </w:pPr>
          </w:p>
        </w:tc>
        <w:tc>
          <w:tcPr>
            <w:tcW w:w="1517" w:type="dxa"/>
            <w:noWrap w:val="0"/>
            <w:vAlign w:val="center"/>
          </w:tcPr>
          <w:p w14:paraId="6099427A">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有效期</w:t>
            </w:r>
          </w:p>
        </w:tc>
        <w:tc>
          <w:tcPr>
            <w:tcW w:w="2545" w:type="dxa"/>
            <w:noWrap w:val="0"/>
            <w:vAlign w:val="center"/>
          </w:tcPr>
          <w:p w14:paraId="4A734324">
            <w:pPr>
              <w:spacing w:line="360" w:lineRule="auto"/>
              <w:jc w:val="center"/>
              <w:rPr>
                <w:rFonts w:cs="Times New Roman"/>
                <w:bCs/>
                <w:color w:val="auto"/>
                <w:sz w:val="28"/>
                <w:szCs w:val="28"/>
                <w:highlight w:val="none"/>
              </w:rPr>
            </w:pPr>
          </w:p>
        </w:tc>
      </w:tr>
      <w:tr w14:paraId="614F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2367" w:type="dxa"/>
            <w:noWrap w:val="0"/>
            <w:vAlign w:val="center"/>
          </w:tcPr>
          <w:p w14:paraId="64B23DD3">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经营范围</w:t>
            </w:r>
          </w:p>
        </w:tc>
        <w:tc>
          <w:tcPr>
            <w:tcW w:w="7540" w:type="dxa"/>
            <w:gridSpan w:val="4"/>
            <w:noWrap w:val="0"/>
            <w:vAlign w:val="center"/>
          </w:tcPr>
          <w:p w14:paraId="0429F21B">
            <w:pPr>
              <w:spacing w:line="360" w:lineRule="auto"/>
              <w:jc w:val="center"/>
              <w:rPr>
                <w:rFonts w:cs="Times New Roman"/>
                <w:bCs/>
                <w:color w:val="auto"/>
                <w:sz w:val="28"/>
                <w:szCs w:val="28"/>
                <w:highlight w:val="none"/>
              </w:rPr>
            </w:pPr>
          </w:p>
        </w:tc>
      </w:tr>
      <w:tr w14:paraId="1B16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367" w:type="dxa"/>
            <w:noWrap w:val="0"/>
            <w:vAlign w:val="center"/>
          </w:tcPr>
          <w:p w14:paraId="70720380">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备注</w:t>
            </w:r>
          </w:p>
        </w:tc>
        <w:tc>
          <w:tcPr>
            <w:tcW w:w="7540" w:type="dxa"/>
            <w:gridSpan w:val="4"/>
            <w:noWrap w:val="0"/>
            <w:vAlign w:val="center"/>
          </w:tcPr>
          <w:p w14:paraId="19B35281">
            <w:pPr>
              <w:spacing w:line="360" w:lineRule="auto"/>
              <w:jc w:val="center"/>
              <w:rPr>
                <w:rFonts w:cs="Times New Roman"/>
                <w:bCs/>
                <w:color w:val="auto"/>
                <w:sz w:val="28"/>
                <w:szCs w:val="28"/>
                <w:highlight w:val="none"/>
              </w:rPr>
            </w:pPr>
          </w:p>
        </w:tc>
      </w:tr>
    </w:tbl>
    <w:p w14:paraId="68C0B6E0">
      <w:pPr>
        <w:spacing w:line="360" w:lineRule="auto"/>
        <w:ind w:firstLine="6118" w:firstLineChars="2185"/>
        <w:rPr>
          <w:rFonts w:cs="Times New Roman"/>
          <w:bCs/>
          <w:color w:val="auto"/>
          <w:sz w:val="28"/>
          <w:szCs w:val="28"/>
          <w:highlight w:val="none"/>
        </w:rPr>
      </w:pPr>
    </w:p>
    <w:p w14:paraId="0795355E">
      <w:pPr>
        <w:spacing w:line="400" w:lineRule="exact"/>
        <w:ind w:firstLine="2800" w:firstLineChars="1000"/>
        <w:rPr>
          <w:color w:val="auto"/>
          <w:sz w:val="28"/>
          <w:szCs w:val="28"/>
          <w:highlight w:val="none"/>
        </w:rPr>
      </w:pPr>
      <w:r>
        <w:rPr>
          <w:rFonts w:hint="eastAsia"/>
          <w:color w:val="auto"/>
          <w:sz w:val="28"/>
          <w:szCs w:val="28"/>
          <w:highlight w:val="none"/>
        </w:rPr>
        <w:t xml:space="preserve">供应商：（盖章） </w:t>
      </w:r>
    </w:p>
    <w:p w14:paraId="616A4BB3">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法定代表人或委托代理人：（签字或盖章）</w:t>
      </w:r>
    </w:p>
    <w:p w14:paraId="5E7A2088">
      <w:pPr>
        <w:spacing w:line="500" w:lineRule="exact"/>
        <w:ind w:firstLine="4958" w:firstLineChars="1771"/>
        <w:rPr>
          <w:rFonts w:cs="Times New Roman"/>
          <w:bCs/>
          <w:color w:val="auto"/>
          <w:sz w:val="28"/>
          <w:szCs w:val="28"/>
          <w:highlight w:val="none"/>
        </w:rPr>
      </w:pPr>
      <w:r>
        <w:rPr>
          <w:rFonts w:hint="eastAsia"/>
          <w:iCs/>
          <w:color w:val="auto"/>
          <w:sz w:val="28"/>
          <w:szCs w:val="28"/>
          <w:highlight w:val="none"/>
        </w:rPr>
        <w:t>日期：</w:t>
      </w:r>
    </w:p>
    <w:p w14:paraId="346FB735">
      <w:pPr>
        <w:spacing w:line="360" w:lineRule="auto"/>
        <w:jc w:val="center"/>
        <w:rPr>
          <w:rFonts w:cs="Times New Roman"/>
          <w:bCs/>
          <w:color w:val="auto"/>
          <w:sz w:val="28"/>
          <w:szCs w:val="28"/>
          <w:highlight w:val="none"/>
        </w:rPr>
      </w:pPr>
      <w:r>
        <w:rPr>
          <w:rFonts w:hint="eastAsia" w:cs="Times New Roman"/>
          <w:b/>
          <w:bCs/>
          <w:color w:val="auto"/>
          <w:sz w:val="32"/>
          <w:szCs w:val="32"/>
          <w:highlight w:val="none"/>
        </w:rPr>
        <w:br w:type="page"/>
      </w:r>
      <w:r>
        <w:rPr>
          <w:rFonts w:hint="eastAsia" w:cs="Times New Roman"/>
          <w:b/>
          <w:color w:val="auto"/>
          <w:sz w:val="28"/>
          <w:szCs w:val="28"/>
          <w:highlight w:val="none"/>
        </w:rPr>
        <w:t>2、供应商资格证明文件</w:t>
      </w:r>
    </w:p>
    <w:p w14:paraId="66EB67D9">
      <w:pPr>
        <w:spacing w:line="360" w:lineRule="auto"/>
        <w:jc w:val="center"/>
        <w:rPr>
          <w:rFonts w:cs="Times New Roman"/>
          <w:b/>
          <w:bCs/>
          <w:color w:val="auto"/>
          <w:sz w:val="28"/>
          <w:szCs w:val="28"/>
          <w:highlight w:val="none"/>
        </w:rPr>
      </w:pPr>
      <w:r>
        <w:rPr>
          <w:rFonts w:hint="eastAsia" w:cs="Times New Roman"/>
          <w:b/>
          <w:bCs/>
          <w:color w:val="auto"/>
          <w:sz w:val="28"/>
          <w:szCs w:val="28"/>
          <w:highlight w:val="none"/>
        </w:rPr>
        <w:t>（根据磋商文件的资格要求提供，不得缺项）</w:t>
      </w:r>
    </w:p>
    <w:p w14:paraId="3CA0DA13">
      <w:pPr>
        <w:spacing w:line="360" w:lineRule="auto"/>
        <w:jc w:val="center"/>
        <w:rPr>
          <w:rFonts w:cs="Times New Roman"/>
          <w:b/>
          <w:bCs/>
          <w:color w:val="auto"/>
          <w:sz w:val="28"/>
          <w:szCs w:val="28"/>
          <w:highlight w:val="none"/>
        </w:rPr>
      </w:pPr>
    </w:p>
    <w:p w14:paraId="73B9DE1B">
      <w:pPr>
        <w:spacing w:line="360" w:lineRule="auto"/>
        <w:jc w:val="center"/>
        <w:rPr>
          <w:rFonts w:cs="Times New Roman"/>
          <w:b/>
          <w:bCs/>
          <w:color w:val="auto"/>
          <w:sz w:val="28"/>
          <w:szCs w:val="28"/>
          <w:highlight w:val="none"/>
        </w:rPr>
      </w:pPr>
    </w:p>
    <w:p w14:paraId="61956819">
      <w:pPr>
        <w:spacing w:line="360" w:lineRule="auto"/>
        <w:jc w:val="center"/>
        <w:rPr>
          <w:rFonts w:cs="Times New Roman"/>
          <w:b/>
          <w:bCs/>
          <w:color w:val="auto"/>
          <w:sz w:val="28"/>
          <w:szCs w:val="28"/>
          <w:highlight w:val="none"/>
        </w:rPr>
      </w:pPr>
    </w:p>
    <w:p w14:paraId="0338DB4D">
      <w:pPr>
        <w:spacing w:line="360" w:lineRule="auto"/>
        <w:jc w:val="center"/>
        <w:rPr>
          <w:rFonts w:cs="Times New Roman"/>
          <w:b/>
          <w:bCs/>
          <w:color w:val="auto"/>
          <w:sz w:val="28"/>
          <w:szCs w:val="28"/>
          <w:highlight w:val="none"/>
        </w:rPr>
      </w:pPr>
    </w:p>
    <w:p w14:paraId="1573630A">
      <w:pPr>
        <w:spacing w:line="360" w:lineRule="auto"/>
        <w:jc w:val="center"/>
        <w:rPr>
          <w:rFonts w:cs="Times New Roman"/>
          <w:b/>
          <w:bCs/>
          <w:color w:val="auto"/>
          <w:sz w:val="28"/>
          <w:szCs w:val="28"/>
          <w:highlight w:val="none"/>
        </w:rPr>
      </w:pPr>
    </w:p>
    <w:p w14:paraId="3A184A2E">
      <w:pPr>
        <w:spacing w:line="360" w:lineRule="auto"/>
        <w:jc w:val="center"/>
        <w:rPr>
          <w:rFonts w:cs="Times New Roman"/>
          <w:b/>
          <w:bCs/>
          <w:color w:val="auto"/>
          <w:sz w:val="28"/>
          <w:szCs w:val="28"/>
          <w:highlight w:val="none"/>
        </w:rPr>
      </w:pPr>
    </w:p>
    <w:p w14:paraId="792D4C8C">
      <w:pPr>
        <w:spacing w:line="360" w:lineRule="auto"/>
        <w:jc w:val="center"/>
        <w:rPr>
          <w:rFonts w:cs="Times New Roman"/>
          <w:b/>
          <w:bCs/>
          <w:color w:val="auto"/>
          <w:sz w:val="28"/>
          <w:szCs w:val="28"/>
          <w:highlight w:val="none"/>
        </w:rPr>
      </w:pPr>
    </w:p>
    <w:p w14:paraId="77098256">
      <w:pPr>
        <w:spacing w:line="360" w:lineRule="auto"/>
        <w:jc w:val="center"/>
        <w:rPr>
          <w:rFonts w:cs="Times New Roman"/>
          <w:b/>
          <w:bCs/>
          <w:color w:val="auto"/>
          <w:sz w:val="28"/>
          <w:szCs w:val="28"/>
          <w:highlight w:val="none"/>
        </w:rPr>
      </w:pPr>
    </w:p>
    <w:p w14:paraId="28850F51">
      <w:pPr>
        <w:spacing w:line="360" w:lineRule="auto"/>
        <w:jc w:val="center"/>
        <w:rPr>
          <w:rFonts w:cs="Times New Roman"/>
          <w:b/>
          <w:bCs/>
          <w:color w:val="auto"/>
          <w:sz w:val="28"/>
          <w:szCs w:val="28"/>
          <w:highlight w:val="none"/>
        </w:rPr>
      </w:pPr>
    </w:p>
    <w:p w14:paraId="3BC24E21">
      <w:pPr>
        <w:spacing w:line="360" w:lineRule="auto"/>
        <w:jc w:val="center"/>
        <w:rPr>
          <w:rFonts w:cs="Times New Roman"/>
          <w:b/>
          <w:bCs/>
          <w:color w:val="auto"/>
          <w:sz w:val="28"/>
          <w:szCs w:val="28"/>
          <w:highlight w:val="none"/>
        </w:rPr>
      </w:pPr>
    </w:p>
    <w:p w14:paraId="15EB6FF1">
      <w:pPr>
        <w:spacing w:line="360" w:lineRule="auto"/>
        <w:jc w:val="center"/>
        <w:rPr>
          <w:rFonts w:cs="Times New Roman"/>
          <w:b/>
          <w:bCs/>
          <w:color w:val="auto"/>
          <w:sz w:val="28"/>
          <w:szCs w:val="28"/>
          <w:highlight w:val="none"/>
        </w:rPr>
      </w:pPr>
    </w:p>
    <w:p w14:paraId="23EBD0B2">
      <w:pPr>
        <w:spacing w:line="360" w:lineRule="auto"/>
        <w:jc w:val="center"/>
        <w:rPr>
          <w:rFonts w:cs="Times New Roman"/>
          <w:b/>
          <w:bCs/>
          <w:color w:val="auto"/>
          <w:sz w:val="28"/>
          <w:szCs w:val="28"/>
          <w:highlight w:val="none"/>
        </w:rPr>
      </w:pPr>
    </w:p>
    <w:p w14:paraId="1B2B0BDE">
      <w:pPr>
        <w:spacing w:line="360" w:lineRule="auto"/>
        <w:jc w:val="center"/>
        <w:rPr>
          <w:rFonts w:cs="Times New Roman"/>
          <w:b/>
          <w:bCs/>
          <w:color w:val="auto"/>
          <w:sz w:val="28"/>
          <w:szCs w:val="28"/>
          <w:highlight w:val="none"/>
        </w:rPr>
      </w:pPr>
    </w:p>
    <w:p w14:paraId="2CF37A88">
      <w:pPr>
        <w:spacing w:line="360" w:lineRule="auto"/>
        <w:jc w:val="center"/>
        <w:rPr>
          <w:rFonts w:cs="Times New Roman"/>
          <w:b/>
          <w:bCs/>
          <w:color w:val="auto"/>
          <w:sz w:val="28"/>
          <w:szCs w:val="28"/>
          <w:highlight w:val="none"/>
        </w:rPr>
      </w:pPr>
    </w:p>
    <w:p w14:paraId="6C64D389">
      <w:pPr>
        <w:spacing w:line="360" w:lineRule="auto"/>
        <w:jc w:val="center"/>
        <w:rPr>
          <w:rFonts w:cs="Times New Roman"/>
          <w:b/>
          <w:bCs/>
          <w:color w:val="auto"/>
          <w:sz w:val="28"/>
          <w:szCs w:val="28"/>
          <w:highlight w:val="none"/>
        </w:rPr>
      </w:pPr>
    </w:p>
    <w:p w14:paraId="33778906">
      <w:pPr>
        <w:spacing w:line="360" w:lineRule="auto"/>
        <w:jc w:val="center"/>
        <w:rPr>
          <w:rFonts w:cs="Times New Roman"/>
          <w:b/>
          <w:bCs/>
          <w:color w:val="auto"/>
          <w:sz w:val="28"/>
          <w:szCs w:val="28"/>
          <w:highlight w:val="none"/>
        </w:rPr>
      </w:pPr>
    </w:p>
    <w:p w14:paraId="74263C51">
      <w:pPr>
        <w:spacing w:line="360" w:lineRule="auto"/>
        <w:jc w:val="center"/>
        <w:rPr>
          <w:rFonts w:cs="Times New Roman"/>
          <w:b/>
          <w:bCs/>
          <w:color w:val="auto"/>
          <w:sz w:val="28"/>
          <w:szCs w:val="28"/>
          <w:highlight w:val="none"/>
        </w:rPr>
      </w:pPr>
    </w:p>
    <w:p w14:paraId="6C271CB0">
      <w:pPr>
        <w:spacing w:line="360" w:lineRule="auto"/>
        <w:jc w:val="center"/>
        <w:rPr>
          <w:rFonts w:cs="Times New Roman"/>
          <w:b/>
          <w:bCs/>
          <w:color w:val="auto"/>
          <w:sz w:val="28"/>
          <w:szCs w:val="28"/>
          <w:highlight w:val="none"/>
        </w:rPr>
      </w:pPr>
    </w:p>
    <w:p w14:paraId="53634B51">
      <w:pPr>
        <w:spacing w:line="360" w:lineRule="auto"/>
        <w:jc w:val="center"/>
        <w:rPr>
          <w:rFonts w:cs="Times New Roman"/>
          <w:b/>
          <w:bCs/>
          <w:color w:val="auto"/>
          <w:sz w:val="28"/>
          <w:szCs w:val="28"/>
          <w:highlight w:val="none"/>
        </w:rPr>
      </w:pPr>
    </w:p>
    <w:p w14:paraId="017FD988">
      <w:pPr>
        <w:spacing w:line="360" w:lineRule="auto"/>
        <w:jc w:val="center"/>
        <w:rPr>
          <w:rFonts w:cs="Times New Roman"/>
          <w:bCs/>
          <w:color w:val="auto"/>
          <w:szCs w:val="24"/>
          <w:highlight w:val="none"/>
        </w:rPr>
      </w:pPr>
      <w:r>
        <w:rPr>
          <w:rFonts w:hint="eastAsia" w:cs="Times New Roman"/>
          <w:b/>
          <w:bCs/>
          <w:color w:val="auto"/>
          <w:sz w:val="28"/>
          <w:szCs w:val="28"/>
          <w:highlight w:val="none"/>
        </w:rPr>
        <w:br w:type="page"/>
      </w:r>
      <w:r>
        <w:rPr>
          <w:rFonts w:hint="eastAsia" w:cs="Times New Roman"/>
          <w:b/>
          <w:bCs/>
          <w:color w:val="auto"/>
          <w:sz w:val="32"/>
          <w:szCs w:val="32"/>
          <w:highlight w:val="none"/>
        </w:rPr>
        <w:t>七、技术方案</w:t>
      </w:r>
    </w:p>
    <w:p w14:paraId="384D1CC4">
      <w:pPr>
        <w:spacing w:line="360" w:lineRule="auto"/>
        <w:rPr>
          <w:rFonts w:cs="Times New Roman"/>
          <w:bCs/>
          <w:color w:val="auto"/>
          <w:sz w:val="28"/>
          <w:szCs w:val="28"/>
          <w:highlight w:val="none"/>
        </w:rPr>
      </w:pPr>
      <w:r>
        <w:rPr>
          <w:rFonts w:hint="eastAsia" w:cs="Times New Roman"/>
          <w:bCs/>
          <w:color w:val="auto"/>
          <w:sz w:val="28"/>
          <w:szCs w:val="28"/>
          <w:highlight w:val="none"/>
        </w:rPr>
        <w:t>1、供应商技术资料</w:t>
      </w:r>
    </w:p>
    <w:p w14:paraId="4372E98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（供应商应按照评审办法技术方案要求结合公司实际情况进行编制，格式自拟）</w:t>
      </w:r>
    </w:p>
    <w:p w14:paraId="0143F4E0">
      <w:pPr>
        <w:spacing w:line="360" w:lineRule="auto"/>
        <w:jc w:val="center"/>
        <w:rPr>
          <w:rFonts w:cs="Times New Roman"/>
          <w:bCs/>
          <w:color w:val="auto"/>
          <w:sz w:val="28"/>
          <w:szCs w:val="28"/>
          <w:highlight w:val="none"/>
        </w:rPr>
      </w:pPr>
    </w:p>
    <w:p w14:paraId="3643B230">
      <w:pPr>
        <w:spacing w:line="360" w:lineRule="auto"/>
        <w:jc w:val="center"/>
        <w:rPr>
          <w:rFonts w:cs="Times New Roman"/>
          <w:bCs/>
          <w:color w:val="auto"/>
          <w:sz w:val="28"/>
          <w:szCs w:val="28"/>
          <w:highlight w:val="none"/>
        </w:rPr>
      </w:pPr>
    </w:p>
    <w:p w14:paraId="06B4246C">
      <w:pPr>
        <w:spacing w:line="360" w:lineRule="auto"/>
        <w:jc w:val="center"/>
        <w:rPr>
          <w:rFonts w:cs="Times New Roman"/>
          <w:bCs/>
          <w:color w:val="auto"/>
          <w:sz w:val="28"/>
          <w:szCs w:val="28"/>
          <w:highlight w:val="none"/>
        </w:rPr>
      </w:pPr>
    </w:p>
    <w:p w14:paraId="4913540F">
      <w:pPr>
        <w:spacing w:line="360" w:lineRule="auto"/>
        <w:jc w:val="center"/>
        <w:rPr>
          <w:rFonts w:cs="Times New Roman"/>
          <w:bCs/>
          <w:color w:val="auto"/>
          <w:sz w:val="28"/>
          <w:szCs w:val="28"/>
          <w:highlight w:val="none"/>
        </w:rPr>
      </w:pPr>
    </w:p>
    <w:p w14:paraId="5392F3FA">
      <w:pPr>
        <w:spacing w:line="360" w:lineRule="auto"/>
        <w:jc w:val="center"/>
        <w:rPr>
          <w:rFonts w:cs="Times New Roman"/>
          <w:bCs/>
          <w:color w:val="auto"/>
          <w:sz w:val="28"/>
          <w:szCs w:val="28"/>
          <w:highlight w:val="none"/>
        </w:rPr>
      </w:pPr>
    </w:p>
    <w:p w14:paraId="1CF598A8">
      <w:pPr>
        <w:spacing w:line="360" w:lineRule="auto"/>
        <w:jc w:val="center"/>
        <w:rPr>
          <w:rFonts w:cs="Times New Roman"/>
          <w:bCs/>
          <w:color w:val="auto"/>
          <w:sz w:val="28"/>
          <w:szCs w:val="28"/>
          <w:highlight w:val="none"/>
        </w:rPr>
      </w:pPr>
    </w:p>
    <w:p w14:paraId="39C0CF85">
      <w:pPr>
        <w:spacing w:line="360" w:lineRule="auto"/>
        <w:jc w:val="center"/>
        <w:rPr>
          <w:rFonts w:cs="Times New Roman"/>
          <w:bCs/>
          <w:color w:val="auto"/>
          <w:sz w:val="28"/>
          <w:szCs w:val="28"/>
          <w:highlight w:val="none"/>
        </w:rPr>
      </w:pPr>
    </w:p>
    <w:p w14:paraId="10D45F6C">
      <w:pPr>
        <w:spacing w:line="360" w:lineRule="auto"/>
        <w:jc w:val="center"/>
        <w:rPr>
          <w:rFonts w:cs="Times New Roman"/>
          <w:bCs/>
          <w:color w:val="auto"/>
          <w:sz w:val="28"/>
          <w:szCs w:val="28"/>
          <w:highlight w:val="none"/>
        </w:rPr>
      </w:pPr>
    </w:p>
    <w:p w14:paraId="61E6338E">
      <w:pPr>
        <w:spacing w:line="360" w:lineRule="auto"/>
        <w:jc w:val="center"/>
        <w:rPr>
          <w:rFonts w:cs="Times New Roman"/>
          <w:bCs/>
          <w:color w:val="auto"/>
          <w:sz w:val="28"/>
          <w:szCs w:val="28"/>
          <w:highlight w:val="none"/>
        </w:rPr>
      </w:pPr>
    </w:p>
    <w:p w14:paraId="79DF83C9">
      <w:pPr>
        <w:spacing w:line="360" w:lineRule="auto"/>
        <w:jc w:val="center"/>
        <w:rPr>
          <w:rFonts w:cs="Times New Roman"/>
          <w:bCs/>
          <w:color w:val="auto"/>
          <w:sz w:val="28"/>
          <w:szCs w:val="28"/>
          <w:highlight w:val="none"/>
        </w:rPr>
      </w:pPr>
    </w:p>
    <w:p w14:paraId="3501925B">
      <w:pPr>
        <w:spacing w:line="360" w:lineRule="auto"/>
        <w:jc w:val="center"/>
        <w:rPr>
          <w:rFonts w:cs="Times New Roman"/>
          <w:bCs/>
          <w:color w:val="auto"/>
          <w:sz w:val="28"/>
          <w:szCs w:val="28"/>
          <w:highlight w:val="none"/>
        </w:rPr>
      </w:pPr>
    </w:p>
    <w:p w14:paraId="50773446">
      <w:pPr>
        <w:spacing w:line="360" w:lineRule="auto"/>
        <w:jc w:val="center"/>
        <w:rPr>
          <w:rFonts w:cs="Times New Roman"/>
          <w:bCs/>
          <w:color w:val="auto"/>
          <w:sz w:val="28"/>
          <w:szCs w:val="28"/>
          <w:highlight w:val="none"/>
        </w:rPr>
      </w:pPr>
    </w:p>
    <w:p w14:paraId="313E8056">
      <w:pPr>
        <w:spacing w:line="360" w:lineRule="auto"/>
        <w:jc w:val="center"/>
        <w:rPr>
          <w:rFonts w:cs="Times New Roman"/>
          <w:bCs/>
          <w:color w:val="auto"/>
          <w:sz w:val="28"/>
          <w:szCs w:val="28"/>
          <w:highlight w:val="none"/>
        </w:rPr>
      </w:pPr>
    </w:p>
    <w:p w14:paraId="3BFD2253">
      <w:pPr>
        <w:spacing w:line="360" w:lineRule="auto"/>
        <w:jc w:val="center"/>
        <w:rPr>
          <w:rFonts w:cs="Times New Roman"/>
          <w:bCs/>
          <w:color w:val="auto"/>
          <w:sz w:val="28"/>
          <w:szCs w:val="28"/>
          <w:highlight w:val="none"/>
        </w:rPr>
      </w:pPr>
    </w:p>
    <w:p w14:paraId="5640132A">
      <w:pPr>
        <w:spacing w:line="360" w:lineRule="auto"/>
        <w:jc w:val="center"/>
        <w:rPr>
          <w:rFonts w:cs="Times New Roman"/>
          <w:bCs/>
          <w:color w:val="auto"/>
          <w:sz w:val="28"/>
          <w:szCs w:val="28"/>
          <w:highlight w:val="none"/>
        </w:rPr>
      </w:pPr>
    </w:p>
    <w:p w14:paraId="7F9B48BA">
      <w:pPr>
        <w:spacing w:line="360" w:lineRule="auto"/>
        <w:jc w:val="center"/>
        <w:rPr>
          <w:rFonts w:cs="Times New Roman"/>
          <w:bCs/>
          <w:color w:val="auto"/>
          <w:sz w:val="28"/>
          <w:szCs w:val="28"/>
          <w:highlight w:val="none"/>
        </w:rPr>
      </w:pPr>
    </w:p>
    <w:p w14:paraId="58FFF084">
      <w:pPr>
        <w:spacing w:line="360" w:lineRule="auto"/>
        <w:jc w:val="center"/>
        <w:rPr>
          <w:rFonts w:cs="Times New Roman"/>
          <w:bCs/>
          <w:color w:val="auto"/>
          <w:sz w:val="28"/>
          <w:szCs w:val="28"/>
          <w:highlight w:val="none"/>
        </w:rPr>
      </w:pPr>
    </w:p>
    <w:p w14:paraId="643827E7">
      <w:pPr>
        <w:spacing w:line="360" w:lineRule="auto"/>
        <w:jc w:val="center"/>
        <w:rPr>
          <w:rFonts w:cs="Times New Roman"/>
          <w:bCs/>
          <w:color w:val="auto"/>
          <w:sz w:val="28"/>
          <w:szCs w:val="28"/>
          <w:highlight w:val="none"/>
        </w:rPr>
      </w:pPr>
    </w:p>
    <w:p w14:paraId="59E3148E">
      <w:pPr>
        <w:spacing w:line="360" w:lineRule="auto"/>
        <w:jc w:val="center"/>
        <w:rPr>
          <w:rFonts w:cs="Times New Roman"/>
          <w:b/>
          <w:bCs/>
          <w:color w:val="auto"/>
          <w:sz w:val="28"/>
          <w:szCs w:val="28"/>
          <w:highlight w:val="none"/>
        </w:rPr>
      </w:pPr>
      <w:r>
        <w:rPr>
          <w:rFonts w:hint="eastAsia" w:cs="Times New Roman"/>
          <w:b/>
          <w:bCs/>
          <w:color w:val="auto"/>
          <w:sz w:val="32"/>
          <w:szCs w:val="32"/>
          <w:highlight w:val="none"/>
        </w:rPr>
        <w:t>八、商务部分</w:t>
      </w:r>
    </w:p>
    <w:p w14:paraId="6C8E3327">
      <w:pPr>
        <w:spacing w:line="360" w:lineRule="auto"/>
        <w:jc w:val="center"/>
        <w:rPr>
          <w:rFonts w:cs="Times New Roman"/>
          <w:color w:val="auto"/>
          <w:sz w:val="28"/>
          <w:szCs w:val="28"/>
          <w:highlight w:val="none"/>
        </w:rPr>
      </w:pPr>
      <w:r>
        <w:rPr>
          <w:rFonts w:hint="eastAsia" w:cs="Times New Roman"/>
          <w:bCs/>
          <w:color w:val="auto"/>
          <w:sz w:val="28"/>
          <w:szCs w:val="28"/>
          <w:highlight w:val="none"/>
        </w:rPr>
        <w:t>1、业绩一览表及证明材料</w:t>
      </w:r>
    </w:p>
    <w:tbl>
      <w:tblPr>
        <w:tblStyle w:val="15"/>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620"/>
        <w:gridCol w:w="1440"/>
        <w:gridCol w:w="1356"/>
        <w:gridCol w:w="1356"/>
        <w:gridCol w:w="2053"/>
      </w:tblGrid>
      <w:tr w14:paraId="402E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5654D289">
            <w:pPr>
              <w:jc w:val="center"/>
              <w:rPr>
                <w:rFonts w:cs="Times New Roman"/>
                <w:color w:val="auto"/>
                <w:sz w:val="28"/>
                <w:szCs w:val="28"/>
                <w:highlight w:val="none"/>
              </w:rPr>
            </w:pPr>
            <w:r>
              <w:rPr>
                <w:rFonts w:hint="eastAsia" w:cs="Times New Roman"/>
                <w:color w:val="auto"/>
                <w:sz w:val="28"/>
                <w:szCs w:val="28"/>
                <w:highlight w:val="none"/>
              </w:rPr>
              <w:t>序号</w:t>
            </w:r>
          </w:p>
        </w:tc>
        <w:tc>
          <w:tcPr>
            <w:tcW w:w="1620" w:type="dxa"/>
            <w:tcBorders>
              <w:top w:val="single" w:color="auto" w:sz="4" w:space="0"/>
              <w:left w:val="nil"/>
              <w:bottom w:val="single" w:color="auto" w:sz="4" w:space="0"/>
              <w:right w:val="single" w:color="auto" w:sz="4" w:space="0"/>
            </w:tcBorders>
            <w:noWrap w:val="0"/>
            <w:vAlign w:val="center"/>
          </w:tcPr>
          <w:p w14:paraId="2845BCD0">
            <w:pPr>
              <w:jc w:val="center"/>
              <w:rPr>
                <w:rFonts w:cs="Times New Roman"/>
                <w:color w:val="auto"/>
                <w:sz w:val="28"/>
                <w:szCs w:val="28"/>
                <w:highlight w:val="none"/>
              </w:rPr>
            </w:pPr>
            <w:r>
              <w:rPr>
                <w:rFonts w:hint="eastAsia" w:cs="Times New Roman"/>
                <w:color w:val="auto"/>
                <w:sz w:val="28"/>
                <w:szCs w:val="28"/>
                <w:highlight w:val="none"/>
              </w:rPr>
              <w:t>项目名称</w:t>
            </w:r>
          </w:p>
        </w:tc>
        <w:tc>
          <w:tcPr>
            <w:tcW w:w="1440" w:type="dxa"/>
            <w:tcBorders>
              <w:top w:val="single" w:color="auto" w:sz="4" w:space="0"/>
              <w:left w:val="nil"/>
              <w:bottom w:val="single" w:color="auto" w:sz="4" w:space="0"/>
              <w:right w:val="single" w:color="auto" w:sz="4" w:space="0"/>
            </w:tcBorders>
            <w:noWrap w:val="0"/>
            <w:vAlign w:val="center"/>
          </w:tcPr>
          <w:p w14:paraId="69B1D0CB">
            <w:pPr>
              <w:jc w:val="center"/>
              <w:rPr>
                <w:rFonts w:cs="Times New Roman"/>
                <w:color w:val="auto"/>
                <w:sz w:val="28"/>
                <w:szCs w:val="28"/>
                <w:highlight w:val="none"/>
              </w:rPr>
            </w:pPr>
            <w:r>
              <w:rPr>
                <w:rFonts w:hint="eastAsia" w:cs="Times New Roman"/>
                <w:color w:val="auto"/>
                <w:sz w:val="28"/>
                <w:szCs w:val="28"/>
                <w:highlight w:val="none"/>
              </w:rPr>
              <w:t>实施时间</w:t>
            </w:r>
          </w:p>
        </w:tc>
        <w:tc>
          <w:tcPr>
            <w:tcW w:w="1356" w:type="dxa"/>
            <w:tcBorders>
              <w:top w:val="single" w:color="auto" w:sz="4" w:space="0"/>
              <w:left w:val="nil"/>
              <w:bottom w:val="single" w:color="auto" w:sz="4" w:space="0"/>
              <w:right w:val="single" w:color="auto" w:sz="4" w:space="0"/>
            </w:tcBorders>
            <w:noWrap w:val="0"/>
            <w:vAlign w:val="center"/>
          </w:tcPr>
          <w:p w14:paraId="1DF41E9D">
            <w:pPr>
              <w:jc w:val="center"/>
              <w:rPr>
                <w:rFonts w:cs="Times New Roman"/>
                <w:color w:val="auto"/>
                <w:sz w:val="28"/>
                <w:szCs w:val="28"/>
                <w:highlight w:val="none"/>
              </w:rPr>
            </w:pPr>
            <w:r>
              <w:rPr>
                <w:rFonts w:hint="eastAsia" w:cs="Times New Roman"/>
                <w:color w:val="auto"/>
                <w:sz w:val="28"/>
                <w:szCs w:val="28"/>
                <w:highlight w:val="none"/>
              </w:rPr>
              <w:t>采购单位</w:t>
            </w:r>
          </w:p>
        </w:tc>
        <w:tc>
          <w:tcPr>
            <w:tcW w:w="1356" w:type="dxa"/>
            <w:tcBorders>
              <w:top w:val="single" w:color="auto" w:sz="4" w:space="0"/>
              <w:left w:val="nil"/>
              <w:bottom w:val="single" w:color="auto" w:sz="4" w:space="0"/>
              <w:right w:val="single" w:color="auto" w:sz="4" w:space="0"/>
            </w:tcBorders>
            <w:noWrap w:val="0"/>
            <w:vAlign w:val="center"/>
          </w:tcPr>
          <w:p w14:paraId="5B58DE11">
            <w:pPr>
              <w:jc w:val="center"/>
              <w:rPr>
                <w:rFonts w:cs="Times New Roman"/>
                <w:color w:val="auto"/>
                <w:sz w:val="28"/>
                <w:szCs w:val="28"/>
                <w:highlight w:val="none"/>
              </w:rPr>
            </w:pPr>
            <w:r>
              <w:rPr>
                <w:rFonts w:hint="eastAsia" w:cs="Times New Roman"/>
                <w:color w:val="auto"/>
                <w:sz w:val="28"/>
                <w:szCs w:val="28"/>
                <w:highlight w:val="none"/>
              </w:rPr>
              <w:t>中标金额</w:t>
            </w:r>
          </w:p>
        </w:tc>
        <w:tc>
          <w:tcPr>
            <w:tcW w:w="2053" w:type="dxa"/>
            <w:tcBorders>
              <w:top w:val="single" w:color="auto" w:sz="4" w:space="0"/>
              <w:left w:val="nil"/>
              <w:bottom w:val="single" w:color="auto" w:sz="4" w:space="0"/>
              <w:right w:val="single" w:color="auto" w:sz="4" w:space="0"/>
            </w:tcBorders>
            <w:noWrap w:val="0"/>
            <w:vAlign w:val="center"/>
          </w:tcPr>
          <w:p w14:paraId="7CF88B53">
            <w:pPr>
              <w:jc w:val="center"/>
              <w:rPr>
                <w:rFonts w:cs="Times New Roman"/>
                <w:color w:val="auto"/>
                <w:sz w:val="28"/>
                <w:szCs w:val="28"/>
                <w:highlight w:val="none"/>
              </w:rPr>
            </w:pPr>
            <w:r>
              <w:rPr>
                <w:rFonts w:hint="eastAsia" w:cs="Times New Roman"/>
                <w:color w:val="auto"/>
                <w:sz w:val="28"/>
                <w:szCs w:val="28"/>
                <w:highlight w:val="none"/>
              </w:rPr>
              <w:t>联系人及电话</w:t>
            </w:r>
          </w:p>
        </w:tc>
      </w:tr>
      <w:tr w14:paraId="40EA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4EA05279">
            <w:pPr>
              <w:jc w:val="center"/>
              <w:rPr>
                <w:rFonts w:cs="Times New Roman"/>
                <w:color w:val="auto"/>
                <w:sz w:val="28"/>
                <w:szCs w:val="28"/>
                <w:highlight w:val="none"/>
              </w:rPr>
            </w:pPr>
            <w:r>
              <w:rPr>
                <w:rFonts w:hint="eastAsia" w:cs="Times New Roman"/>
                <w:color w:val="auto"/>
                <w:sz w:val="28"/>
                <w:szCs w:val="28"/>
                <w:highlight w:val="none"/>
              </w:rPr>
              <w:t>1</w:t>
            </w:r>
          </w:p>
        </w:tc>
        <w:tc>
          <w:tcPr>
            <w:tcW w:w="1620" w:type="dxa"/>
            <w:tcBorders>
              <w:top w:val="single" w:color="auto" w:sz="4" w:space="0"/>
              <w:left w:val="nil"/>
              <w:bottom w:val="single" w:color="auto" w:sz="4" w:space="0"/>
              <w:right w:val="single" w:color="auto" w:sz="4" w:space="0"/>
            </w:tcBorders>
            <w:noWrap w:val="0"/>
            <w:vAlign w:val="center"/>
          </w:tcPr>
          <w:p w14:paraId="186DC202">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412D8D41">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7103649">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7242167D">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33771144">
            <w:pPr>
              <w:jc w:val="center"/>
              <w:rPr>
                <w:rFonts w:cs="Times New Roman"/>
                <w:color w:val="auto"/>
                <w:sz w:val="28"/>
                <w:szCs w:val="28"/>
                <w:highlight w:val="none"/>
              </w:rPr>
            </w:pPr>
          </w:p>
        </w:tc>
      </w:tr>
      <w:tr w14:paraId="4D0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7F6C9C8F">
            <w:pPr>
              <w:jc w:val="center"/>
              <w:rPr>
                <w:rFonts w:cs="Times New Roman"/>
                <w:color w:val="auto"/>
                <w:sz w:val="28"/>
                <w:szCs w:val="28"/>
                <w:highlight w:val="none"/>
              </w:rPr>
            </w:pPr>
            <w:r>
              <w:rPr>
                <w:rFonts w:hint="eastAsia" w:cs="Times New Roman"/>
                <w:color w:val="auto"/>
                <w:sz w:val="28"/>
                <w:szCs w:val="28"/>
                <w:highlight w:val="none"/>
              </w:rPr>
              <w:t>2</w:t>
            </w:r>
          </w:p>
        </w:tc>
        <w:tc>
          <w:tcPr>
            <w:tcW w:w="1620" w:type="dxa"/>
            <w:tcBorders>
              <w:top w:val="single" w:color="auto" w:sz="4" w:space="0"/>
              <w:left w:val="nil"/>
              <w:bottom w:val="single" w:color="auto" w:sz="4" w:space="0"/>
              <w:right w:val="single" w:color="auto" w:sz="4" w:space="0"/>
            </w:tcBorders>
            <w:noWrap w:val="0"/>
            <w:vAlign w:val="center"/>
          </w:tcPr>
          <w:p w14:paraId="6B885E5B">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522F5AE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2388B35E">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0EF1F87">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6BE9F3F7">
            <w:pPr>
              <w:jc w:val="center"/>
              <w:rPr>
                <w:rFonts w:cs="Times New Roman"/>
                <w:color w:val="auto"/>
                <w:sz w:val="28"/>
                <w:szCs w:val="28"/>
                <w:highlight w:val="none"/>
              </w:rPr>
            </w:pPr>
          </w:p>
        </w:tc>
      </w:tr>
      <w:tr w14:paraId="6614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07C6D5BC">
            <w:pPr>
              <w:jc w:val="center"/>
              <w:rPr>
                <w:rFonts w:cs="Times New Roman"/>
                <w:color w:val="auto"/>
                <w:sz w:val="28"/>
                <w:szCs w:val="28"/>
                <w:highlight w:val="none"/>
              </w:rPr>
            </w:pPr>
            <w:r>
              <w:rPr>
                <w:rFonts w:hint="eastAsia" w:cs="Times New Roman"/>
                <w:color w:val="auto"/>
                <w:sz w:val="28"/>
                <w:szCs w:val="28"/>
                <w:highlight w:val="none"/>
              </w:rPr>
              <w:t>```</w:t>
            </w:r>
          </w:p>
        </w:tc>
        <w:tc>
          <w:tcPr>
            <w:tcW w:w="1620" w:type="dxa"/>
            <w:tcBorders>
              <w:top w:val="single" w:color="auto" w:sz="4" w:space="0"/>
              <w:left w:val="nil"/>
              <w:bottom w:val="single" w:color="auto" w:sz="4" w:space="0"/>
              <w:right w:val="single" w:color="auto" w:sz="4" w:space="0"/>
            </w:tcBorders>
            <w:noWrap w:val="0"/>
            <w:vAlign w:val="center"/>
          </w:tcPr>
          <w:p w14:paraId="0154ABAB">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055E0C11">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24A0D84C">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4A2F2840">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45318CB0">
            <w:pPr>
              <w:jc w:val="center"/>
              <w:rPr>
                <w:rFonts w:cs="Times New Roman"/>
                <w:color w:val="auto"/>
                <w:sz w:val="28"/>
                <w:szCs w:val="28"/>
                <w:highlight w:val="none"/>
              </w:rPr>
            </w:pPr>
          </w:p>
        </w:tc>
      </w:tr>
      <w:tr w14:paraId="0DA4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12E52FD2">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0F668E1D">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512027BD">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7DBDCBD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1C8101AE">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4A757C59">
            <w:pPr>
              <w:jc w:val="center"/>
              <w:rPr>
                <w:rFonts w:cs="Times New Roman"/>
                <w:color w:val="auto"/>
                <w:sz w:val="28"/>
                <w:szCs w:val="28"/>
                <w:highlight w:val="none"/>
              </w:rPr>
            </w:pPr>
          </w:p>
        </w:tc>
      </w:tr>
      <w:tr w14:paraId="1342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397110FE">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699C374D">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0CA8709">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338779C6">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69A3E10">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45D0214F">
            <w:pPr>
              <w:jc w:val="center"/>
              <w:rPr>
                <w:rFonts w:cs="Times New Roman"/>
                <w:color w:val="auto"/>
                <w:sz w:val="28"/>
                <w:szCs w:val="28"/>
                <w:highlight w:val="none"/>
              </w:rPr>
            </w:pPr>
          </w:p>
        </w:tc>
      </w:tr>
      <w:tr w14:paraId="21DC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2AA63155">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4115F8DA">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CEB8CD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325190E9">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2B66F371">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5C1FB070">
            <w:pPr>
              <w:jc w:val="center"/>
              <w:rPr>
                <w:rFonts w:cs="Times New Roman"/>
                <w:color w:val="auto"/>
                <w:sz w:val="28"/>
                <w:szCs w:val="28"/>
                <w:highlight w:val="none"/>
              </w:rPr>
            </w:pPr>
          </w:p>
        </w:tc>
      </w:tr>
      <w:tr w14:paraId="638F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4A95B94B">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11018FF2">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1DB88A9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2E14AC3D">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069F5D5">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02FD535C">
            <w:pPr>
              <w:jc w:val="center"/>
              <w:rPr>
                <w:rFonts w:cs="Times New Roman"/>
                <w:color w:val="auto"/>
                <w:sz w:val="28"/>
                <w:szCs w:val="28"/>
                <w:highlight w:val="none"/>
              </w:rPr>
            </w:pPr>
          </w:p>
        </w:tc>
      </w:tr>
      <w:tr w14:paraId="365A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5F90EA85">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5F75B11D">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1DE794C">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1D07A0E">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3080902E">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6E792573">
            <w:pPr>
              <w:jc w:val="center"/>
              <w:rPr>
                <w:rFonts w:cs="Times New Roman"/>
                <w:color w:val="auto"/>
                <w:sz w:val="28"/>
                <w:szCs w:val="28"/>
                <w:highlight w:val="none"/>
              </w:rPr>
            </w:pPr>
          </w:p>
        </w:tc>
      </w:tr>
    </w:tbl>
    <w:p w14:paraId="08EDE45A">
      <w:pPr>
        <w:spacing w:line="500" w:lineRule="exact"/>
        <w:ind w:firstLine="4958" w:firstLineChars="1771"/>
        <w:rPr>
          <w:rFonts w:cs="Times New Roman"/>
          <w:bCs/>
          <w:color w:val="auto"/>
          <w:sz w:val="28"/>
          <w:szCs w:val="28"/>
          <w:highlight w:val="none"/>
        </w:rPr>
      </w:pPr>
    </w:p>
    <w:p w14:paraId="12795145">
      <w:pPr>
        <w:spacing w:line="360" w:lineRule="auto"/>
        <w:rPr>
          <w:rFonts w:cs="Times New Roman"/>
          <w:color w:val="auto"/>
          <w:szCs w:val="21"/>
          <w:highlight w:val="none"/>
        </w:rPr>
      </w:pPr>
    </w:p>
    <w:p w14:paraId="3C04D4FA">
      <w:pPr>
        <w:spacing w:before="156" w:beforeLines="50" w:after="156" w:afterLines="50" w:line="440" w:lineRule="exact"/>
        <w:ind w:left="719" w:leftChars="227" w:hanging="220" w:hangingChars="100"/>
        <w:rPr>
          <w:color w:val="auto"/>
          <w:szCs w:val="21"/>
          <w:highlight w:val="none"/>
        </w:rPr>
      </w:pPr>
    </w:p>
    <w:p w14:paraId="5754331B">
      <w:pPr>
        <w:jc w:val="center"/>
        <w:rPr>
          <w:rFonts w:hint="eastAsia" w:cs="Times New Roman"/>
          <w:color w:val="auto"/>
          <w:sz w:val="28"/>
          <w:szCs w:val="28"/>
          <w:highlight w:val="none"/>
        </w:rPr>
      </w:pPr>
      <w:r>
        <w:rPr>
          <w:rFonts w:hint="eastAsia" w:cs="Times New Roman"/>
          <w:color w:val="auto"/>
          <w:sz w:val="28"/>
          <w:szCs w:val="28"/>
          <w:highlight w:val="none"/>
        </w:rPr>
        <w:t>供应商：                     （盖章）</w:t>
      </w:r>
    </w:p>
    <w:p w14:paraId="5BCFF006">
      <w:pPr>
        <w:jc w:val="center"/>
        <w:rPr>
          <w:rFonts w:hint="eastAsia" w:cs="Times New Roman"/>
          <w:color w:val="auto"/>
          <w:sz w:val="28"/>
          <w:szCs w:val="28"/>
          <w:highlight w:val="none"/>
        </w:rPr>
      </w:pPr>
      <w:r>
        <w:rPr>
          <w:rFonts w:hint="eastAsia" w:cs="Times New Roman"/>
          <w:color w:val="auto"/>
          <w:sz w:val="28"/>
          <w:szCs w:val="28"/>
          <w:highlight w:val="none"/>
        </w:rPr>
        <w:t xml:space="preserve">     </w:t>
      </w:r>
    </w:p>
    <w:p w14:paraId="59132C16">
      <w:pPr>
        <w:jc w:val="center"/>
        <w:rPr>
          <w:rFonts w:hint="eastAsia" w:cs="Times New Roman"/>
          <w:color w:val="auto"/>
          <w:sz w:val="28"/>
          <w:szCs w:val="28"/>
          <w:highlight w:val="none"/>
        </w:rPr>
      </w:pPr>
      <w:r>
        <w:rPr>
          <w:rFonts w:hint="eastAsia" w:cs="Times New Roman"/>
          <w:color w:val="auto"/>
          <w:sz w:val="28"/>
          <w:szCs w:val="28"/>
          <w:highlight w:val="none"/>
        </w:rPr>
        <w:t>法定代表人或委托代理人：        （签字或盖章）</w:t>
      </w:r>
    </w:p>
    <w:p w14:paraId="30B743BF">
      <w:pPr>
        <w:jc w:val="center"/>
        <w:rPr>
          <w:rFonts w:hint="eastAsia" w:cs="Times New Roman"/>
          <w:color w:val="auto"/>
          <w:sz w:val="28"/>
          <w:szCs w:val="28"/>
          <w:highlight w:val="none"/>
        </w:rPr>
      </w:pPr>
    </w:p>
    <w:p w14:paraId="28FF8F74">
      <w:pPr>
        <w:jc w:val="center"/>
        <w:rPr>
          <w:rFonts w:hint="eastAsia" w:cs="Times New Roman"/>
          <w:color w:val="auto"/>
          <w:sz w:val="28"/>
          <w:szCs w:val="28"/>
          <w:highlight w:val="none"/>
        </w:rPr>
      </w:pPr>
      <w:r>
        <w:rPr>
          <w:rFonts w:hint="eastAsia" w:cs="Times New Roman"/>
          <w:color w:val="auto"/>
          <w:sz w:val="28"/>
          <w:szCs w:val="28"/>
          <w:highlight w:val="none"/>
        </w:rPr>
        <w:t xml:space="preserve">      年       月      日</w:t>
      </w:r>
    </w:p>
    <w:p w14:paraId="0E50E71C">
      <w:pPr>
        <w:adjustRightInd w:val="0"/>
        <w:jc w:val="both"/>
        <w:rPr>
          <w:bCs/>
          <w:color w:val="auto"/>
          <w:sz w:val="28"/>
          <w:szCs w:val="28"/>
          <w:highlight w:val="none"/>
        </w:rPr>
      </w:pPr>
      <w:r>
        <w:rPr>
          <w:bCs/>
          <w:color w:val="auto"/>
          <w:sz w:val="28"/>
          <w:szCs w:val="28"/>
          <w:highlight w:val="none"/>
        </w:rPr>
        <w:br w:type="page"/>
      </w:r>
    </w:p>
    <w:p w14:paraId="2A66E730">
      <w:pPr>
        <w:spacing w:after="120"/>
        <w:jc w:val="center"/>
        <w:rPr>
          <w:rFonts w:hint="eastAsia" w:cs="Times New Roman"/>
          <w:color w:val="auto"/>
          <w:sz w:val="32"/>
          <w:szCs w:val="40"/>
          <w:highlight w:val="none"/>
        </w:rPr>
      </w:pPr>
    </w:p>
    <w:p w14:paraId="5C0E2F14">
      <w:pPr>
        <w:spacing w:after="120"/>
        <w:jc w:val="center"/>
        <w:rPr>
          <w:rFonts w:cs="Times New Roman"/>
          <w:color w:val="auto"/>
          <w:sz w:val="32"/>
          <w:szCs w:val="40"/>
          <w:highlight w:val="none"/>
        </w:rPr>
      </w:pPr>
      <w:r>
        <w:rPr>
          <w:rFonts w:hint="eastAsia" w:cs="Times New Roman"/>
          <w:color w:val="auto"/>
          <w:sz w:val="32"/>
          <w:szCs w:val="40"/>
          <w:highlight w:val="none"/>
        </w:rPr>
        <w:t>2、其他商务部分要求的资料</w:t>
      </w:r>
    </w:p>
    <w:p w14:paraId="73BFADF8">
      <w:pPr>
        <w:rPr>
          <w:rFonts w:cs="Times New Roman"/>
          <w:color w:val="auto"/>
          <w:sz w:val="18"/>
          <w:szCs w:val="18"/>
          <w:highlight w:val="none"/>
        </w:rPr>
      </w:pPr>
    </w:p>
    <w:p w14:paraId="7B62778D">
      <w:pPr>
        <w:keepNext/>
        <w:keepLines/>
        <w:wordWrap w:val="0"/>
        <w:spacing w:line="400" w:lineRule="exact"/>
        <w:ind w:right="-378" w:rightChars="-172"/>
        <w:jc w:val="center"/>
        <w:outlineLvl w:val="1"/>
        <w:rPr>
          <w:rFonts w:cs="Times New Roman"/>
          <w:bCs/>
          <w:color w:val="auto"/>
          <w:sz w:val="28"/>
          <w:szCs w:val="24"/>
          <w:highlight w:val="none"/>
        </w:rPr>
      </w:pPr>
      <w:r>
        <w:rPr>
          <w:rFonts w:hint="eastAsia" w:cs="Times New Roman"/>
          <w:bCs/>
          <w:color w:val="auto"/>
          <w:sz w:val="28"/>
          <w:szCs w:val="24"/>
          <w:highlight w:val="none"/>
        </w:rPr>
        <w:t>（格式自拟，供应商应按照竞争磋商文件中要求的商务标内容进行编制）</w:t>
      </w:r>
    </w:p>
    <w:p w14:paraId="62AF759F">
      <w:pPr>
        <w:spacing w:line="360" w:lineRule="auto"/>
        <w:jc w:val="center"/>
        <w:rPr>
          <w:rFonts w:cs="Times New Roman"/>
          <w:b/>
          <w:bCs/>
          <w:color w:val="auto"/>
          <w:sz w:val="32"/>
          <w:szCs w:val="32"/>
          <w:highlight w:val="none"/>
        </w:rPr>
      </w:pPr>
    </w:p>
    <w:p w14:paraId="7B772710">
      <w:pPr>
        <w:spacing w:line="360" w:lineRule="auto"/>
        <w:jc w:val="center"/>
        <w:rPr>
          <w:rFonts w:cs="Times New Roman"/>
          <w:b/>
          <w:bCs/>
          <w:color w:val="auto"/>
          <w:sz w:val="32"/>
          <w:szCs w:val="32"/>
          <w:highlight w:val="none"/>
        </w:rPr>
      </w:pPr>
    </w:p>
    <w:p w14:paraId="7E2D5331">
      <w:pPr>
        <w:spacing w:line="360" w:lineRule="auto"/>
        <w:jc w:val="center"/>
        <w:rPr>
          <w:rFonts w:cs="Times New Roman"/>
          <w:b/>
          <w:bCs/>
          <w:color w:val="auto"/>
          <w:sz w:val="32"/>
          <w:szCs w:val="32"/>
          <w:highlight w:val="none"/>
        </w:rPr>
      </w:pPr>
    </w:p>
    <w:p w14:paraId="630430F0">
      <w:pPr>
        <w:spacing w:line="360" w:lineRule="auto"/>
        <w:jc w:val="center"/>
        <w:rPr>
          <w:rFonts w:cs="Times New Roman"/>
          <w:b/>
          <w:bCs/>
          <w:color w:val="auto"/>
          <w:sz w:val="32"/>
          <w:szCs w:val="32"/>
          <w:highlight w:val="none"/>
        </w:rPr>
      </w:pPr>
    </w:p>
    <w:p w14:paraId="1B5F791B">
      <w:pPr>
        <w:spacing w:line="360" w:lineRule="auto"/>
        <w:jc w:val="center"/>
        <w:rPr>
          <w:rFonts w:cs="Times New Roman"/>
          <w:b/>
          <w:bCs/>
          <w:color w:val="auto"/>
          <w:sz w:val="32"/>
          <w:szCs w:val="32"/>
          <w:highlight w:val="none"/>
        </w:rPr>
      </w:pPr>
    </w:p>
    <w:p w14:paraId="66188281">
      <w:pPr>
        <w:spacing w:line="360" w:lineRule="auto"/>
        <w:jc w:val="center"/>
        <w:rPr>
          <w:rFonts w:cs="Times New Roman"/>
          <w:b/>
          <w:bCs/>
          <w:color w:val="auto"/>
          <w:sz w:val="32"/>
          <w:szCs w:val="32"/>
          <w:highlight w:val="none"/>
        </w:rPr>
      </w:pPr>
    </w:p>
    <w:p w14:paraId="5404DA4A">
      <w:pPr>
        <w:spacing w:line="360" w:lineRule="auto"/>
        <w:jc w:val="center"/>
        <w:rPr>
          <w:rFonts w:cs="Times New Roman"/>
          <w:b/>
          <w:bCs/>
          <w:color w:val="auto"/>
          <w:sz w:val="32"/>
          <w:szCs w:val="32"/>
          <w:highlight w:val="none"/>
        </w:rPr>
      </w:pPr>
    </w:p>
    <w:p w14:paraId="1F1DC895">
      <w:pPr>
        <w:spacing w:line="360" w:lineRule="auto"/>
        <w:jc w:val="center"/>
        <w:rPr>
          <w:rFonts w:cs="Times New Roman"/>
          <w:b/>
          <w:bCs/>
          <w:color w:val="auto"/>
          <w:sz w:val="32"/>
          <w:szCs w:val="32"/>
          <w:highlight w:val="none"/>
        </w:rPr>
      </w:pPr>
    </w:p>
    <w:p w14:paraId="451BEE50">
      <w:pPr>
        <w:spacing w:line="360" w:lineRule="auto"/>
        <w:jc w:val="center"/>
        <w:rPr>
          <w:rFonts w:cs="Times New Roman"/>
          <w:b/>
          <w:bCs/>
          <w:color w:val="auto"/>
          <w:sz w:val="32"/>
          <w:szCs w:val="32"/>
          <w:highlight w:val="none"/>
        </w:rPr>
      </w:pPr>
    </w:p>
    <w:p w14:paraId="6D3CDCCA">
      <w:pPr>
        <w:spacing w:line="360" w:lineRule="auto"/>
        <w:jc w:val="center"/>
        <w:rPr>
          <w:rFonts w:cs="Times New Roman"/>
          <w:b/>
          <w:bCs/>
          <w:color w:val="auto"/>
          <w:sz w:val="32"/>
          <w:szCs w:val="32"/>
          <w:highlight w:val="none"/>
        </w:rPr>
      </w:pPr>
    </w:p>
    <w:p w14:paraId="7DD18C5A">
      <w:pPr>
        <w:spacing w:line="360" w:lineRule="auto"/>
        <w:jc w:val="center"/>
        <w:rPr>
          <w:rFonts w:cs="Times New Roman"/>
          <w:b/>
          <w:bCs/>
          <w:color w:val="auto"/>
          <w:sz w:val="32"/>
          <w:szCs w:val="32"/>
          <w:highlight w:val="none"/>
        </w:rPr>
      </w:pPr>
    </w:p>
    <w:p w14:paraId="4BD0EE62">
      <w:pPr>
        <w:spacing w:line="360" w:lineRule="auto"/>
        <w:jc w:val="center"/>
        <w:rPr>
          <w:rFonts w:cs="Times New Roman"/>
          <w:b/>
          <w:bCs/>
          <w:color w:val="auto"/>
          <w:sz w:val="32"/>
          <w:szCs w:val="32"/>
          <w:highlight w:val="none"/>
        </w:rPr>
      </w:pPr>
    </w:p>
    <w:p w14:paraId="0E14B2C1">
      <w:pPr>
        <w:spacing w:line="360" w:lineRule="auto"/>
        <w:jc w:val="center"/>
        <w:rPr>
          <w:rFonts w:cs="Times New Roman"/>
          <w:b/>
          <w:bCs/>
          <w:color w:val="auto"/>
          <w:sz w:val="32"/>
          <w:szCs w:val="32"/>
          <w:highlight w:val="none"/>
        </w:rPr>
      </w:pPr>
    </w:p>
    <w:p w14:paraId="3E2BBB15">
      <w:pPr>
        <w:spacing w:line="360" w:lineRule="auto"/>
        <w:jc w:val="center"/>
        <w:rPr>
          <w:rFonts w:cs="Times New Roman"/>
          <w:b/>
          <w:bCs/>
          <w:color w:val="auto"/>
          <w:sz w:val="32"/>
          <w:szCs w:val="32"/>
          <w:highlight w:val="none"/>
        </w:rPr>
      </w:pPr>
    </w:p>
    <w:p w14:paraId="115E2FB3">
      <w:pPr>
        <w:spacing w:line="360" w:lineRule="auto"/>
        <w:jc w:val="center"/>
        <w:rPr>
          <w:rFonts w:cs="Times New Roman"/>
          <w:b/>
          <w:bCs/>
          <w:color w:val="auto"/>
          <w:sz w:val="32"/>
          <w:szCs w:val="32"/>
          <w:highlight w:val="none"/>
        </w:rPr>
      </w:pPr>
    </w:p>
    <w:p w14:paraId="29B38D47">
      <w:pPr>
        <w:spacing w:line="360" w:lineRule="auto"/>
        <w:jc w:val="center"/>
        <w:rPr>
          <w:rFonts w:cs="Times New Roman"/>
          <w:b/>
          <w:bCs/>
          <w:color w:val="auto"/>
          <w:sz w:val="32"/>
          <w:szCs w:val="32"/>
          <w:highlight w:val="none"/>
        </w:rPr>
      </w:pPr>
    </w:p>
    <w:p w14:paraId="0F5CB2E3">
      <w:pPr>
        <w:spacing w:line="360" w:lineRule="auto"/>
        <w:jc w:val="center"/>
        <w:rPr>
          <w:rFonts w:cs="Times New Roman"/>
          <w:b/>
          <w:bCs/>
          <w:color w:val="auto"/>
          <w:sz w:val="32"/>
          <w:szCs w:val="32"/>
          <w:highlight w:val="none"/>
        </w:rPr>
      </w:pPr>
    </w:p>
    <w:p w14:paraId="1488196B">
      <w:pPr>
        <w:spacing w:after="120"/>
        <w:rPr>
          <w:rFonts w:cs="Times New Roman"/>
          <w:color w:val="auto"/>
          <w:szCs w:val="24"/>
          <w:highlight w:val="none"/>
        </w:rPr>
      </w:pPr>
    </w:p>
    <w:p w14:paraId="741C7940">
      <w:pPr>
        <w:adjustRightInd w:val="0"/>
        <w:jc w:val="center"/>
        <w:rPr>
          <w:rFonts w:hint="eastAsia"/>
          <w:b/>
          <w:bCs/>
          <w:color w:val="auto"/>
          <w:sz w:val="32"/>
          <w:szCs w:val="32"/>
          <w:highlight w:val="none"/>
        </w:rPr>
      </w:pPr>
    </w:p>
    <w:p w14:paraId="21D134EA">
      <w:pPr>
        <w:adjustRightInd w:val="0"/>
        <w:jc w:val="center"/>
        <w:rPr>
          <w:rFonts w:hint="eastAsia"/>
          <w:b/>
          <w:bCs/>
          <w:color w:val="auto"/>
          <w:sz w:val="32"/>
          <w:szCs w:val="32"/>
          <w:highlight w:val="none"/>
        </w:rPr>
      </w:pPr>
    </w:p>
    <w:p w14:paraId="498FC613">
      <w:pPr>
        <w:adjustRightInd w:val="0"/>
        <w:jc w:val="center"/>
        <w:rPr>
          <w:color w:val="auto"/>
          <w:sz w:val="24"/>
          <w:szCs w:val="24"/>
          <w:highlight w:val="none"/>
        </w:rPr>
      </w:pPr>
      <w:r>
        <w:rPr>
          <w:rFonts w:hint="eastAsia"/>
          <w:b/>
          <w:bCs/>
          <w:color w:val="auto"/>
          <w:sz w:val="32"/>
          <w:szCs w:val="32"/>
          <w:highlight w:val="none"/>
        </w:rPr>
        <w:t>九、其他资料</w:t>
      </w:r>
    </w:p>
    <w:p w14:paraId="79B8179E">
      <w:pPr>
        <w:adjustRightInd w:val="0"/>
        <w:jc w:val="center"/>
        <w:rPr>
          <w:bCs/>
          <w:color w:val="auto"/>
          <w:sz w:val="28"/>
          <w:szCs w:val="28"/>
          <w:highlight w:val="none"/>
        </w:rPr>
      </w:pPr>
      <w:r>
        <w:rPr>
          <w:rFonts w:hint="eastAsia"/>
          <w:bCs/>
          <w:color w:val="auto"/>
          <w:sz w:val="28"/>
          <w:szCs w:val="28"/>
          <w:highlight w:val="none"/>
        </w:rPr>
        <w:t>（竞争性磋商文件、采购清单、评分办法中提到的其他资料及供应商认为应附的其他资料，格式自拟）</w:t>
      </w:r>
    </w:p>
    <w:p w14:paraId="6D5D5280">
      <w:pPr>
        <w:adjustRightInd w:val="0"/>
        <w:jc w:val="center"/>
        <w:rPr>
          <w:bCs/>
          <w:color w:val="auto"/>
          <w:sz w:val="28"/>
          <w:szCs w:val="28"/>
          <w:highlight w:val="none"/>
        </w:rPr>
      </w:pPr>
    </w:p>
    <w:p w14:paraId="0A202587">
      <w:pPr>
        <w:adjustRightInd w:val="0"/>
        <w:jc w:val="center"/>
        <w:rPr>
          <w:bCs/>
          <w:color w:val="auto"/>
          <w:sz w:val="28"/>
          <w:szCs w:val="28"/>
          <w:highlight w:val="none"/>
        </w:rPr>
      </w:pPr>
    </w:p>
    <w:p w14:paraId="17B26B9D">
      <w:pPr>
        <w:adjustRightInd w:val="0"/>
        <w:jc w:val="center"/>
        <w:rPr>
          <w:bCs/>
          <w:color w:val="auto"/>
          <w:sz w:val="28"/>
          <w:szCs w:val="28"/>
          <w:highlight w:val="none"/>
        </w:rPr>
      </w:pPr>
    </w:p>
    <w:p w14:paraId="7D480F3B">
      <w:pPr>
        <w:adjustRightInd w:val="0"/>
        <w:jc w:val="center"/>
        <w:rPr>
          <w:bCs/>
          <w:color w:val="auto"/>
          <w:sz w:val="28"/>
          <w:szCs w:val="28"/>
          <w:highlight w:val="none"/>
        </w:rPr>
      </w:pPr>
    </w:p>
    <w:p w14:paraId="37C9DE56">
      <w:pPr>
        <w:adjustRightInd w:val="0"/>
        <w:jc w:val="center"/>
        <w:rPr>
          <w:bCs/>
          <w:color w:val="auto"/>
          <w:sz w:val="28"/>
          <w:szCs w:val="28"/>
          <w:highlight w:val="none"/>
        </w:rPr>
      </w:pPr>
    </w:p>
    <w:p w14:paraId="2F21A7E9">
      <w:pPr>
        <w:adjustRightInd w:val="0"/>
        <w:jc w:val="center"/>
        <w:rPr>
          <w:bCs/>
          <w:color w:val="auto"/>
          <w:sz w:val="28"/>
          <w:szCs w:val="28"/>
          <w:highlight w:val="none"/>
        </w:rPr>
      </w:pPr>
    </w:p>
    <w:p w14:paraId="59E4F020">
      <w:pPr>
        <w:adjustRightInd w:val="0"/>
        <w:jc w:val="center"/>
        <w:rPr>
          <w:bCs/>
          <w:color w:val="auto"/>
          <w:sz w:val="28"/>
          <w:szCs w:val="28"/>
          <w:highlight w:val="none"/>
        </w:rPr>
      </w:pPr>
    </w:p>
    <w:p w14:paraId="4D75A80C">
      <w:pPr>
        <w:adjustRightInd w:val="0"/>
        <w:jc w:val="center"/>
        <w:rPr>
          <w:bCs/>
          <w:color w:val="auto"/>
          <w:sz w:val="28"/>
          <w:szCs w:val="28"/>
          <w:highlight w:val="none"/>
        </w:rPr>
      </w:pPr>
    </w:p>
    <w:p w14:paraId="1CF93966">
      <w:pPr>
        <w:adjustRightInd w:val="0"/>
        <w:jc w:val="center"/>
        <w:rPr>
          <w:bCs/>
          <w:color w:val="auto"/>
          <w:sz w:val="28"/>
          <w:szCs w:val="28"/>
          <w:highlight w:val="none"/>
        </w:rPr>
      </w:pPr>
    </w:p>
    <w:p w14:paraId="6AB6F636">
      <w:pPr>
        <w:adjustRightInd w:val="0"/>
        <w:jc w:val="center"/>
        <w:rPr>
          <w:bCs/>
          <w:color w:val="auto"/>
          <w:sz w:val="28"/>
          <w:szCs w:val="28"/>
          <w:highlight w:val="none"/>
        </w:rPr>
      </w:pPr>
    </w:p>
    <w:p w14:paraId="0A37A673">
      <w:pPr>
        <w:adjustRightInd w:val="0"/>
        <w:jc w:val="center"/>
        <w:rPr>
          <w:bCs/>
          <w:color w:val="auto"/>
          <w:sz w:val="28"/>
          <w:szCs w:val="28"/>
          <w:highlight w:val="none"/>
        </w:rPr>
      </w:pPr>
    </w:p>
    <w:p w14:paraId="7765EFA5">
      <w:pPr>
        <w:adjustRightInd w:val="0"/>
        <w:jc w:val="center"/>
        <w:rPr>
          <w:bCs/>
          <w:color w:val="auto"/>
          <w:sz w:val="28"/>
          <w:szCs w:val="28"/>
          <w:highlight w:val="none"/>
        </w:rPr>
      </w:pPr>
    </w:p>
    <w:p w14:paraId="43DD920E">
      <w:pPr>
        <w:adjustRightInd w:val="0"/>
        <w:jc w:val="center"/>
        <w:rPr>
          <w:bCs/>
          <w:color w:val="auto"/>
          <w:sz w:val="28"/>
          <w:szCs w:val="28"/>
          <w:highlight w:val="none"/>
        </w:rPr>
      </w:pPr>
    </w:p>
    <w:p w14:paraId="041842F7">
      <w:pPr>
        <w:adjustRightInd w:val="0"/>
        <w:jc w:val="center"/>
        <w:rPr>
          <w:bCs/>
          <w:color w:val="auto"/>
          <w:sz w:val="28"/>
          <w:szCs w:val="28"/>
          <w:highlight w:val="none"/>
        </w:rPr>
      </w:pPr>
    </w:p>
    <w:p w14:paraId="0D8F7DEC">
      <w:pPr>
        <w:adjustRightInd w:val="0"/>
        <w:jc w:val="center"/>
        <w:rPr>
          <w:bCs/>
          <w:color w:val="auto"/>
          <w:sz w:val="28"/>
          <w:szCs w:val="28"/>
          <w:highlight w:val="none"/>
        </w:rPr>
      </w:pPr>
    </w:p>
    <w:p w14:paraId="6806C367">
      <w:pPr>
        <w:adjustRightInd w:val="0"/>
        <w:jc w:val="center"/>
        <w:rPr>
          <w:bCs/>
          <w:color w:val="auto"/>
          <w:sz w:val="28"/>
          <w:szCs w:val="28"/>
          <w:highlight w:val="none"/>
        </w:rPr>
      </w:pPr>
    </w:p>
    <w:p w14:paraId="648C1F64">
      <w:pPr>
        <w:adjustRightInd w:val="0"/>
        <w:jc w:val="center"/>
        <w:rPr>
          <w:bCs/>
          <w:color w:val="auto"/>
          <w:sz w:val="28"/>
          <w:szCs w:val="28"/>
          <w:highlight w:val="none"/>
        </w:rPr>
      </w:pPr>
    </w:p>
    <w:p w14:paraId="35D47A7A">
      <w:pPr>
        <w:adjustRightInd w:val="0"/>
        <w:jc w:val="center"/>
        <w:rPr>
          <w:bCs/>
          <w:color w:val="auto"/>
          <w:sz w:val="24"/>
          <w:szCs w:val="24"/>
          <w:highlight w:val="none"/>
        </w:rPr>
      </w:pPr>
    </w:p>
    <w:p w14:paraId="6FA33B98">
      <w:pPr>
        <w:adjustRightInd w:val="0"/>
        <w:jc w:val="center"/>
        <w:rPr>
          <w:bCs/>
          <w:color w:val="auto"/>
          <w:sz w:val="24"/>
          <w:szCs w:val="24"/>
          <w:highlight w:val="none"/>
        </w:rPr>
      </w:pPr>
    </w:p>
    <w:p w14:paraId="137FD0CA">
      <w:pPr>
        <w:adjustRightInd w:val="0"/>
        <w:jc w:val="center"/>
        <w:rPr>
          <w:bCs/>
          <w:color w:val="auto"/>
          <w:sz w:val="24"/>
          <w:szCs w:val="24"/>
          <w:highlight w:val="none"/>
        </w:rPr>
      </w:pPr>
    </w:p>
    <w:p w14:paraId="6519BF0E">
      <w:pPr>
        <w:adjustRightInd w:val="0"/>
        <w:jc w:val="center"/>
        <w:rPr>
          <w:bCs/>
          <w:color w:val="auto"/>
          <w:sz w:val="24"/>
          <w:szCs w:val="24"/>
          <w:highlight w:val="none"/>
        </w:rPr>
      </w:pPr>
    </w:p>
    <w:p w14:paraId="4FB9B290">
      <w:pPr>
        <w:rPr>
          <w:color w:val="auto"/>
          <w:highlight w:val="none"/>
        </w:rPr>
      </w:pPr>
      <w:r>
        <w:rPr>
          <w:color w:val="auto"/>
          <w:highlight w:val="none"/>
        </w:rPr>
        <w:t>附件：</w:t>
      </w:r>
    </w:p>
    <w:p w14:paraId="16A5DAC4">
      <w:pPr>
        <w:spacing w:line="360" w:lineRule="auto"/>
        <w:jc w:val="center"/>
        <w:rPr>
          <w:color w:val="auto"/>
          <w:sz w:val="28"/>
          <w:szCs w:val="28"/>
          <w:highlight w:val="none"/>
        </w:rPr>
      </w:pPr>
      <w:r>
        <w:rPr>
          <w:rFonts w:hint="eastAsia"/>
          <w:color w:val="auto"/>
          <w:sz w:val="28"/>
          <w:szCs w:val="28"/>
          <w:highlight w:val="none"/>
        </w:rPr>
        <w:t>中小企业声明函</w:t>
      </w:r>
    </w:p>
    <w:p w14:paraId="3053A6F5">
      <w:pPr>
        <w:spacing w:line="360" w:lineRule="auto"/>
        <w:jc w:val="center"/>
        <w:rPr>
          <w:b/>
          <w:bCs/>
          <w:color w:val="auto"/>
          <w:sz w:val="32"/>
          <w:szCs w:val="32"/>
          <w:highlight w:val="none"/>
        </w:rPr>
      </w:pPr>
      <w:r>
        <w:rPr>
          <w:rFonts w:hint="eastAsia"/>
          <w:b/>
          <w:bCs/>
          <w:color w:val="auto"/>
          <w:sz w:val="32"/>
          <w:szCs w:val="32"/>
          <w:highlight w:val="none"/>
        </w:rPr>
        <w:t>中小企业声明函（货物）</w:t>
      </w:r>
    </w:p>
    <w:p w14:paraId="0398CA08">
      <w:pPr>
        <w:snapToGrid w:val="0"/>
        <w:spacing w:line="360" w:lineRule="auto"/>
        <w:ind w:right="482" w:firstLine="480" w:firstLineChars="200"/>
        <w:rPr>
          <w:color w:val="auto"/>
          <w:sz w:val="24"/>
          <w:szCs w:val="20"/>
          <w:highlight w:val="none"/>
        </w:rPr>
      </w:pPr>
      <w:r>
        <w:rPr>
          <w:rFonts w:hint="eastAsia"/>
          <w:color w:val="auto"/>
          <w:sz w:val="24"/>
          <w:szCs w:val="20"/>
          <w:highlight w:val="none"/>
        </w:rPr>
        <w:t>本公司（联合体）郑重声明，根据《政府采购促进中小企业发展管理办法》（财库﹝2020﹞46 号）的规定，本公司（联合体）参加</w:t>
      </w:r>
      <w:r>
        <w:rPr>
          <w:rFonts w:hint="eastAsia"/>
          <w:color w:val="auto"/>
          <w:sz w:val="24"/>
          <w:szCs w:val="20"/>
          <w:highlight w:val="none"/>
          <w:u w:val="single"/>
        </w:rPr>
        <w:t>（单位名称）</w:t>
      </w:r>
      <w:r>
        <w:rPr>
          <w:rFonts w:hint="eastAsia"/>
          <w:color w:val="auto"/>
          <w:sz w:val="24"/>
          <w:szCs w:val="20"/>
          <w:highlight w:val="none"/>
        </w:rPr>
        <w:t>的</w:t>
      </w:r>
      <w:r>
        <w:rPr>
          <w:rFonts w:hint="eastAsia"/>
          <w:color w:val="auto"/>
          <w:sz w:val="24"/>
          <w:szCs w:val="20"/>
          <w:highlight w:val="none"/>
          <w:u w:val="single"/>
        </w:rPr>
        <w:t>（项目名称）</w:t>
      </w:r>
      <w:r>
        <w:rPr>
          <w:rFonts w:hint="eastAsia"/>
          <w:color w:val="auto"/>
          <w:sz w:val="24"/>
          <w:szCs w:val="20"/>
          <w:highlight w:val="none"/>
        </w:rPr>
        <w:t>采购活动，提供的货物全部由符合政策要求的中小企业制造。相关企业（含联合体中的中小企业、签订分包意向协议的中小企业）的具体情况如下：</w:t>
      </w:r>
    </w:p>
    <w:p w14:paraId="768A5794">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1.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w:t>
      </w:r>
      <w:r>
        <w:rPr>
          <w:rFonts w:hint="eastAsia"/>
          <w:color w:val="auto"/>
          <w:sz w:val="24"/>
          <w:szCs w:val="20"/>
          <w:highlight w:val="none"/>
          <w:vertAlign w:val="superscript"/>
        </w:rPr>
        <w:t>1</w:t>
      </w:r>
      <w:r>
        <w:rPr>
          <w:rFonts w:hint="eastAsia"/>
          <w:color w:val="auto"/>
          <w:sz w:val="24"/>
          <w:szCs w:val="20"/>
          <w:highlight w:val="none"/>
        </w:rPr>
        <w:t>，属于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183C538C">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2.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4F0E68E4">
      <w:pPr>
        <w:snapToGrid w:val="0"/>
        <w:spacing w:line="360" w:lineRule="auto"/>
        <w:ind w:right="482" w:firstLine="480" w:firstLineChars="200"/>
        <w:rPr>
          <w:color w:val="auto"/>
          <w:sz w:val="24"/>
          <w:szCs w:val="20"/>
          <w:highlight w:val="none"/>
        </w:rPr>
      </w:pPr>
      <w:r>
        <w:rPr>
          <w:rFonts w:hint="eastAsia"/>
          <w:color w:val="auto"/>
          <w:sz w:val="24"/>
          <w:szCs w:val="20"/>
          <w:highlight w:val="none"/>
        </w:rPr>
        <w:t>……</w:t>
      </w:r>
    </w:p>
    <w:p w14:paraId="10B48480">
      <w:pPr>
        <w:snapToGrid w:val="0"/>
        <w:spacing w:line="360" w:lineRule="auto"/>
        <w:ind w:right="482" w:firstLine="480" w:firstLineChars="200"/>
        <w:rPr>
          <w:color w:val="auto"/>
          <w:sz w:val="24"/>
          <w:szCs w:val="20"/>
          <w:highlight w:val="none"/>
        </w:rPr>
      </w:pPr>
      <w:r>
        <w:rPr>
          <w:rFonts w:hint="eastAsia"/>
          <w:color w:val="auto"/>
          <w:sz w:val="24"/>
          <w:szCs w:val="20"/>
          <w:highlight w:val="none"/>
        </w:rPr>
        <w:t>以上企业，不属于大企业的分支机构，不存在控股股东为大企业的情形，也不存在与大企业的负责人为同一人的情形。</w:t>
      </w:r>
    </w:p>
    <w:p w14:paraId="0AF6128C">
      <w:pPr>
        <w:snapToGrid w:val="0"/>
        <w:spacing w:line="360" w:lineRule="auto"/>
        <w:ind w:right="482" w:firstLine="480" w:firstLineChars="200"/>
        <w:rPr>
          <w:color w:val="auto"/>
          <w:sz w:val="24"/>
          <w:szCs w:val="20"/>
          <w:highlight w:val="none"/>
        </w:rPr>
      </w:pPr>
      <w:r>
        <w:rPr>
          <w:rFonts w:hint="eastAsia"/>
          <w:color w:val="auto"/>
          <w:sz w:val="24"/>
          <w:szCs w:val="20"/>
          <w:highlight w:val="none"/>
        </w:rPr>
        <w:t>本企业对上述声明内容的真实性负责。如有虚假，将依法承担相应责任。</w:t>
      </w:r>
    </w:p>
    <w:p w14:paraId="32409C84">
      <w:pPr>
        <w:snapToGrid w:val="0"/>
        <w:spacing w:line="360" w:lineRule="auto"/>
        <w:ind w:right="482" w:firstLine="5527" w:firstLineChars="2303"/>
        <w:rPr>
          <w:color w:val="auto"/>
          <w:sz w:val="24"/>
          <w:szCs w:val="20"/>
          <w:highlight w:val="none"/>
        </w:rPr>
      </w:pPr>
      <w:r>
        <w:rPr>
          <w:rFonts w:hint="eastAsia"/>
          <w:color w:val="auto"/>
          <w:sz w:val="24"/>
          <w:szCs w:val="20"/>
          <w:highlight w:val="none"/>
        </w:rPr>
        <w:t>企业名称（盖章）：</w:t>
      </w:r>
    </w:p>
    <w:p w14:paraId="09459F0D">
      <w:pPr>
        <w:snapToGrid w:val="0"/>
        <w:spacing w:line="360" w:lineRule="auto"/>
        <w:ind w:right="482" w:firstLine="5527" w:firstLineChars="2303"/>
        <w:rPr>
          <w:color w:val="auto"/>
          <w:sz w:val="24"/>
          <w:szCs w:val="20"/>
          <w:highlight w:val="none"/>
        </w:rPr>
      </w:pPr>
      <w:r>
        <w:rPr>
          <w:rFonts w:hint="eastAsia"/>
          <w:color w:val="auto"/>
          <w:sz w:val="24"/>
          <w:szCs w:val="20"/>
          <w:highlight w:val="none"/>
        </w:rPr>
        <w:t>日期：</w:t>
      </w:r>
    </w:p>
    <w:p w14:paraId="383F20A7">
      <w:pPr>
        <w:spacing w:line="400" w:lineRule="exact"/>
        <w:rPr>
          <w:b/>
          <w:bCs/>
          <w:color w:val="auto"/>
          <w:sz w:val="24"/>
          <w:szCs w:val="20"/>
          <w:highlight w:val="none"/>
        </w:rPr>
      </w:pPr>
      <w:r>
        <w:rPr>
          <w:rFonts w:hint="eastAsia"/>
          <w:b/>
          <w:bCs/>
          <w:color w:val="auto"/>
          <w:sz w:val="24"/>
          <w:szCs w:val="20"/>
          <w:highlight w:val="none"/>
        </w:rPr>
        <w:t>注：1、从业人员、营业收入、资产总额填报上一年度数据，无上一年度数据的新成立企业可不填报。</w:t>
      </w:r>
    </w:p>
    <w:p w14:paraId="2E28E34A">
      <w:pPr>
        <w:numPr>
          <w:ilvl w:val="0"/>
          <w:numId w:val="3"/>
        </w:numPr>
        <w:spacing w:line="400" w:lineRule="exact"/>
        <w:ind w:firstLine="630"/>
        <w:rPr>
          <w:rFonts w:hint="eastAsia"/>
          <w:b/>
          <w:bCs/>
          <w:color w:val="auto"/>
          <w:sz w:val="24"/>
          <w:szCs w:val="20"/>
          <w:highlight w:val="none"/>
        </w:rPr>
      </w:pPr>
      <w:r>
        <w:rPr>
          <w:rFonts w:hint="eastAsia"/>
          <w:b/>
          <w:bCs/>
          <w:color w:val="auto"/>
          <w:sz w:val="24"/>
          <w:szCs w:val="20"/>
          <w:highlight w:val="none"/>
        </w:rPr>
        <w:t>中小企业划分标准见工业和信息化部国家统计局国家发展和改革委员财政部《关于印发中小企业划型标准规定的通知》（工信部联企业【2011】300号）。</w:t>
      </w:r>
    </w:p>
    <w:p w14:paraId="4CF1A6ED">
      <w:pPr>
        <w:numPr>
          <w:ilvl w:val="0"/>
          <w:numId w:val="3"/>
        </w:numPr>
        <w:spacing w:line="400" w:lineRule="exact"/>
        <w:ind w:firstLine="630"/>
        <w:rPr>
          <w:rFonts w:hint="eastAsia"/>
          <w:b/>
          <w:bCs/>
          <w:color w:val="auto"/>
          <w:sz w:val="24"/>
          <w:szCs w:val="20"/>
          <w:highlight w:val="none"/>
        </w:rPr>
      </w:pPr>
      <w:r>
        <w:rPr>
          <w:rFonts w:hint="eastAsia"/>
          <w:b/>
          <w:bCs/>
          <w:color w:val="auto"/>
          <w:sz w:val="24"/>
          <w:szCs w:val="20"/>
          <w:highlight w:val="none"/>
        </w:rPr>
        <w:t>在货物采购项目中，供应商提供的货物既有中型企业制造，也有小微企业的，不享受办法规定的小微企业扶持政策。本次采购项目中包含多个采购标的，则每个采购货物标的均应有中小企业制造方可享受扶持政策。</w:t>
      </w:r>
    </w:p>
    <w:p w14:paraId="3AF9FC0C">
      <w:pPr>
        <w:spacing w:line="400" w:lineRule="exact"/>
        <w:ind w:right="111"/>
        <w:outlineLvl w:val="7"/>
        <w:rPr>
          <w:color w:val="auto"/>
          <w:highlight w:val="none"/>
        </w:rPr>
      </w:pPr>
      <w:r>
        <w:rPr>
          <w:rFonts w:hint="eastAsia" w:ascii="宋体" w:hAnsi="宋体" w:eastAsia="宋体" w:cs="宋体"/>
          <w:b/>
          <w:bCs/>
          <w:color w:val="auto"/>
          <w:sz w:val="24"/>
          <w:szCs w:val="20"/>
          <w:highlight w:val="none"/>
        </w:rPr>
        <w:t>备注：不属于中小的供应商投标文件中可不提供此声明函或不填写内容</w:t>
      </w:r>
      <w:r>
        <w:rPr>
          <w:rFonts w:hint="eastAsia" w:cs="宋体"/>
          <w:b/>
          <w:bCs/>
          <w:color w:val="auto"/>
          <w:sz w:val="24"/>
          <w:szCs w:val="20"/>
          <w:highlight w:val="none"/>
          <w:lang w:eastAsia="zh-CN"/>
        </w:rPr>
        <w:t>，</w:t>
      </w:r>
      <w:r>
        <w:rPr>
          <w:rFonts w:hint="eastAsia" w:ascii="宋体" w:hAnsi="宋体" w:eastAsia="宋体" w:cs="宋体"/>
          <w:b/>
          <w:bCs/>
          <w:color w:val="auto"/>
          <w:sz w:val="24"/>
          <w:szCs w:val="20"/>
          <w:highlight w:val="none"/>
        </w:rPr>
        <w:t>供应商提供声明函内容不实的，属于提供虚假材料谋取中标，依照《中华人民共和国政府采购法》等国家有关规定追究相应责任。</w:t>
      </w:r>
      <w:r>
        <w:rPr>
          <w:color w:val="auto"/>
          <w:highlight w:val="none"/>
        </w:rPr>
        <w:br w:type="page"/>
      </w:r>
    </w:p>
    <w:p w14:paraId="65E0CD9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繁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3799">
    <w:pPr>
      <w:pStyle w:val="8"/>
      <w:rPr>
        <w:sz w:val="21"/>
        <w:szCs w:val="18"/>
        <w:lang w:val="en-U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a:effectLst/>
                    </wps:spPr>
                    <wps:txbx>
                      <w:txbxContent>
                        <w:p w14:paraId="747AC517">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MEe0QAAAAIBAAAPAAAAAAAAAAEAIAAAACIAAABkcnMvZG93bnJldi54bWxQ&#10;SwECFAAUAAAACACHTuJAycIKljcCAABgBAAADgAAAAAAAAABACAAAAAgAQAAZHJzL2Uyb0RvYy54&#10;bWxQSwUGAAAAAAYABgBZAQAAyQUAAAAA&#10;">
              <v:fill on="f" focussize="0,0"/>
              <v:stroke on="f" weight="0.5pt"/>
              <v:imagedata o:title=""/>
              <o:lock v:ext="edit" aspectratio="f"/>
              <v:textbox inset="0mm,0mm,0mm,0mm" style="mso-fit-shape-to-text:t;">
                <w:txbxContent>
                  <w:p w14:paraId="747AC517">
                    <w:pPr>
                      <w:pStyle w:val="9"/>
                    </w:pPr>
                    <w:r>
                      <w:fldChar w:fldCharType="begin"/>
                    </w:r>
                    <w:r>
                      <w:instrText xml:space="preserve"> PAGE  \* MERGEFORMAT </w:instrText>
                    </w:r>
                    <w:r>
                      <w:fldChar w:fldCharType="separate"/>
                    </w:r>
                    <w:r>
                      <w:t>25</w:t>
                    </w:r>
                    <w:r>
                      <w:fldChar w:fldCharType="end"/>
                    </w:r>
                  </w:p>
                </w:txbxContent>
              </v:textbox>
            </v:shape>
          </w:pict>
        </mc:Fallback>
      </mc:AlternateContent>
    </w:r>
    <w:r>
      <w:rPr>
        <w:rFonts w:hint="eastAsia"/>
        <w:sz w:val="21"/>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4851">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083811A5">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buP6NzcCAABhBAAADgAAAAAAAAABACAAAAAgAQAAZHJzL2Uyb0RvYy54&#10;bWxQSwUGAAAAAAYABgBZAQAAyQUAAAAA&#10;">
              <v:fill on="f" focussize="0,0"/>
              <v:stroke on="f" weight="0.5pt"/>
              <v:imagedata o:title=""/>
              <o:lock v:ext="edit" aspectratio="f"/>
              <v:textbox inset="0mm,0mm,0mm,0mm" style="mso-fit-shape-to-text:t;">
                <w:txbxContent>
                  <w:p w14:paraId="083811A5">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A9F6">
    <w:pPr>
      <w:pStyle w:val="9"/>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516DFFA1">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8O2EqDcCAABhBAAADgAAAAAAAAABACAAAAAgAQAAZHJzL2Uyb0RvYy54&#10;bWxQSwUGAAAAAAYABgBZAQAAyQUAAAAA&#10;">
              <v:fill on="f" focussize="0,0"/>
              <v:stroke on="f" weight="0.5pt"/>
              <v:imagedata o:title=""/>
              <o:lock v:ext="edit" aspectratio="f"/>
              <v:textbox inset="0mm,0mm,0mm,0mm" style="mso-fit-shape-to-text:t;">
                <w:txbxContent>
                  <w:p w14:paraId="516DFFA1">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180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555168E5">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Ne8RkjcCAABhBAAADgAAAAAAAAABACAAAAAgAQAAZHJzL2Uyb0RvYy54&#10;bWxQSwUGAAAAAAYABgBZAQAAyQUAAAAA&#10;">
              <v:fill on="f" focussize="0,0"/>
              <v:stroke on="f" weight="0.5pt"/>
              <v:imagedata o:title=""/>
              <o:lock v:ext="edit" aspectratio="f"/>
              <v:textbox inset="0mm,0mm,0mm,0mm" style="mso-fit-shape-to-text:t;">
                <w:txbxContent>
                  <w:p w14:paraId="555168E5">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3461">
    <w:pPr>
      <w:pStyle w:val="1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67E1">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3BFD">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96C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AD1C6"/>
    <w:multiLevelType w:val="singleLevel"/>
    <w:tmpl w:val="D54AD1C6"/>
    <w:lvl w:ilvl="0" w:tentative="0">
      <w:start w:val="17"/>
      <w:numFmt w:val="decimal"/>
      <w:suff w:val="space"/>
      <w:lvlText w:val="%1、"/>
      <w:lvlJc w:val="left"/>
    </w:lvl>
  </w:abstractNum>
  <w:abstractNum w:abstractNumId="1">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7CECDDEC"/>
    <w:multiLevelType w:val="singleLevel"/>
    <w:tmpl w:val="7CECDDEC"/>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A76"/>
    <w:rsid w:val="03766107"/>
    <w:rsid w:val="03B739A6"/>
    <w:rsid w:val="044B7594"/>
    <w:rsid w:val="04F50E2F"/>
    <w:rsid w:val="05AB7BBE"/>
    <w:rsid w:val="084542FA"/>
    <w:rsid w:val="0AE946AF"/>
    <w:rsid w:val="0C272694"/>
    <w:rsid w:val="0CB917CF"/>
    <w:rsid w:val="0E797100"/>
    <w:rsid w:val="0EBD18F5"/>
    <w:rsid w:val="0F692140"/>
    <w:rsid w:val="11C428B4"/>
    <w:rsid w:val="123A47A4"/>
    <w:rsid w:val="12744159"/>
    <w:rsid w:val="129F0E57"/>
    <w:rsid w:val="12AB56A1"/>
    <w:rsid w:val="13B33ADA"/>
    <w:rsid w:val="14E444F8"/>
    <w:rsid w:val="152378BB"/>
    <w:rsid w:val="165D633E"/>
    <w:rsid w:val="17016842"/>
    <w:rsid w:val="18E52D16"/>
    <w:rsid w:val="1AFE6CB6"/>
    <w:rsid w:val="1B5C578B"/>
    <w:rsid w:val="1B9238A2"/>
    <w:rsid w:val="1BCA4194"/>
    <w:rsid w:val="1DD43CFE"/>
    <w:rsid w:val="1EAE650C"/>
    <w:rsid w:val="1F1D1E82"/>
    <w:rsid w:val="1F38650F"/>
    <w:rsid w:val="1F6115C2"/>
    <w:rsid w:val="1F884DA0"/>
    <w:rsid w:val="208A4B48"/>
    <w:rsid w:val="20BD3E04"/>
    <w:rsid w:val="220620E3"/>
    <w:rsid w:val="2217240B"/>
    <w:rsid w:val="22520116"/>
    <w:rsid w:val="22BB548D"/>
    <w:rsid w:val="242F6132"/>
    <w:rsid w:val="247104F9"/>
    <w:rsid w:val="248A5117"/>
    <w:rsid w:val="24F42ED8"/>
    <w:rsid w:val="27541A0C"/>
    <w:rsid w:val="27765E26"/>
    <w:rsid w:val="2A077209"/>
    <w:rsid w:val="2D0A7CF1"/>
    <w:rsid w:val="2DE80A35"/>
    <w:rsid w:val="2E150D41"/>
    <w:rsid w:val="2EFE507F"/>
    <w:rsid w:val="2F482128"/>
    <w:rsid w:val="2F4D5528"/>
    <w:rsid w:val="31AE4C2D"/>
    <w:rsid w:val="31FC4E6F"/>
    <w:rsid w:val="323629ED"/>
    <w:rsid w:val="324F5BF1"/>
    <w:rsid w:val="33E11727"/>
    <w:rsid w:val="33E15606"/>
    <w:rsid w:val="34BD7FA4"/>
    <w:rsid w:val="353D6675"/>
    <w:rsid w:val="35A95619"/>
    <w:rsid w:val="3857135C"/>
    <w:rsid w:val="3AD8254E"/>
    <w:rsid w:val="3B442094"/>
    <w:rsid w:val="3B8A37F6"/>
    <w:rsid w:val="3C1C08F2"/>
    <w:rsid w:val="3D2F5878"/>
    <w:rsid w:val="3D3B79B7"/>
    <w:rsid w:val="3DC62ABB"/>
    <w:rsid w:val="3EEB0A50"/>
    <w:rsid w:val="3F80388E"/>
    <w:rsid w:val="3FA147E2"/>
    <w:rsid w:val="3FA7706D"/>
    <w:rsid w:val="40CE487E"/>
    <w:rsid w:val="41E81277"/>
    <w:rsid w:val="421B789E"/>
    <w:rsid w:val="426B6130"/>
    <w:rsid w:val="42E303BC"/>
    <w:rsid w:val="43136275"/>
    <w:rsid w:val="440375B6"/>
    <w:rsid w:val="448E07FB"/>
    <w:rsid w:val="44AE49FA"/>
    <w:rsid w:val="45E278DF"/>
    <w:rsid w:val="46AD3081"/>
    <w:rsid w:val="474E228C"/>
    <w:rsid w:val="48124419"/>
    <w:rsid w:val="485D29BF"/>
    <w:rsid w:val="48AE7505"/>
    <w:rsid w:val="48E87129"/>
    <w:rsid w:val="49002F54"/>
    <w:rsid w:val="492B6918"/>
    <w:rsid w:val="49333D25"/>
    <w:rsid w:val="498521CD"/>
    <w:rsid w:val="4D2B4E39"/>
    <w:rsid w:val="4D311F8B"/>
    <w:rsid w:val="4E996FEF"/>
    <w:rsid w:val="4F8E7901"/>
    <w:rsid w:val="508362F4"/>
    <w:rsid w:val="521E0664"/>
    <w:rsid w:val="52753E57"/>
    <w:rsid w:val="52D25D57"/>
    <w:rsid w:val="5334256E"/>
    <w:rsid w:val="53B84F4D"/>
    <w:rsid w:val="54261E03"/>
    <w:rsid w:val="585E7C8F"/>
    <w:rsid w:val="598D0C2A"/>
    <w:rsid w:val="59FB5B93"/>
    <w:rsid w:val="5B437B30"/>
    <w:rsid w:val="5CE96177"/>
    <w:rsid w:val="5E2F22B0"/>
    <w:rsid w:val="5E8B1BDC"/>
    <w:rsid w:val="5F0B2CFC"/>
    <w:rsid w:val="605B55DE"/>
    <w:rsid w:val="62302A49"/>
    <w:rsid w:val="6287090C"/>
    <w:rsid w:val="63DF02D4"/>
    <w:rsid w:val="63EC6341"/>
    <w:rsid w:val="64432611"/>
    <w:rsid w:val="644840CB"/>
    <w:rsid w:val="64C453FE"/>
    <w:rsid w:val="658D7A28"/>
    <w:rsid w:val="67D16185"/>
    <w:rsid w:val="68B37A5F"/>
    <w:rsid w:val="68E35521"/>
    <w:rsid w:val="6C292A34"/>
    <w:rsid w:val="6D6A50B2"/>
    <w:rsid w:val="6DD369BE"/>
    <w:rsid w:val="6DF32115"/>
    <w:rsid w:val="6EED0A50"/>
    <w:rsid w:val="6F2A4AF9"/>
    <w:rsid w:val="70A221ED"/>
    <w:rsid w:val="72070621"/>
    <w:rsid w:val="721E46BD"/>
    <w:rsid w:val="75D85A64"/>
    <w:rsid w:val="7640289A"/>
    <w:rsid w:val="768D428E"/>
    <w:rsid w:val="7859644F"/>
    <w:rsid w:val="785B21C7"/>
    <w:rsid w:val="786D1EFA"/>
    <w:rsid w:val="78A448DC"/>
    <w:rsid w:val="78C728B3"/>
    <w:rsid w:val="78FB568C"/>
    <w:rsid w:val="7A0F3269"/>
    <w:rsid w:val="7ACB6801"/>
    <w:rsid w:val="7BC57958"/>
    <w:rsid w:val="7BD04C7A"/>
    <w:rsid w:val="7D2E791A"/>
    <w:rsid w:val="7D5F040E"/>
    <w:rsid w:val="7D764C9F"/>
    <w:rsid w:val="7DD547CA"/>
    <w:rsid w:val="7E3B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0"/>
    <w:pPr>
      <w:spacing w:before="38"/>
      <w:ind w:left="892"/>
      <w:jc w:val="center"/>
      <w:outlineLvl w:val="0"/>
    </w:pPr>
    <w:rPr>
      <w:sz w:val="32"/>
      <w:szCs w:val="32"/>
    </w:rPr>
  </w:style>
  <w:style w:type="paragraph" w:styleId="4">
    <w:name w:val="heading 4"/>
    <w:basedOn w:val="1"/>
    <w:next w:val="1"/>
    <w:qFormat/>
    <w:uiPriority w:val="0"/>
    <w:pPr>
      <w:ind w:left="740"/>
      <w:outlineLvl w:val="3"/>
    </w:pPr>
    <w:rPr>
      <w:b/>
      <w:bCs/>
      <w:sz w:val="24"/>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ind w:left="320"/>
    </w:pPr>
    <w:rPr>
      <w:rFonts w:ascii="Times New Roman" w:hAnsi="Times New Roman" w:cs="Times New Roman"/>
      <w:sz w:val="24"/>
      <w:szCs w:val="24"/>
      <w:lang w:bidi="ar-SA"/>
    </w:rPr>
  </w:style>
  <w:style w:type="paragraph" w:styleId="5">
    <w:name w:val="toa heading"/>
    <w:basedOn w:val="1"/>
    <w:next w:val="1"/>
    <w:unhideWhenUsed/>
    <w:qFormat/>
    <w:uiPriority w:val="99"/>
    <w:pPr>
      <w:spacing w:before="120"/>
    </w:pPr>
    <w:rPr>
      <w:rFonts w:ascii="Arial" w:hAnsi="Arial" w:cs="Arial"/>
      <w:sz w:val="24"/>
    </w:rPr>
  </w:style>
  <w:style w:type="paragraph" w:styleId="6">
    <w:name w:val="Body Text Indent"/>
    <w:basedOn w:val="1"/>
    <w:next w:val="7"/>
    <w:qFormat/>
    <w:uiPriority w:val="0"/>
    <w:pPr>
      <w:spacing w:after="120"/>
      <w:ind w:left="200" w:leftChars="200"/>
      <w:jc w:val="both"/>
    </w:pPr>
    <w:rPr>
      <w:kern w:val="2"/>
      <w:sz w:val="21"/>
    </w:rPr>
  </w:style>
  <w:style w:type="paragraph" w:styleId="7">
    <w:name w:val="envelope return"/>
    <w:basedOn w:val="1"/>
    <w:qFormat/>
    <w:uiPriority w:val="0"/>
    <w:pPr>
      <w:snapToGrid w:val="0"/>
    </w:pPr>
    <w:rPr>
      <w:rFonts w:ascii="Arial" w:hAnsi="Arial"/>
    </w:rPr>
  </w:style>
  <w:style w:type="paragraph" w:styleId="8">
    <w:name w:val="Plain Text"/>
    <w:basedOn w:val="1"/>
    <w:unhideWhenUsed/>
    <w:qFormat/>
    <w:uiPriority w:val="99"/>
    <w:rPr>
      <w:rFonts w:hAnsi="Courier New"/>
      <w:sz w:val="20"/>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490"/>
      <w:ind w:left="743"/>
    </w:pPr>
    <w:rPr>
      <w:b/>
      <w:bCs/>
      <w:sz w:val="32"/>
      <w:szCs w:val="32"/>
    </w:rPr>
  </w:style>
  <w:style w:type="paragraph" w:styleId="12">
    <w:name w:val="Body Text 2"/>
    <w:basedOn w:val="1"/>
    <w:next w:val="8"/>
    <w:qFormat/>
    <w:uiPriority w:val="0"/>
    <w:pPr>
      <w:spacing w:line="480" w:lineRule="auto"/>
    </w:pPr>
  </w:style>
  <w:style w:type="paragraph" w:styleId="13">
    <w:name w:val="Body Text First Indent"/>
    <w:basedOn w:val="2"/>
    <w:next w:val="14"/>
    <w:qFormat/>
    <w:uiPriority w:val="0"/>
    <w:pPr>
      <w:ind w:firstLine="420"/>
    </w:pPr>
    <w:rPr>
      <w:sz w:val="32"/>
    </w:rPr>
  </w:style>
  <w:style w:type="paragraph" w:styleId="14">
    <w:name w:val="Body Text First Indent 2"/>
    <w:basedOn w:val="6"/>
    <w:next w:val="13"/>
    <w:qFormat/>
    <w:uiPriority w:val="0"/>
    <w:pPr>
      <w:ind w:firstLine="200" w:firstLineChars="200"/>
    </w:pPr>
  </w:style>
  <w:style w:type="paragraph" w:customStyle="1" w:styleId="17">
    <w:name w:val="Default"/>
    <w:next w:val="1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大标题"/>
    <w:basedOn w:val="1"/>
    <w:next w:val="14"/>
    <w:qFormat/>
    <w:uiPriority w:val="0"/>
    <w:pPr>
      <w:pageBreakBefore/>
      <w:spacing w:after="200" w:line="720" w:lineRule="auto"/>
      <w:jc w:val="center"/>
      <w:outlineLvl w:val="0"/>
    </w:pPr>
    <w:rPr>
      <w:rFonts w:ascii="黑体" w:eastAsia="黑体"/>
      <w:sz w:val="32"/>
      <w:szCs w:val="30"/>
      <w:lang w:eastAsia="en-US" w:bidi="en-US"/>
    </w:rPr>
  </w:style>
  <w:style w:type="character" w:customStyle="1" w:styleId="19">
    <w:name w:val="font81"/>
    <w:basedOn w:val="16"/>
    <w:uiPriority w:val="0"/>
    <w:rPr>
      <w:rFonts w:hint="default" w:ascii="微软繁宋体" w:hAnsi="微软繁宋体" w:eastAsia="微软繁宋体" w:cs="微软繁宋体"/>
      <w:color w:val="000000"/>
      <w:sz w:val="18"/>
      <w:szCs w:val="18"/>
      <w:u w:val="none"/>
    </w:rPr>
  </w:style>
  <w:style w:type="character" w:customStyle="1" w:styleId="20">
    <w:name w:val="font131"/>
    <w:basedOn w:val="16"/>
    <w:uiPriority w:val="0"/>
    <w:rPr>
      <w:rFonts w:hint="default" w:ascii="微软繁宋体" w:hAnsi="微软繁宋体" w:eastAsia="微软繁宋体" w:cs="微软繁宋体"/>
      <w:color w:val="000000"/>
      <w:sz w:val="18"/>
      <w:szCs w:val="18"/>
      <w:u w:val="none"/>
      <w:vertAlign w:val="superscript"/>
    </w:rPr>
  </w:style>
  <w:style w:type="character" w:customStyle="1" w:styleId="21">
    <w:name w:val="font141"/>
    <w:basedOn w:val="16"/>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15523</Words>
  <Characters>17059</Characters>
  <Lines>0</Lines>
  <Paragraphs>0</Paragraphs>
  <TotalTime>25</TotalTime>
  <ScaleCrop>false</ScaleCrop>
  <LinksUpToDate>false</LinksUpToDate>
  <CharactersWithSpaces>17212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2025-09-03T07:37:00Z</dcterms:created>
  <dc:creator>Administrator</dc:creator>
  <cp:lastModifiedBy>luoluo</cp:lastModifiedBy>
  <cp:lastPrinted>2025-09-11T07:37:00Z</cp:lastPrinted>
  <dcterms:modified xsi:type="dcterms:W3CDTF">2025-09-11T09:17:21Z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eyJoZGlkIjoiMTNjNTlmY2FiMTYxMGU3NDc5MGNiYmJlYTZhZThhMGQiLCJ1c2VySWQiOiI2MjI0Nzg2MTcifQ==</vt:lpwstr>
  </property>
  <property fmtid="{D5CDD505-2E9C-101B-9397-08002B2CF9AE}" pid="4" name="ICV">
    <vt:lpwstr>9D91F6E7832F441DA0A082C529EC1607_12</vt:lpwstr>
  </property>
</Properties>
</file>