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210C5">
      <w:pPr>
        <w:jc w:val="center"/>
        <w:rPr>
          <w:rFonts w:hint="eastAsia" w:cs="Times New Roman" w:asciiTheme="minorEastAsia" w:hAnsiTheme="minorEastAsia" w:eastAsiaTheme="minorEastAsia"/>
          <w:bCs/>
          <w:color w:val="000000" w:themeColor="text1"/>
          <w:sz w:val="32"/>
          <w:szCs w:val="32"/>
          <w:highlight w:val="none"/>
          <w:lang w:eastAsia="zh-CN"/>
          <w14:textFill>
            <w14:solidFill>
              <w14:schemeClr w14:val="tx1"/>
            </w14:solidFill>
          </w14:textFill>
        </w:rPr>
      </w:pPr>
      <w:bookmarkStart w:id="43" w:name="_GoBack"/>
      <w:bookmarkEnd w:id="43"/>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湖滨区乡镇集中式饮用水水资源保护区环境状况</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调查、勘界、立标项目（</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二次</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w:t>
      </w:r>
    </w:p>
    <w:p w14:paraId="65426007">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p>
    <w:p w14:paraId="41854CE1">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r>
        <w:rPr>
          <w:rFonts w:hint="eastAsia" w:cs="Times New Roman" w:asciiTheme="minorEastAsia" w:hAnsiTheme="minorEastAsia"/>
          <w:bCs/>
          <w:color w:val="000000" w:themeColor="text1"/>
          <w:sz w:val="32"/>
          <w:szCs w:val="32"/>
          <w:highlight w:val="none"/>
          <w14:textFill>
            <w14:solidFill>
              <w14:schemeClr w14:val="tx1"/>
            </w14:solidFill>
          </w14:textFill>
        </w:rPr>
        <w:t>竞争性磋商文件</w:t>
      </w:r>
    </w:p>
    <w:p w14:paraId="5EDFFC6A">
      <w:pPr>
        <w:ind w:firstLine="2880" w:firstLineChars="900"/>
        <w:rPr>
          <w:rFonts w:hint="eastAsia" w:cs="Times New Roman" w:asciiTheme="minorEastAsia" w:hAnsiTheme="minorEastAsia"/>
          <w:color w:val="000000" w:themeColor="text1"/>
          <w:sz w:val="32"/>
          <w:szCs w:val="32"/>
          <w:highlight w:val="none"/>
          <w14:textFill>
            <w14:solidFill>
              <w14:schemeClr w14:val="tx1"/>
            </w14:solidFill>
          </w14:textFill>
        </w:rPr>
      </w:pPr>
    </w:p>
    <w:p w14:paraId="410CE2D6">
      <w:pPr>
        <w:jc w:val="cente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项目编号：湖滨竞磋采购-2025-30</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w:t>
      </w:r>
    </w:p>
    <w:p w14:paraId="54A394F3">
      <w:pPr>
        <w:jc w:val="center"/>
        <w:rPr>
          <w:rFonts w:hint="default" w:cs="Times New Roman" w:asciiTheme="minorEastAsia" w:hAnsiTheme="minorEastAsia"/>
          <w:color w:val="000000" w:themeColor="text1"/>
          <w:sz w:val="32"/>
          <w:szCs w:val="32"/>
          <w:highlight w:val="none"/>
          <w:lang w:val="en-US"/>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SGZ[2025]547-ZC359</w:t>
      </w:r>
    </w:p>
    <w:p w14:paraId="43CEDF4D">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p>
    <w:p w14:paraId="3EC42F38">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drawing>
          <wp:inline distT="0" distB="0" distL="114300" distR="114300">
            <wp:extent cx="2018665" cy="1800860"/>
            <wp:effectExtent l="0" t="0" r="635" b="889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8"/>
                    <a:stretch>
                      <a:fillRect/>
                    </a:stretch>
                  </pic:blipFill>
                  <pic:spPr>
                    <a:xfrm>
                      <a:off x="0" y="0"/>
                      <a:ext cx="2018665" cy="1800860"/>
                    </a:xfrm>
                    <a:prstGeom prst="rect">
                      <a:avLst/>
                    </a:prstGeom>
                  </pic:spPr>
                </pic:pic>
              </a:graphicData>
            </a:graphic>
          </wp:inline>
        </w:drawing>
      </w:r>
    </w:p>
    <w:p w14:paraId="3B2C3027">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p>
    <w:p w14:paraId="5B2BCB63">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p>
    <w:p w14:paraId="441D5938">
      <w:pPr>
        <w:rPr>
          <w:rFonts w:hint="eastAsia" w:cs="Times New Roman" w:asciiTheme="minorEastAsia" w:hAnsiTheme="minorEastAsia"/>
          <w:color w:val="000000" w:themeColor="text1"/>
          <w:sz w:val="32"/>
          <w:szCs w:val="32"/>
          <w:highlight w:val="none"/>
          <w14:textFill>
            <w14:solidFill>
              <w14:schemeClr w14:val="tx1"/>
            </w14:solidFill>
          </w14:textFill>
        </w:rPr>
      </w:pPr>
    </w:p>
    <w:p w14:paraId="6F9639DF">
      <w:pPr>
        <w:rPr>
          <w:rFonts w:hint="eastAsia" w:cs="Times New Roman" w:asciiTheme="minorEastAsia" w:hAnsiTheme="minorEastAsia"/>
          <w:color w:val="000000" w:themeColor="text1"/>
          <w:sz w:val="32"/>
          <w:szCs w:val="32"/>
          <w:highlight w:val="none"/>
          <w14:textFill>
            <w14:solidFill>
              <w14:schemeClr w14:val="tx1"/>
            </w14:solidFill>
          </w14:textFill>
        </w:rPr>
      </w:pPr>
    </w:p>
    <w:p w14:paraId="31DB2DE7">
      <w:pPr>
        <w:rPr>
          <w:rFonts w:hint="eastAsia" w:cs="Times New Roman" w:asciiTheme="minorEastAsia" w:hAnsiTheme="minorEastAsia"/>
          <w:color w:val="000000" w:themeColor="text1"/>
          <w:sz w:val="32"/>
          <w:szCs w:val="32"/>
          <w:highlight w:val="none"/>
          <w14:textFill>
            <w14:solidFill>
              <w14:schemeClr w14:val="tx1"/>
            </w14:solidFill>
          </w14:textFill>
        </w:rPr>
      </w:pPr>
    </w:p>
    <w:p w14:paraId="44CD36B9">
      <w:pPr>
        <w:ind w:firstLine="1600" w:firstLineChars="500"/>
        <w:jc w:val="both"/>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采</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购</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人：三门峡市湖滨区水利局</w:t>
      </w:r>
    </w:p>
    <w:p w14:paraId="03C5C2BE">
      <w:pPr>
        <w:jc w:val="cente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代理机构：河南洲禾建设工程有限公司</w:t>
      </w:r>
    </w:p>
    <w:p w14:paraId="5D4AEBDF">
      <w:pPr>
        <w:ind w:firstLine="1600" w:firstLineChars="500"/>
        <w:jc w:val="both"/>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 xml:space="preserve">日 </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期：二零二五年</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十一</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月</w:t>
      </w:r>
    </w:p>
    <w:p w14:paraId="23E679BC">
      <w:pPr>
        <w:jc w:val="center"/>
        <w:rPr>
          <w:rFonts w:hint="eastAsia" w:cs="Times New Roman" w:asciiTheme="minorEastAsia" w:hAnsiTheme="minorEastAsia"/>
          <w:b/>
          <w:color w:val="000000" w:themeColor="text1"/>
          <w:sz w:val="32"/>
          <w:szCs w:val="32"/>
          <w:highlight w:val="none"/>
          <w14:textFill>
            <w14:solidFill>
              <w14:schemeClr w14:val="tx1"/>
            </w14:solidFill>
          </w14:textFill>
        </w:rPr>
      </w:pPr>
    </w:p>
    <w:p w14:paraId="7C413383">
      <w:pPr>
        <w:jc w:val="both"/>
        <w:rPr>
          <w:rFonts w:hint="eastAsia" w:cs="Times New Roman" w:asciiTheme="minorEastAsia" w:hAnsiTheme="minorEastAsia"/>
          <w:b/>
          <w:color w:val="000000" w:themeColor="text1"/>
          <w:sz w:val="32"/>
          <w:szCs w:val="32"/>
          <w:highlight w:val="none"/>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p>
    <w:p w14:paraId="22CA4FA9">
      <w:pPr>
        <w:jc w:val="center"/>
        <w:rPr>
          <w:rFonts w:hint="eastAsia" w:cs="Times New Roman" w:asciiTheme="minorEastAsia" w:hAnsiTheme="minorEastAsia"/>
          <w:b/>
          <w:color w:val="000000" w:themeColor="text1"/>
          <w:sz w:val="24"/>
          <w:szCs w:val="24"/>
          <w:highlight w:val="none"/>
          <w14:textFill>
            <w14:solidFill>
              <w14:schemeClr w14:val="tx1"/>
            </w14:solidFill>
          </w14:textFill>
        </w:rPr>
      </w:pPr>
      <w:r>
        <w:rPr>
          <w:rFonts w:hint="eastAsia" w:cs="Times New Roman" w:asciiTheme="minorEastAsia" w:hAnsiTheme="minorEastAsia"/>
          <w:b/>
          <w:color w:val="000000" w:themeColor="text1"/>
          <w:sz w:val="24"/>
          <w:szCs w:val="24"/>
          <w:highlight w:val="none"/>
          <w14:textFill>
            <w14:solidFill>
              <w14:schemeClr w14:val="tx1"/>
            </w14:solidFill>
          </w14:textFill>
        </w:rPr>
        <w:t>目  录</w:t>
      </w:r>
    </w:p>
    <w:p w14:paraId="399A72DF">
      <w:pPr>
        <w:tabs>
          <w:tab w:val="right" w:leader="dot" w:pos="9071"/>
        </w:tabs>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bCs/>
          <w:color w:val="000000" w:themeColor="text1"/>
          <w:kern w:val="0"/>
          <w:sz w:val="24"/>
          <w:szCs w:val="24"/>
          <w:highlight w:val="none"/>
          <w14:textFill>
            <w14:solidFill>
              <w14:schemeClr w14:val="tx1"/>
            </w14:solidFill>
          </w14:textFill>
        </w:rPr>
        <w:fldChar w:fldCharType="begin"/>
      </w:r>
      <w:r>
        <w:rPr>
          <w:rFonts w:asciiTheme="minorEastAsia" w:hAnsiTheme="minorEastAsia"/>
          <w:bCs/>
          <w:color w:val="000000" w:themeColor="text1"/>
          <w:kern w:val="0"/>
          <w:sz w:val="24"/>
          <w:szCs w:val="24"/>
          <w:highlight w:val="none"/>
          <w14:textFill>
            <w14:solidFill>
              <w14:schemeClr w14:val="tx1"/>
            </w14:solidFill>
          </w14:textFill>
        </w:rPr>
        <w:instrText xml:space="preserve"> TOC \o "1-2" \h \z \u </w:instrText>
      </w:r>
      <w:r>
        <w:rPr>
          <w:rFonts w:asciiTheme="minorEastAsia" w:hAnsiTheme="minorEastAsia"/>
          <w:bCs/>
          <w:color w:val="000000" w:themeColor="text1"/>
          <w:kern w:val="0"/>
          <w:sz w:val="24"/>
          <w:szCs w:val="24"/>
          <w:highlight w:val="none"/>
          <w14:textFill>
            <w14:solidFill>
              <w14:schemeClr w14:val="tx1"/>
            </w14:solidFill>
          </w14:textFill>
        </w:rPr>
        <w:fldChar w:fldCharType="separate"/>
      </w:r>
      <w:r>
        <w:rPr>
          <w:sz w:val="24"/>
          <w:szCs w:val="24"/>
          <w:highlight w:val="none"/>
        </w:rPr>
        <w:fldChar w:fldCharType="begin"/>
      </w:r>
      <w:r>
        <w:rPr>
          <w:sz w:val="24"/>
          <w:szCs w:val="24"/>
          <w:highlight w:val="none"/>
        </w:rPr>
        <w:instrText xml:space="preserve"> HYPERLINK \l "_Toc518571700"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第一章  竞争性磋商公告</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p>
    <w:p w14:paraId="2DD46F17">
      <w:pPr>
        <w:tabs>
          <w:tab w:val="right" w:leader="dot" w:pos="9071"/>
        </w:tabs>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sz w:val="24"/>
          <w:szCs w:val="24"/>
          <w:highlight w:val="none"/>
        </w:rPr>
        <w:fldChar w:fldCharType="begin"/>
      </w:r>
      <w:r>
        <w:rPr>
          <w:sz w:val="24"/>
          <w:szCs w:val="24"/>
          <w:highlight w:val="none"/>
        </w:rPr>
        <w:instrText xml:space="preserve"> HYPERLINK \l "_Toc518571701"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第二章  供应商须知</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bCs/>
          <w:color w:val="000000" w:themeColor="text1"/>
          <w:sz w:val="24"/>
          <w:szCs w:val="24"/>
          <w:highlight w:val="none"/>
          <w14:textFill>
            <w14:solidFill>
              <w14:schemeClr w14:val="tx1"/>
            </w14:solidFill>
          </w14:textFill>
        </w:rPr>
        <w:fldChar w:fldCharType="end"/>
      </w:r>
    </w:p>
    <w:p w14:paraId="498A5698">
      <w:pPr>
        <w:tabs>
          <w:tab w:val="right" w:leader="dot" w:pos="9071"/>
        </w:tabs>
        <w:spacing w:line="360" w:lineRule="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"_Toc518571710" </w:instrText>
      </w:r>
      <w:r>
        <w:rPr>
          <w:sz w:val="24"/>
          <w:szCs w:val="24"/>
          <w:highlight w:val="none"/>
        </w:rPr>
        <w:fldChar w:fldCharType="separate"/>
      </w:r>
      <w:r>
        <w:rPr>
          <w:rFonts w:hint="eastAsia" w:cs="宋体" w:asciiTheme="minorEastAsia" w:hAnsiTheme="minorEastAsia"/>
          <w:bCs/>
          <w:color w:val="000000" w:themeColor="text1"/>
          <w:spacing w:val="-4"/>
          <w:sz w:val="24"/>
          <w:szCs w:val="24"/>
          <w:highlight w:val="none"/>
          <w14:textFill>
            <w14:solidFill>
              <w14:schemeClr w14:val="tx1"/>
            </w14:solidFill>
          </w14:textFill>
        </w:rPr>
        <w:t>第三章  服务需求</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1</w:t>
      </w:r>
    </w:p>
    <w:p w14:paraId="52D83D52">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"_Toc518571711"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第四章  合同条款及合同文件格式</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4</w:t>
      </w:r>
    </w:p>
    <w:p w14:paraId="39B69E83">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"_Toc518571712"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 xml:space="preserve">第五章  </w:t>
      </w:r>
      <w:r>
        <w:rPr>
          <w:rFonts w:hint="eastAsia" w:cs="宋体" w:asciiTheme="minorEastAsia" w:hAnsiTheme="minorEastAsia"/>
          <w:bCs/>
          <w:color w:val="000000" w:themeColor="text1"/>
          <w:sz w:val="24"/>
          <w:szCs w:val="24"/>
          <w:highlight w:val="none"/>
          <w14:textFill>
            <w14:solidFill>
              <w14:schemeClr w14:val="tx1"/>
            </w14:solidFill>
          </w14:textFill>
        </w:rPr>
        <w:t>评审标准</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5</w:t>
      </w:r>
    </w:p>
    <w:p w14:paraId="58937C9A">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"_Toc518571713"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第六章  磋商文件格式</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1</w:t>
      </w:r>
    </w:p>
    <w:p w14:paraId="47E6D1B4">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r>
        <w:rPr>
          <w:rFonts w:asciiTheme="minorEastAsia" w:hAnsiTheme="minorEastAsia"/>
          <w:color w:val="000000" w:themeColor="text1"/>
          <w:kern w:val="0"/>
          <w:sz w:val="24"/>
          <w:szCs w:val="24"/>
          <w:highlight w:val="none"/>
          <w14:textFill>
            <w14:solidFill>
              <w14:schemeClr w14:val="tx1"/>
            </w14:solidFill>
          </w14:textFill>
        </w:rPr>
        <w:fldChar w:fldCharType="end"/>
      </w:r>
    </w:p>
    <w:p w14:paraId="4ACB53B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84E0136">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2F71ABCD">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15EAF2E2">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8CA2CB3">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49A03E8D">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CFFC94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D1131B7">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4750C5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3FE1EE26">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E53EA1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r>
        <w:rPr>
          <w:rFonts w:cs="Times New Roman" w:asciiTheme="minorEastAsia" w:hAnsiTheme="minorEastAsia"/>
          <w:color w:val="000000" w:themeColor="text1"/>
          <w:kern w:val="0"/>
          <w:sz w:val="24"/>
          <w:szCs w:val="24"/>
          <w:highlight w:val="none"/>
          <w14:textFill>
            <w14:solidFill>
              <w14:schemeClr w14:val="tx1"/>
            </w14:solidFill>
          </w14:textFill>
        </w:rPr>
        <w:br w:type="textWrapping"/>
      </w:r>
    </w:p>
    <w:p w14:paraId="6AB37AC0">
      <w:pPr>
        <w:pStyle w:val="3"/>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396E1F40">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15425D59">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66191090">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44F78F44">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402E35C">
      <w:pPr>
        <w:rPr>
          <w:rFonts w:hint="eastAsia" w:cs="宋体" w:asciiTheme="minorEastAsia" w:hAnsiTheme="minorEastAsia"/>
          <w:b/>
          <w:bCs/>
          <w:color w:val="000000" w:themeColor="text1"/>
          <w:kern w:val="0"/>
          <w:sz w:val="24"/>
          <w:szCs w:val="24"/>
          <w:highlight w:val="none"/>
          <w14:textFill>
            <w14:solidFill>
              <w14:schemeClr w14:val="tx1"/>
            </w14:solidFill>
          </w14:textFill>
        </w:rPr>
      </w:pPr>
      <w:bookmarkStart w:id="0" w:name="_Toc109675032"/>
      <w:r>
        <w:rPr>
          <w:rFonts w:hint="eastAsia" w:cs="宋体" w:asciiTheme="minorEastAsia" w:hAnsiTheme="minorEastAsia"/>
          <w:b/>
          <w:bCs/>
          <w:color w:val="000000" w:themeColor="text1"/>
          <w:kern w:val="0"/>
          <w:sz w:val="24"/>
          <w:szCs w:val="24"/>
          <w:highlight w:val="none"/>
          <w:lang w:val="en-US" w:eastAsia="zh-CN"/>
          <w14:textFill>
            <w14:solidFill>
              <w14:schemeClr w14:val="tx1"/>
            </w14:solidFill>
          </w14:textFill>
        </w:rPr>
        <w:br w:type="page"/>
      </w:r>
    </w:p>
    <w:p w14:paraId="470263B2">
      <w:pPr>
        <w:widowControl/>
        <w:numPr>
          <w:ilvl w:val="0"/>
          <w:numId w:val="2"/>
        </w:numPr>
        <w:shd w:val="clear" w:color="auto" w:fill="FFFFFF"/>
        <w:spacing w:line="420" w:lineRule="atLeast"/>
        <w:jc w:val="center"/>
        <w:outlineLvl w:val="0"/>
        <w:rPr>
          <w:rFonts w:hint="eastAsia" w:cs="宋体" w:asciiTheme="minorEastAsia" w:hAnsi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b/>
          <w:bCs/>
          <w:color w:val="000000" w:themeColor="text1"/>
          <w:kern w:val="0"/>
          <w:sz w:val="24"/>
          <w:szCs w:val="24"/>
          <w:highlight w:val="none"/>
          <w:lang w:val="en-US" w:eastAsia="zh-CN"/>
          <w14:textFill>
            <w14:solidFill>
              <w14:schemeClr w14:val="tx1"/>
            </w14:solidFill>
          </w14:textFill>
        </w:rPr>
        <w:t xml:space="preserve">   </w:t>
      </w:r>
      <w:r>
        <w:rPr>
          <w:rFonts w:hint="eastAsia" w:cs="宋体" w:asciiTheme="minorEastAsia" w:hAnsiTheme="minorEastAsia"/>
          <w:b/>
          <w:bCs/>
          <w:color w:val="000000" w:themeColor="text1"/>
          <w:kern w:val="0"/>
          <w:sz w:val="24"/>
          <w:szCs w:val="24"/>
          <w:highlight w:val="none"/>
          <w14:textFill>
            <w14:solidFill>
              <w14:schemeClr w14:val="tx1"/>
            </w14:solidFill>
          </w14:textFill>
        </w:rPr>
        <w:t>竞争性磋商公告</w:t>
      </w:r>
      <w:bookmarkEnd w:id="0"/>
    </w:p>
    <w:p w14:paraId="01E772C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项目概况</w:t>
      </w:r>
    </w:p>
    <w:p w14:paraId="1ED93388">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湖滨区乡镇集中式饮用水水资源保护区环境状况调查、勘界、立标项目（二次）的潜在投标人应在三门峡市公共资源交易中心网获取磋商文件，并于2025年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08</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分（北京时间）前递交响应文件。</w:t>
      </w:r>
    </w:p>
    <w:p w14:paraId="67A520D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一、项目基本情况</w:t>
      </w:r>
    </w:p>
    <w:p w14:paraId="125259D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1.项目编号：湖滨竞磋采购-2025-30、</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SGZ[2025]547-ZC359</w:t>
      </w:r>
    </w:p>
    <w:p w14:paraId="0544DFE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2.项目名称： 湖滨区乡镇集中式饮用水水资源保护区环境状况调查、勘界、立标项目（二次）</w:t>
      </w:r>
    </w:p>
    <w:p w14:paraId="2986AAD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3.采购方式：竞争性磋商</w:t>
      </w:r>
    </w:p>
    <w:p w14:paraId="6A104DB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r>
        <w:rPr>
          <w:rFonts w:hint="eastAsia" w:ascii="仿宋" w:hAnsi="仿宋" w:eastAsia="仿宋" w:cs="仿宋"/>
          <w:color w:val="000000" w:themeColor="text1"/>
          <w:sz w:val="24"/>
          <w:szCs w:val="24"/>
          <w:highlight w:val="none"/>
          <w:lang w:eastAsia="zh-CN"/>
          <w14:textFill>
            <w14:solidFill>
              <w14:schemeClr w14:val="tx1"/>
            </w14:solidFill>
          </w14:textFill>
        </w:rPr>
        <w:t>元</w:t>
      </w:r>
    </w:p>
    <w:p w14:paraId="36DEB348">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r>
        <w:rPr>
          <w:rFonts w:hint="eastAsia" w:ascii="仿宋" w:hAnsi="仿宋" w:eastAsia="仿宋" w:cs="仿宋"/>
          <w:color w:val="000000" w:themeColor="text1"/>
          <w:sz w:val="24"/>
          <w:szCs w:val="24"/>
          <w:highlight w:val="none"/>
          <w:lang w:eastAsia="zh-CN"/>
          <w14:textFill>
            <w14:solidFill>
              <w14:schemeClr w14:val="tx1"/>
            </w14:solidFill>
          </w14:textFill>
        </w:rPr>
        <w:t>元</w:t>
      </w:r>
    </w:p>
    <w:tbl>
      <w:tblPr>
        <w:tblStyle w:val="2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19"/>
        <w:gridCol w:w="2938"/>
        <w:gridCol w:w="1486"/>
        <w:gridCol w:w="2005"/>
      </w:tblGrid>
      <w:tr w14:paraId="4B65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5F32341">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序号</w:t>
            </w:r>
          </w:p>
        </w:tc>
        <w:tc>
          <w:tcPr>
            <w:tcW w:w="1619" w:type="dxa"/>
            <w:vAlign w:val="center"/>
          </w:tcPr>
          <w:p w14:paraId="0D6F3B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包号</w:t>
            </w:r>
          </w:p>
        </w:tc>
        <w:tc>
          <w:tcPr>
            <w:tcW w:w="2938" w:type="dxa"/>
            <w:vAlign w:val="center"/>
          </w:tcPr>
          <w:p w14:paraId="341BCCAD">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包名称</w:t>
            </w:r>
          </w:p>
        </w:tc>
        <w:tc>
          <w:tcPr>
            <w:tcW w:w="1486" w:type="dxa"/>
            <w:vAlign w:val="center"/>
          </w:tcPr>
          <w:p w14:paraId="1AF8D514">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包预算（元）</w:t>
            </w:r>
          </w:p>
        </w:tc>
        <w:tc>
          <w:tcPr>
            <w:tcW w:w="2005" w:type="dxa"/>
            <w:vAlign w:val="center"/>
          </w:tcPr>
          <w:p w14:paraId="601D9D23">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包最高限价（元）</w:t>
            </w:r>
          </w:p>
        </w:tc>
      </w:tr>
      <w:tr w14:paraId="68D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10" w:type="dxa"/>
            <w:vAlign w:val="center"/>
          </w:tcPr>
          <w:p w14:paraId="5FDD09C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p>
        </w:tc>
        <w:tc>
          <w:tcPr>
            <w:tcW w:w="1619" w:type="dxa"/>
            <w:vAlign w:val="center"/>
          </w:tcPr>
          <w:p w14:paraId="3AE46E79">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SGZ[2025]547-ZC359-1</w:t>
            </w:r>
          </w:p>
        </w:tc>
        <w:tc>
          <w:tcPr>
            <w:tcW w:w="2938" w:type="dxa"/>
            <w:vAlign w:val="center"/>
          </w:tcPr>
          <w:p w14:paraId="6763738D">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湖滨区乡镇集中式饮用水水资源保护区环境状况调查、勘界、立标项目（二次）</w:t>
            </w:r>
          </w:p>
        </w:tc>
        <w:tc>
          <w:tcPr>
            <w:tcW w:w="1486" w:type="dxa"/>
            <w:vAlign w:val="center"/>
          </w:tcPr>
          <w:p w14:paraId="32EBBC5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p>
        </w:tc>
        <w:tc>
          <w:tcPr>
            <w:tcW w:w="2005" w:type="dxa"/>
            <w:vAlign w:val="center"/>
          </w:tcPr>
          <w:p w14:paraId="71FB766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p>
        </w:tc>
      </w:tr>
    </w:tbl>
    <w:p w14:paraId="0EBAB98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采购需求（包括但不限于标的的名称、数量、简要技术需求或服务要求等）：</w:t>
      </w:r>
    </w:p>
    <w:p w14:paraId="7AEC6AC6">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项目内容：本次湖滨区乡镇集中饮用水水源地一共3处，分别为湖滨区交口乡、磁钟乡、高庙乡。根据当前相关乡镇和水源地实际，开展湖滨区乡镇集中式饮用水水资源保护区环境状况调查、勘界和立标等相关工作，具体内容详见服务需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11E938F">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）采购范围：竞争性磋商文件及服务需求的全部内容。</w:t>
      </w:r>
    </w:p>
    <w:p w14:paraId="64B6A484">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（3）资金来源：财政资金，已落实</w:t>
      </w:r>
    </w:p>
    <w:p w14:paraId="7D083F93">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（4）服务地点：采购人指定地点。</w:t>
      </w:r>
    </w:p>
    <w:p w14:paraId="5AAF2EAB">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（5）质量要求：合格并符合采购人需求；</w:t>
      </w:r>
    </w:p>
    <w:p w14:paraId="7A50D02A">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（6）服务期：30日历天；</w:t>
      </w:r>
    </w:p>
    <w:p w14:paraId="590D99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6、合同履行期限：按合同约定执行。</w:t>
      </w:r>
    </w:p>
    <w:p w14:paraId="08EF83D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7、本项目是否接受联合体投标：否</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6F6D50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8、是否接受进口产品：否</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5689A4D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9、是否为只面向中小企业采购：是</w:t>
      </w:r>
    </w:p>
    <w:p w14:paraId="41C86AB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二、申请人资格要求</w:t>
      </w:r>
    </w:p>
    <w:p w14:paraId="5137462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1.满足《中华人民共和国政府采购法》第二十二条规定，提供承诺书；</w:t>
      </w:r>
    </w:p>
    <w:p w14:paraId="5F78CE2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2.落实政府采购政策满足的资格要求：本项目专门面向中小企业采购（监狱企业、残疾人福利性企业视同小微企业）；</w:t>
      </w:r>
    </w:p>
    <w:p w14:paraId="5194961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3.本项目的特定资格要求</w:t>
      </w:r>
    </w:p>
    <w:p w14:paraId="0615F326">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（1)供应商须具有合法有效的营业执照；</w:t>
      </w:r>
    </w:p>
    <w:p w14:paraId="7C3EAC07">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供应商须具有测绘主管部门颁发的测绘资质证书乙级及以上资质（专业范围需包含工程测量）；</w:t>
      </w:r>
    </w:p>
    <w:p w14:paraId="139F3DA7">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拟派项目负责人须具有工程测量类中级工程师及以上职称；</w:t>
      </w:r>
    </w:p>
    <w:p w14:paraId="014A3055">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）供应商须提供本企业无商业贿赂和不正当竞争行为承诺书（格式自拟）；</w:t>
      </w:r>
    </w:p>
    <w:p w14:paraId="26E24189">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183FF059">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）单位负责人为同一人或者存在直接控股、管理关系的不同供应商，不得参加同一合同项下的政府采购活动；（供应商自行承诺，格式自拟）；</w:t>
      </w:r>
    </w:p>
    <w:p w14:paraId="6901042F">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）本项目不接受联合体投标；</w:t>
      </w:r>
    </w:p>
    <w:p w14:paraId="67624149">
      <w:pPr>
        <w:keepNext w:val="0"/>
        <w:keepLines w:val="0"/>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本项目实行资格后审。</w:t>
      </w:r>
    </w:p>
    <w:p w14:paraId="2DBF1BE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三、获取采购文件</w:t>
      </w:r>
    </w:p>
    <w:p w14:paraId="5DD4E4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日至 </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日，每天上午00:00至12:00，下午12:00至23:59（北京时间）</w:t>
      </w:r>
    </w:p>
    <w:p w14:paraId="1B9331D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2.地点：三门峡市公共资源交易中心网</w:t>
      </w:r>
    </w:p>
    <w:p w14:paraId="60D604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509E29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办理CA证书链接：http://gzjy.smx.gov.cn/fwzn/004003/20201019/a8fae6a0-baed-499b-bb50-8ecc8828a2ca.html</w:t>
      </w:r>
    </w:p>
    <w:p w14:paraId="749B87C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4.售价：0元</w:t>
      </w:r>
    </w:p>
    <w:p w14:paraId="1195E53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四、响应文件提交</w:t>
      </w:r>
    </w:p>
    <w:p w14:paraId="6FE0C23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08</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w:t>
      </w:r>
    </w:p>
    <w:p w14:paraId="79C940E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2.地点：加密电子竞争性磋商响应文件须在磋商截止时间前通过三门峡市公共资源交易中心电子交易平台加密上传。</w:t>
      </w:r>
    </w:p>
    <w:p w14:paraId="53339C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五、响应文件开启</w:t>
      </w:r>
    </w:p>
    <w:p w14:paraId="1200BEA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08</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w:t>
      </w:r>
    </w:p>
    <w:p w14:paraId="043EBB7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2.地点：三门峡市公共资源交易中心五楼开标区</w:t>
      </w:r>
    </w:p>
    <w:p w14:paraId="0B69E8E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六、发布公告的媒介</w:t>
      </w:r>
    </w:p>
    <w:p w14:paraId="524B702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本次公告在《河南省政府采购网》、《中国招标投标公共服务平台》、《三门峡市公共资源交易中心网》上发布。</w:t>
      </w:r>
    </w:p>
    <w:p w14:paraId="219FADF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七、其他补充事宜</w:t>
      </w:r>
    </w:p>
    <w:p w14:paraId="5D7863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0BAB7E1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0DC4D37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3.根据《河南省财政厅关于优化政府采购营商环境有关问题的通知》（豫财购【2019】4号）第6条的规定，磋商保证金不再收取。</w:t>
      </w:r>
    </w:p>
    <w:p w14:paraId="27A1C6B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4.本项目实行资格后审，审查内容以竞争性磋商响应文件为准，其上传资料真实性由供应商自行承担，同时，供应商请完善主体库。</w:t>
      </w:r>
    </w:p>
    <w:p w14:paraId="30E4C91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1EEDAA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478342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7.我单位（采购人）严格按三财购【2021】9号文要求的时限发布中标结果公告，发出中标通知书，签订采购合同，上传采购合同。</w:t>
      </w:r>
    </w:p>
    <w:p w14:paraId="668DA9A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八、凡对本次招标提出询问，请按照以下方式联系</w:t>
      </w:r>
    </w:p>
    <w:p w14:paraId="1E40D48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 采购人</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34812C5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名称：三门峡市湖滨区水利局</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7013342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w:t>
      </w:r>
    </w:p>
    <w:p w14:paraId="016B105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王女士 </w:t>
      </w:r>
    </w:p>
    <w:p w14:paraId="12C1772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15603985853 </w:t>
      </w:r>
    </w:p>
    <w:p w14:paraId="1C0E40F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2.采购代理机构</w:t>
      </w:r>
    </w:p>
    <w:p w14:paraId="15417CE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代理机构：河南洲禾建设工程有限公司</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57C1E7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地    址：三门峡市商务中心区迎宾大道湖滨大厦A座2513室 </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798921C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联系人：马女士</w:t>
      </w:r>
    </w:p>
    <w:p w14:paraId="3909DB4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联系电话：15343990880</w:t>
      </w:r>
    </w:p>
    <w:p w14:paraId="20F11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3、监督名称：三门峡市湖滨区水利局</w:t>
      </w:r>
    </w:p>
    <w:p w14:paraId="1830423C">
      <w:pPr>
        <w:keepNext w:val="0"/>
        <w:keepLines w:val="0"/>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联系方式：0398－2</w:t>
      </w:r>
      <w:r>
        <w:rPr>
          <w:rFonts w:hint="eastAsia" w:ascii="仿宋" w:hAnsi="仿宋" w:eastAsia="仿宋" w:cs="仿宋"/>
          <w:color w:val="000000" w:themeColor="text1"/>
          <w:sz w:val="24"/>
          <w:szCs w:val="24"/>
          <w:highlight w:val="none"/>
          <w:lang w:val="en-US" w:eastAsia="zh-CN"/>
          <w14:textFill>
            <w14:solidFill>
              <w14:schemeClr w14:val="tx1"/>
            </w14:solidFill>
          </w14:textFill>
        </w:rPr>
        <w:t>808809</w:t>
      </w:r>
    </w:p>
    <w:p w14:paraId="33C2E5E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7161F9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7B2BB8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BD97C7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C24FDE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D2A2219">
      <w:pPr>
        <w:widowControl/>
        <w:jc w:val="center"/>
        <w:rPr>
          <w:rFonts w:hint="eastAsia" w:cs="Times New Roman" w:asciiTheme="minorEastAsia" w:hAnsiTheme="minorEastAsia"/>
          <w:b/>
          <w:bCs/>
          <w:color w:val="000000" w:themeColor="text1"/>
          <w:sz w:val="24"/>
          <w:szCs w:val="24"/>
          <w:highlight w:val="none"/>
          <w14:textFill>
            <w14:solidFill>
              <w14:schemeClr w14:val="tx1"/>
            </w14:solidFill>
          </w14:textFill>
        </w:rPr>
      </w:pPr>
    </w:p>
    <w:p w14:paraId="02372BFE">
      <w:pPr>
        <w:widowControl/>
        <w:jc w:val="center"/>
        <w:rPr>
          <w:rFonts w:hint="eastAsia" w:cs="Times New Roman" w:asciiTheme="minorEastAsia" w:hAnsiTheme="minorEastAsia"/>
          <w:b/>
          <w:bCs/>
          <w:color w:val="000000" w:themeColor="text1"/>
          <w:sz w:val="24"/>
          <w:szCs w:val="24"/>
          <w:highlight w:val="none"/>
          <w14:textFill>
            <w14:solidFill>
              <w14:schemeClr w14:val="tx1"/>
            </w14:solidFill>
          </w14:textFill>
        </w:rPr>
      </w:pPr>
      <w:r>
        <w:rPr>
          <w:rFonts w:hint="eastAsia" w:cs="Times New Roman" w:asciiTheme="minorEastAsia" w:hAnsiTheme="minorEastAsia"/>
          <w:b/>
          <w:bCs/>
          <w:color w:val="000000" w:themeColor="text1"/>
          <w:sz w:val="24"/>
          <w:szCs w:val="24"/>
          <w:highlight w:val="none"/>
          <w14:textFill>
            <w14:solidFill>
              <w14:schemeClr w14:val="tx1"/>
            </w14:solidFill>
          </w14:textFill>
        </w:rPr>
        <w:t>第二章  供应商须知</w:t>
      </w:r>
    </w:p>
    <w:p w14:paraId="170D33B4">
      <w:pPr>
        <w:spacing w:line="360" w:lineRule="auto"/>
        <w:jc w:val="center"/>
        <w:outlineLvl w:val="1"/>
        <w:rPr>
          <w:rFonts w:hint="eastAsia" w:cs="Times New Roman" w:asciiTheme="minorEastAsia" w:hAnsiTheme="minorEastAsia"/>
          <w:color w:val="000000" w:themeColor="text1"/>
          <w:sz w:val="24"/>
          <w:szCs w:val="24"/>
          <w:highlight w:val="none"/>
          <w14:textFill>
            <w14:solidFill>
              <w14:schemeClr w14:val="tx1"/>
            </w14:solidFill>
          </w14:textFill>
        </w:rPr>
      </w:pPr>
      <w:bookmarkStart w:id="1" w:name="_Toc518571702"/>
      <w:bookmarkStart w:id="2" w:name="_Toc109675033"/>
      <w:r>
        <w:rPr>
          <w:rFonts w:hint="eastAsia" w:cs="Times New Roman" w:asciiTheme="minorEastAsia" w:hAnsiTheme="minorEastAsia"/>
          <w:bCs/>
          <w:color w:val="000000" w:themeColor="text1"/>
          <w:sz w:val="24"/>
          <w:szCs w:val="24"/>
          <w:highlight w:val="none"/>
          <w14:textFill>
            <w14:solidFill>
              <w14:schemeClr w14:val="tx1"/>
            </w14:solidFill>
          </w14:textFill>
        </w:rPr>
        <w:t>须知前附表</w:t>
      </w:r>
      <w:bookmarkEnd w:id="1"/>
      <w:bookmarkEnd w:id="2"/>
    </w:p>
    <w:tbl>
      <w:tblPr>
        <w:tblStyle w:val="24"/>
        <w:tblW w:w="9214"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FAFA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21DBC6EB">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项号</w:t>
            </w:r>
          </w:p>
        </w:tc>
        <w:tc>
          <w:tcPr>
            <w:tcW w:w="1701" w:type="dxa"/>
            <w:tcBorders>
              <w:top w:val="single" w:color="auto" w:sz="12" w:space="0"/>
            </w:tcBorders>
            <w:vAlign w:val="center"/>
          </w:tcPr>
          <w:p w14:paraId="7072C335">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内容</w:t>
            </w:r>
          </w:p>
        </w:tc>
        <w:tc>
          <w:tcPr>
            <w:tcW w:w="6520" w:type="dxa"/>
            <w:tcBorders>
              <w:top w:val="single" w:color="auto" w:sz="12" w:space="0"/>
            </w:tcBorders>
            <w:vAlign w:val="center"/>
          </w:tcPr>
          <w:p w14:paraId="118D7714">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综合说明与要求</w:t>
            </w:r>
          </w:p>
        </w:tc>
      </w:tr>
      <w:tr w14:paraId="00EE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79C087C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w:t>
            </w:r>
          </w:p>
        </w:tc>
        <w:tc>
          <w:tcPr>
            <w:tcW w:w="1701" w:type="dxa"/>
            <w:vAlign w:val="center"/>
          </w:tcPr>
          <w:p w14:paraId="3C1A7BCE">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520" w:type="dxa"/>
            <w:vAlign w:val="center"/>
          </w:tcPr>
          <w:p w14:paraId="746B933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三门峡市湖滨区水利局</w:t>
            </w:r>
          </w:p>
          <w:p w14:paraId="27047B1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w:t>
            </w:r>
          </w:p>
          <w:p w14:paraId="58B7CD6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王女士</w:t>
            </w:r>
          </w:p>
          <w:p w14:paraId="68EB94A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15603985853  </w:t>
            </w:r>
          </w:p>
        </w:tc>
      </w:tr>
      <w:tr w14:paraId="2C2BC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7080804D">
            <w:pPr>
              <w:spacing w:line="360"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p>
        </w:tc>
        <w:tc>
          <w:tcPr>
            <w:tcW w:w="1701" w:type="dxa"/>
            <w:vAlign w:val="center"/>
          </w:tcPr>
          <w:p w14:paraId="7ABFA9E8">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w:t>
            </w:r>
          </w:p>
        </w:tc>
        <w:tc>
          <w:tcPr>
            <w:tcW w:w="6520" w:type="dxa"/>
            <w:vAlign w:val="center"/>
          </w:tcPr>
          <w:p w14:paraId="6399956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代理机构：河南洲禾建设工程有限公司</w:t>
            </w:r>
            <w:r>
              <w:rPr>
                <w:rFonts w:hint="eastAsia" w:ascii="仿宋" w:hAnsi="仿宋" w:eastAsia="仿宋" w:cs="仿宋"/>
                <w:color w:val="000000" w:themeColor="text1"/>
                <w:sz w:val="24"/>
                <w:szCs w:val="24"/>
                <w:highlight w:val="none"/>
                <w14:textFill>
                  <w14:solidFill>
                    <w14:schemeClr w14:val="tx1"/>
                  </w14:solidFill>
                </w14:textFill>
              </w:rPr>
              <w:tab/>
            </w:r>
          </w:p>
          <w:p w14:paraId="2A9C037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    址：三门峡市商务中心区迎宾大道湖滨大厦A座2513室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0DE9BCA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联系人：马女士</w:t>
            </w:r>
          </w:p>
          <w:p w14:paraId="339E610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联系电话：15343990880</w:t>
            </w:r>
          </w:p>
        </w:tc>
      </w:tr>
      <w:tr w14:paraId="3FF0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7959DFD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w:t>
            </w:r>
          </w:p>
        </w:tc>
        <w:tc>
          <w:tcPr>
            <w:tcW w:w="1701" w:type="dxa"/>
            <w:vAlign w:val="center"/>
          </w:tcPr>
          <w:p w14:paraId="769669CB">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520" w:type="dxa"/>
            <w:vAlign w:val="center"/>
          </w:tcPr>
          <w:p w14:paraId="2DB28E4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湖滨区乡镇集中式饮用水水资源保护区环境状况调查、勘界、立标项目（二次）</w:t>
            </w:r>
          </w:p>
        </w:tc>
      </w:tr>
      <w:tr w14:paraId="1F2B5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49D0008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w:t>
            </w:r>
          </w:p>
        </w:tc>
        <w:tc>
          <w:tcPr>
            <w:tcW w:w="1701" w:type="dxa"/>
            <w:vAlign w:val="center"/>
          </w:tcPr>
          <w:p w14:paraId="769B569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w:t>
            </w:r>
          </w:p>
        </w:tc>
        <w:tc>
          <w:tcPr>
            <w:tcW w:w="6520" w:type="dxa"/>
            <w:vAlign w:val="center"/>
          </w:tcPr>
          <w:p w14:paraId="70B16BE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次湖滨区乡镇集中饮用水水源地一共3处，分别为湖滨区交口乡、磁钟乡、高庙乡。根据当前相关乡镇和水源地实际，开展湖滨区乡镇集中式饮用水水资源保护区环境状况调查、勘界和立标等相关工作，具体内容详见服务需求</w:t>
            </w:r>
            <w:r>
              <w:rPr>
                <w:rFonts w:hint="eastAsia" w:ascii="仿宋" w:hAnsi="仿宋" w:eastAsia="仿宋" w:cs="仿宋"/>
                <w:color w:val="000000" w:themeColor="text1"/>
                <w:sz w:val="24"/>
                <w:szCs w:val="24"/>
                <w:highlight w:val="none"/>
                <w14:textFill>
                  <w14:solidFill>
                    <w14:schemeClr w14:val="tx1"/>
                  </w14:solidFill>
                </w14:textFill>
              </w:rPr>
              <w:t>。</w:t>
            </w:r>
          </w:p>
        </w:tc>
      </w:tr>
      <w:tr w14:paraId="1FC0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39C3208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w:t>
            </w:r>
          </w:p>
        </w:tc>
        <w:tc>
          <w:tcPr>
            <w:tcW w:w="1701" w:type="dxa"/>
            <w:vAlign w:val="center"/>
          </w:tcPr>
          <w:p w14:paraId="750FBD0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520" w:type="dxa"/>
            <w:vAlign w:val="center"/>
          </w:tcPr>
          <w:p w14:paraId="13B4893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竞争性磋商</w:t>
            </w:r>
          </w:p>
        </w:tc>
      </w:tr>
      <w:tr w14:paraId="3644B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2283051F">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w:t>
            </w:r>
          </w:p>
        </w:tc>
        <w:tc>
          <w:tcPr>
            <w:tcW w:w="1701" w:type="dxa"/>
            <w:vAlign w:val="center"/>
          </w:tcPr>
          <w:p w14:paraId="3EF6DDD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质量要求</w:t>
            </w:r>
          </w:p>
        </w:tc>
        <w:tc>
          <w:tcPr>
            <w:tcW w:w="6520" w:type="dxa"/>
            <w:vAlign w:val="center"/>
          </w:tcPr>
          <w:p w14:paraId="4E6C122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r>
              <w:rPr>
                <w:rFonts w:hint="eastAsia" w:ascii="仿宋" w:hAnsi="仿宋" w:eastAsia="仿宋" w:cs="仿宋"/>
                <w:color w:val="000000" w:themeColor="text1"/>
                <w:sz w:val="24"/>
                <w:szCs w:val="24"/>
                <w:highlight w:val="none"/>
                <w:lang w:eastAsia="zh-CN"/>
                <w14:textFill>
                  <w14:solidFill>
                    <w14:schemeClr w14:val="tx1"/>
                  </w14:solidFill>
                </w14:textFill>
              </w:rPr>
              <w:t>并符合</w:t>
            </w: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需求</w:t>
            </w:r>
            <w:r>
              <w:rPr>
                <w:rFonts w:hint="eastAsia" w:ascii="仿宋" w:hAnsi="仿宋" w:eastAsia="仿宋" w:cs="仿宋"/>
                <w:color w:val="000000" w:themeColor="text1"/>
                <w:sz w:val="24"/>
                <w:szCs w:val="24"/>
                <w:highlight w:val="none"/>
                <w14:textFill>
                  <w14:solidFill>
                    <w14:schemeClr w14:val="tx1"/>
                  </w14:solidFill>
                </w14:textFill>
              </w:rPr>
              <w:t>；</w:t>
            </w:r>
          </w:p>
        </w:tc>
      </w:tr>
      <w:tr w14:paraId="4BF31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144AC06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7</w:t>
            </w:r>
          </w:p>
        </w:tc>
        <w:tc>
          <w:tcPr>
            <w:tcW w:w="1701" w:type="dxa"/>
            <w:vAlign w:val="center"/>
          </w:tcPr>
          <w:p w14:paraId="5A37EAC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c>
          <w:tcPr>
            <w:tcW w:w="6520" w:type="dxa"/>
            <w:vAlign w:val="center"/>
          </w:tcPr>
          <w:p w14:paraId="36761177">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30日历天</w:t>
            </w:r>
          </w:p>
        </w:tc>
      </w:tr>
      <w:tr w14:paraId="23EAA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666282C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8</w:t>
            </w:r>
          </w:p>
        </w:tc>
        <w:tc>
          <w:tcPr>
            <w:tcW w:w="1701" w:type="dxa"/>
            <w:vAlign w:val="center"/>
          </w:tcPr>
          <w:p w14:paraId="1EC51BA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合同履行期限</w:t>
            </w:r>
          </w:p>
        </w:tc>
        <w:tc>
          <w:tcPr>
            <w:tcW w:w="6520" w:type="dxa"/>
            <w:vAlign w:val="center"/>
          </w:tcPr>
          <w:p w14:paraId="376DF65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按合同约定执行</w:t>
            </w:r>
          </w:p>
        </w:tc>
      </w:tr>
      <w:tr w14:paraId="5B863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351C959E">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9</w:t>
            </w:r>
          </w:p>
        </w:tc>
        <w:tc>
          <w:tcPr>
            <w:tcW w:w="1701" w:type="dxa"/>
            <w:vAlign w:val="center"/>
          </w:tcPr>
          <w:p w14:paraId="6498CDF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服务地点</w:t>
            </w:r>
          </w:p>
        </w:tc>
        <w:tc>
          <w:tcPr>
            <w:tcW w:w="6520" w:type="dxa"/>
            <w:vAlign w:val="center"/>
          </w:tcPr>
          <w:p w14:paraId="5A28E03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采购人指定地点</w:t>
            </w:r>
          </w:p>
        </w:tc>
      </w:tr>
      <w:tr w14:paraId="634B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159796A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10</w:t>
            </w:r>
          </w:p>
        </w:tc>
        <w:tc>
          <w:tcPr>
            <w:tcW w:w="1701" w:type="dxa"/>
            <w:vAlign w:val="center"/>
          </w:tcPr>
          <w:p w14:paraId="3194C7E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6520" w:type="dxa"/>
            <w:vAlign w:val="center"/>
          </w:tcPr>
          <w:p w14:paraId="5D2A25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财政资金，已落实</w:t>
            </w:r>
          </w:p>
        </w:tc>
      </w:tr>
      <w:tr w14:paraId="24B07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029C615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w:t>
            </w:r>
          </w:p>
        </w:tc>
        <w:tc>
          <w:tcPr>
            <w:tcW w:w="1701" w:type="dxa"/>
            <w:vAlign w:val="center"/>
          </w:tcPr>
          <w:p w14:paraId="2DD7888C">
            <w:pPr>
              <w:adjustRightInd w:val="0"/>
              <w:spacing w:line="324" w:lineRule="auto"/>
              <w:jc w:val="center"/>
              <w:rPr>
                <w:rFonts w:hint="eastAsia" w:ascii="仿宋" w:hAnsi="仿宋" w:eastAsia="仿宋" w:cs="仿宋"/>
                <w:color w:val="000000" w:themeColor="text1"/>
                <w:spacing w:val="-40"/>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磋商供应商资格要求</w:t>
            </w:r>
          </w:p>
        </w:tc>
        <w:tc>
          <w:tcPr>
            <w:tcW w:w="6520" w:type="dxa"/>
            <w:vAlign w:val="center"/>
          </w:tcPr>
          <w:p w14:paraId="31A79255">
            <w:pPr>
              <w:pStyle w:val="21"/>
              <w:spacing w:beforeAutospacing="0" w:afterAutospacing="0" w:line="440" w:lineRule="atLeast"/>
              <w:ind w:firstLine="480" w:firstLineChars="200"/>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详见招标公告</w:t>
            </w:r>
          </w:p>
        </w:tc>
      </w:tr>
      <w:tr w14:paraId="73345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7A2F294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w:t>
            </w:r>
          </w:p>
        </w:tc>
        <w:tc>
          <w:tcPr>
            <w:tcW w:w="1701" w:type="dxa"/>
            <w:vAlign w:val="center"/>
          </w:tcPr>
          <w:p w14:paraId="24B61668">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竞争性磋商有效</w:t>
            </w:r>
            <w:r>
              <w:rPr>
                <w:rFonts w:hint="eastAsia" w:ascii="仿宋" w:hAnsi="仿宋" w:eastAsia="仿宋" w:cs="仿宋"/>
                <w:color w:val="000000" w:themeColor="text1"/>
                <w:sz w:val="24"/>
                <w:szCs w:val="24"/>
                <w:highlight w:val="none"/>
                <w14:textFill>
                  <w14:solidFill>
                    <w14:schemeClr w14:val="tx1"/>
                  </w14:solidFill>
                </w14:textFill>
              </w:rPr>
              <w:t>期</w:t>
            </w:r>
          </w:p>
        </w:tc>
        <w:tc>
          <w:tcPr>
            <w:tcW w:w="6520" w:type="dxa"/>
            <w:vAlign w:val="center"/>
          </w:tcPr>
          <w:p w14:paraId="1FCACDA9">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60日历天(从磋商截止之日算起)</w:t>
            </w:r>
          </w:p>
        </w:tc>
      </w:tr>
      <w:tr w14:paraId="1A9FD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0D26A4D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13</w:t>
            </w:r>
          </w:p>
        </w:tc>
        <w:tc>
          <w:tcPr>
            <w:tcW w:w="1701" w:type="dxa"/>
            <w:vAlign w:val="center"/>
          </w:tcPr>
          <w:p w14:paraId="79DF034B">
            <w:pPr>
              <w:adjustRightInd w:val="0"/>
              <w:spacing w:line="324" w:lineRule="auto"/>
              <w:jc w:val="center"/>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竞争性磋商保证金</w:t>
            </w:r>
          </w:p>
        </w:tc>
        <w:tc>
          <w:tcPr>
            <w:tcW w:w="6520" w:type="dxa"/>
            <w:vAlign w:val="center"/>
          </w:tcPr>
          <w:p w14:paraId="47C03FE5">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根据《河南省财政厅关于优化政府采购营商环境有关问题的通知》（豫财购【2019】4号）第6条的规定，磋商保证金不再收取。</w:t>
            </w:r>
          </w:p>
        </w:tc>
      </w:tr>
      <w:tr w14:paraId="610C4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2F0ED510">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1701" w:type="dxa"/>
            <w:vAlign w:val="center"/>
          </w:tcPr>
          <w:p w14:paraId="65BD993B">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p>
        </w:tc>
        <w:tc>
          <w:tcPr>
            <w:tcW w:w="6520" w:type="dxa"/>
            <w:vAlign w:val="center"/>
          </w:tcPr>
          <w:p w14:paraId="44E6A6FF">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双方协商</w:t>
            </w:r>
          </w:p>
        </w:tc>
      </w:tr>
      <w:tr w14:paraId="3EC4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4218E75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15</w:t>
            </w:r>
          </w:p>
        </w:tc>
        <w:tc>
          <w:tcPr>
            <w:tcW w:w="1701" w:type="dxa"/>
            <w:vAlign w:val="center"/>
          </w:tcPr>
          <w:p w14:paraId="03A351FA">
            <w:pPr>
              <w:adjustRightInd w:val="0"/>
              <w:spacing w:line="324" w:lineRule="auto"/>
              <w:jc w:val="cente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是否允许提交备选方案</w:t>
            </w:r>
          </w:p>
        </w:tc>
        <w:tc>
          <w:tcPr>
            <w:tcW w:w="6520" w:type="dxa"/>
            <w:vAlign w:val="center"/>
          </w:tcPr>
          <w:p w14:paraId="6F7C9BEB">
            <w:pPr>
              <w:adjustRightInd w:val="0"/>
              <w:spacing w:line="324" w:lineRule="auto"/>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不允许</w:t>
            </w:r>
          </w:p>
        </w:tc>
      </w:tr>
      <w:tr w14:paraId="0C77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6CD9964D">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w:t>
            </w:r>
          </w:p>
        </w:tc>
        <w:tc>
          <w:tcPr>
            <w:tcW w:w="1701" w:type="dxa"/>
            <w:vAlign w:val="center"/>
          </w:tcPr>
          <w:p w14:paraId="43A4C8F0">
            <w:pPr>
              <w:adjustRightInd w:val="0"/>
              <w:spacing w:line="324" w:lineRule="auto"/>
              <w:jc w:val="lef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磋商响应文件递交截止时间</w:t>
            </w:r>
          </w:p>
        </w:tc>
        <w:tc>
          <w:tcPr>
            <w:tcW w:w="6520" w:type="dxa"/>
            <w:vAlign w:val="center"/>
          </w:tcPr>
          <w:p w14:paraId="5CC32939">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2025</w:t>
            </w:r>
            <w:r>
              <w:rPr>
                <w:rFonts w:hint="eastAsia" w:cs="Times New Roman" w:asciiTheme="minorEastAsia" w:hAnsi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12</w:t>
            </w:r>
            <w:r>
              <w:rPr>
                <w:rFonts w:hint="eastAsia" w:cs="Times New Roman" w:asciiTheme="minorEastAsia" w:hAnsi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8</w:t>
            </w:r>
            <w:r>
              <w:rPr>
                <w:rFonts w:hint="eastAsia" w:cs="Times New Roman" w:asciiTheme="minorEastAsia" w:hAnsiTheme="minorEastAsia"/>
                <w:color w:val="000000" w:themeColor="text1"/>
                <w:sz w:val="24"/>
                <w:szCs w:val="24"/>
                <w:highlight w:val="none"/>
                <w14:textFill>
                  <w14:solidFill>
                    <w14:schemeClr w14:val="tx1"/>
                  </w14:solidFill>
                </w14:textFill>
              </w:rPr>
              <w:t>日</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08</w:t>
            </w:r>
            <w:r>
              <w:rPr>
                <w:rFonts w:hint="eastAsia" w:cs="Times New Roman" w:asciiTheme="minorEastAsia" w:hAnsiTheme="minorEastAsia"/>
                <w:color w:val="000000" w:themeColor="text1"/>
                <w:sz w:val="24"/>
                <w:szCs w:val="24"/>
                <w:highlight w:val="none"/>
                <w14:textFill>
                  <w14:solidFill>
                    <w14:schemeClr w14:val="tx1"/>
                  </w14:solidFill>
                </w14:textFill>
              </w:rPr>
              <w:t>时</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30</w:t>
            </w:r>
            <w:r>
              <w:rPr>
                <w:rFonts w:hint="eastAsia" w:cs="Times New Roman" w:asciiTheme="minorEastAsia" w:hAnsiTheme="minorEastAsia"/>
                <w:color w:val="000000" w:themeColor="text1"/>
                <w:sz w:val="24"/>
                <w:szCs w:val="24"/>
                <w:highlight w:val="none"/>
                <w14:textFill>
                  <w14:solidFill>
                    <w14:schemeClr w14:val="tx1"/>
                  </w14:solidFill>
                </w14:textFill>
              </w:rPr>
              <w:t>分</w:t>
            </w:r>
          </w:p>
        </w:tc>
      </w:tr>
      <w:tr w14:paraId="2441B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75EA0CF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17</w:t>
            </w:r>
          </w:p>
        </w:tc>
        <w:tc>
          <w:tcPr>
            <w:tcW w:w="1701" w:type="dxa"/>
            <w:vAlign w:val="center"/>
          </w:tcPr>
          <w:p w14:paraId="241A52B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竞争性磋商响应文件上传</w:t>
            </w:r>
          </w:p>
        </w:tc>
        <w:tc>
          <w:tcPr>
            <w:tcW w:w="6520" w:type="dxa"/>
            <w:vAlign w:val="center"/>
          </w:tcPr>
          <w:p w14:paraId="40BA44D8">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响应文件的电子版用企业和法人CA数字证书在磋商截止时间前上传至“三门峡市公共资源交易中心网站”。</w:t>
            </w:r>
          </w:p>
        </w:tc>
      </w:tr>
      <w:tr w14:paraId="1F30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76E04068">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w:t>
            </w:r>
          </w:p>
        </w:tc>
        <w:tc>
          <w:tcPr>
            <w:tcW w:w="1701" w:type="dxa"/>
            <w:vAlign w:val="center"/>
          </w:tcPr>
          <w:p w14:paraId="6F127374">
            <w:pPr>
              <w:adjustRightInd w:val="0"/>
              <w:spacing w:line="324" w:lineRule="auto"/>
              <w:jc w:val="center"/>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响应人要求澄清竞争性磋商文件的截止时间</w:t>
            </w:r>
          </w:p>
        </w:tc>
        <w:tc>
          <w:tcPr>
            <w:tcW w:w="6520" w:type="dxa"/>
            <w:vAlign w:val="center"/>
          </w:tcPr>
          <w:p w14:paraId="1F13C643">
            <w:pP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响应文件递交截止时间5日前</w:t>
            </w:r>
          </w:p>
        </w:tc>
      </w:tr>
      <w:tr w14:paraId="7635A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CB5AE2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19</w:t>
            </w:r>
          </w:p>
        </w:tc>
        <w:tc>
          <w:tcPr>
            <w:tcW w:w="1701" w:type="dxa"/>
            <w:vAlign w:val="center"/>
          </w:tcPr>
          <w:p w14:paraId="000D466F">
            <w:pPr>
              <w:spacing w:line="440" w:lineRule="exact"/>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响应人确认收到竞争性磋商文件澄清的时间</w:t>
            </w:r>
          </w:p>
        </w:tc>
        <w:tc>
          <w:tcPr>
            <w:tcW w:w="6520" w:type="dxa"/>
            <w:vAlign w:val="center"/>
          </w:tcPr>
          <w:p w14:paraId="70B4E75D">
            <w:pPr>
              <w:pStyle w:val="22"/>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在收到相应澄清文件后 24 小时内</w:t>
            </w:r>
          </w:p>
        </w:tc>
      </w:tr>
      <w:tr w14:paraId="5004C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226F4FA8">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20</w:t>
            </w:r>
          </w:p>
        </w:tc>
        <w:tc>
          <w:tcPr>
            <w:tcW w:w="1701" w:type="dxa"/>
            <w:vAlign w:val="center"/>
          </w:tcPr>
          <w:p w14:paraId="1FDAF503">
            <w:pPr>
              <w:spacing w:line="440" w:lineRule="exact"/>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响应人确认收到竞争性磋商文件修改的时间</w:t>
            </w:r>
          </w:p>
        </w:tc>
        <w:tc>
          <w:tcPr>
            <w:tcW w:w="6520" w:type="dxa"/>
            <w:vAlign w:val="center"/>
          </w:tcPr>
          <w:p w14:paraId="308694B4">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在收到相应修改文件后 24小时内</w:t>
            </w:r>
          </w:p>
        </w:tc>
      </w:tr>
      <w:tr w14:paraId="5205F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5DF4AF8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21</w:t>
            </w:r>
          </w:p>
        </w:tc>
        <w:tc>
          <w:tcPr>
            <w:tcW w:w="1701" w:type="dxa"/>
            <w:vAlign w:val="center"/>
          </w:tcPr>
          <w:p w14:paraId="09C6CFC6">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响应文件是否退还</w:t>
            </w:r>
          </w:p>
        </w:tc>
        <w:tc>
          <w:tcPr>
            <w:tcW w:w="6520" w:type="dxa"/>
            <w:vAlign w:val="center"/>
          </w:tcPr>
          <w:p w14:paraId="363D151E">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否</w:t>
            </w:r>
          </w:p>
        </w:tc>
      </w:tr>
      <w:tr w14:paraId="13C8F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032E532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22</w:t>
            </w:r>
          </w:p>
        </w:tc>
        <w:tc>
          <w:tcPr>
            <w:tcW w:w="1701" w:type="dxa"/>
            <w:vAlign w:val="center"/>
          </w:tcPr>
          <w:p w14:paraId="02C2B699">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是否允许递交备选磋商方案</w:t>
            </w:r>
          </w:p>
        </w:tc>
        <w:tc>
          <w:tcPr>
            <w:tcW w:w="6520" w:type="dxa"/>
            <w:vAlign w:val="center"/>
          </w:tcPr>
          <w:p w14:paraId="5AD53647">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不允许</w:t>
            </w:r>
          </w:p>
        </w:tc>
      </w:tr>
      <w:tr w14:paraId="584AC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3" w:hRule="atLeast"/>
        </w:trPr>
        <w:tc>
          <w:tcPr>
            <w:tcW w:w="993" w:type="dxa"/>
            <w:vAlign w:val="center"/>
          </w:tcPr>
          <w:p w14:paraId="09B0A56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23</w:t>
            </w:r>
          </w:p>
        </w:tc>
        <w:tc>
          <w:tcPr>
            <w:tcW w:w="1701" w:type="dxa"/>
            <w:vAlign w:val="center"/>
          </w:tcPr>
          <w:p w14:paraId="79B446B6">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color w:val="000000" w:themeColor="text1"/>
                <w:spacing w:val="6"/>
                <w:sz w:val="24"/>
                <w:szCs w:val="24"/>
                <w:highlight w:val="none"/>
                <w14:textFill>
                  <w14:solidFill>
                    <w14:schemeClr w14:val="tx1"/>
                  </w14:solidFill>
                </w14:textFill>
              </w:rPr>
              <w:t>磋商小组的组建</w:t>
            </w:r>
          </w:p>
        </w:tc>
        <w:tc>
          <w:tcPr>
            <w:tcW w:w="6520" w:type="dxa"/>
            <w:vAlign w:val="center"/>
          </w:tcPr>
          <w:p w14:paraId="11EF9CD5">
            <w:pPr>
              <w:pStyle w:val="22"/>
              <w:ind w:firstLine="0" w:firstLineChars="0"/>
              <w:rPr>
                <w:rFonts w:hint="eastAsia" w:ascii="仿宋" w:hAnsi="仿宋" w:eastAsia="仿宋" w:cs="仿宋"/>
                <w:color w:val="000000" w:themeColor="text1"/>
                <w:spacing w:val="6"/>
                <w:kern w:val="2"/>
                <w:sz w:val="24"/>
                <w:szCs w:val="24"/>
                <w:highlight w:val="none"/>
                <w:lang w:val="zh-TW"/>
                <w14:textFill>
                  <w14:solidFill>
                    <w14:schemeClr w14:val="tx1"/>
                  </w14:solidFill>
                </w14:textFill>
              </w:rPr>
            </w:pPr>
            <w:r>
              <w:rPr>
                <w:rFonts w:hint="eastAsia" w:ascii="仿宋" w:hAnsi="仿宋" w:eastAsia="仿宋" w:cs="仿宋"/>
                <w:color w:val="000000" w:themeColor="text1"/>
                <w:spacing w:val="6"/>
                <w:kern w:val="2"/>
                <w:sz w:val="24"/>
                <w:szCs w:val="24"/>
                <w:highlight w:val="none"/>
                <w14:textFill>
                  <w14:solidFill>
                    <w14:schemeClr w14:val="tx1"/>
                  </w14:solidFill>
                </w14:textFill>
              </w:rPr>
              <w:t>磋商小组成员为3人，其中采购人代表1人，</w:t>
            </w:r>
            <w:r>
              <w:rPr>
                <w:rFonts w:hint="eastAsia" w:ascii="仿宋" w:hAnsi="仿宋" w:eastAsia="仿宋" w:cs="仿宋"/>
                <w:color w:val="000000" w:themeColor="text1"/>
                <w:spacing w:val="6"/>
                <w:kern w:val="2"/>
                <w:sz w:val="24"/>
                <w:szCs w:val="24"/>
                <w:highlight w:val="none"/>
                <w:lang w:val="zh-TW"/>
                <w14:textFill>
                  <w14:solidFill>
                    <w14:schemeClr w14:val="tx1"/>
                  </w14:solidFill>
                </w14:textFill>
              </w:rPr>
              <w:t>其余专家2人从河南省政府采购评审专家库中随机抽取。</w:t>
            </w:r>
          </w:p>
          <w:p w14:paraId="6DC080FD">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color w:val="000000" w:themeColor="text1"/>
                <w:spacing w:val="6"/>
                <w:sz w:val="24"/>
                <w:szCs w:val="24"/>
                <w:highlight w:val="none"/>
                <w:lang w:val="zh-TW"/>
                <w14:textFill>
                  <w14:solidFill>
                    <w14:schemeClr w14:val="tx1"/>
                  </w14:solidFill>
                </w14:textFill>
              </w:rPr>
              <w:t>注：</w:t>
            </w:r>
            <w:r>
              <w:rPr>
                <w:rFonts w:hint="eastAsia" w:ascii="仿宋" w:hAnsi="仿宋" w:eastAsia="仿宋" w:cs="仿宋"/>
                <w:color w:val="000000" w:themeColor="text1"/>
                <w:spacing w:val="6"/>
                <w:sz w:val="24"/>
                <w:szCs w:val="24"/>
                <w:highlight w:val="none"/>
                <w14:textFill>
                  <w14:solidFill>
                    <w14:schemeClr w14:val="tx1"/>
                  </w14:solidFill>
                </w14:textFill>
              </w:rPr>
              <w:t>业主评委无评标劳务费用.</w:t>
            </w:r>
          </w:p>
        </w:tc>
      </w:tr>
      <w:tr w14:paraId="1E798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0077C26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24</w:t>
            </w:r>
          </w:p>
        </w:tc>
        <w:tc>
          <w:tcPr>
            <w:tcW w:w="1701" w:type="dxa"/>
            <w:vAlign w:val="center"/>
          </w:tcPr>
          <w:p w14:paraId="751BECB2">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是否授权磋商小组确定成交人</w:t>
            </w:r>
          </w:p>
        </w:tc>
        <w:tc>
          <w:tcPr>
            <w:tcW w:w="6520" w:type="dxa"/>
            <w:vAlign w:val="center"/>
          </w:tcPr>
          <w:p w14:paraId="2FB4905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否，根据排名推荐3名成交候选人</w:t>
            </w:r>
          </w:p>
        </w:tc>
      </w:tr>
      <w:tr w14:paraId="2091B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07DF9B95">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25</w:t>
            </w:r>
          </w:p>
        </w:tc>
        <w:tc>
          <w:tcPr>
            <w:tcW w:w="1701" w:type="dxa"/>
            <w:vAlign w:val="center"/>
          </w:tcPr>
          <w:p w14:paraId="3E0274E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磋商标准及方法</w:t>
            </w:r>
          </w:p>
        </w:tc>
        <w:tc>
          <w:tcPr>
            <w:tcW w:w="6520" w:type="dxa"/>
            <w:vAlign w:val="center"/>
          </w:tcPr>
          <w:p w14:paraId="7D239ED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4C9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1459703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26</w:t>
            </w:r>
          </w:p>
        </w:tc>
        <w:tc>
          <w:tcPr>
            <w:tcW w:w="1701" w:type="dxa"/>
            <w:vAlign w:val="center"/>
          </w:tcPr>
          <w:p w14:paraId="24805777">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履约保证金</w:t>
            </w:r>
          </w:p>
        </w:tc>
        <w:tc>
          <w:tcPr>
            <w:tcW w:w="6520" w:type="dxa"/>
            <w:vAlign w:val="center"/>
          </w:tcPr>
          <w:p w14:paraId="7F5587A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无</w:t>
            </w:r>
          </w:p>
        </w:tc>
      </w:tr>
      <w:tr w14:paraId="5EE17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01C1E6F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27</w:t>
            </w:r>
          </w:p>
        </w:tc>
        <w:tc>
          <w:tcPr>
            <w:tcW w:w="1701" w:type="dxa"/>
            <w:vAlign w:val="center"/>
          </w:tcPr>
          <w:p w14:paraId="21F1B28F">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最高限价</w:t>
            </w:r>
          </w:p>
        </w:tc>
        <w:tc>
          <w:tcPr>
            <w:tcW w:w="6520" w:type="dxa"/>
            <w:vAlign w:val="center"/>
          </w:tcPr>
          <w:p w14:paraId="1318B0E8">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本项目最高限价：</w:t>
            </w:r>
            <w:r>
              <w:rPr>
                <w:rFonts w:hint="eastAsia" w:ascii="仿宋" w:hAnsi="仿宋" w:eastAsia="仿宋" w:cs="仿宋"/>
                <w:spacing w:val="6"/>
                <w:sz w:val="24"/>
                <w:szCs w:val="24"/>
                <w:highlight w:val="none"/>
                <w:lang w:val="en-US" w:eastAsia="zh-CN"/>
              </w:rPr>
              <w:t>480000.00</w:t>
            </w:r>
            <w:r>
              <w:rPr>
                <w:rFonts w:hint="eastAsia" w:ascii="仿宋" w:hAnsi="仿宋" w:eastAsia="仿宋" w:cs="仿宋"/>
                <w:spacing w:val="6"/>
                <w:sz w:val="24"/>
                <w:szCs w:val="24"/>
                <w:highlight w:val="none"/>
              </w:rPr>
              <w:t>元</w:t>
            </w:r>
          </w:p>
          <w:p w14:paraId="02C5700F">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磋商供应商磋商报价超出“最高限价”的，该磋商供应商按无效处理。</w:t>
            </w:r>
          </w:p>
        </w:tc>
      </w:tr>
      <w:tr w14:paraId="37553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59CF588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28</w:t>
            </w:r>
          </w:p>
        </w:tc>
        <w:tc>
          <w:tcPr>
            <w:tcW w:w="1701" w:type="dxa"/>
            <w:vAlign w:val="center"/>
          </w:tcPr>
          <w:p w14:paraId="72A2DA11">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报价</w:t>
            </w:r>
          </w:p>
        </w:tc>
        <w:tc>
          <w:tcPr>
            <w:tcW w:w="6520" w:type="dxa"/>
            <w:vAlign w:val="center"/>
          </w:tcPr>
          <w:p w14:paraId="2B5A9DB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本次磋商应以人民币报价，分两次进行报价。</w:t>
            </w:r>
          </w:p>
        </w:tc>
      </w:tr>
      <w:tr w14:paraId="5F940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023C353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29</w:t>
            </w:r>
          </w:p>
        </w:tc>
        <w:tc>
          <w:tcPr>
            <w:tcW w:w="1701" w:type="dxa"/>
            <w:vAlign w:val="center"/>
          </w:tcPr>
          <w:p w14:paraId="13F8ED62">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代理服务费</w:t>
            </w:r>
          </w:p>
        </w:tc>
        <w:tc>
          <w:tcPr>
            <w:tcW w:w="6520" w:type="dxa"/>
            <w:vAlign w:val="center"/>
          </w:tcPr>
          <w:p w14:paraId="7D64C85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招标代理服务费参照《河南省招标代理服务收费指导意见》（豫招协【2023】002号）计取，由中标人支付。</w:t>
            </w:r>
          </w:p>
        </w:tc>
      </w:tr>
      <w:tr w14:paraId="7D8E8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993" w:type="dxa"/>
            <w:vAlign w:val="center"/>
          </w:tcPr>
          <w:p w14:paraId="2F8EABDE">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30</w:t>
            </w:r>
          </w:p>
        </w:tc>
        <w:tc>
          <w:tcPr>
            <w:tcW w:w="1701" w:type="dxa"/>
            <w:vAlign w:val="center"/>
          </w:tcPr>
          <w:p w14:paraId="003BFD29">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电子化注意事项</w:t>
            </w:r>
          </w:p>
        </w:tc>
        <w:tc>
          <w:tcPr>
            <w:tcW w:w="6520" w:type="dxa"/>
            <w:vAlign w:val="center"/>
          </w:tcPr>
          <w:p w14:paraId="02BA23B4">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5F93DDA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电子化响应文件具体制作文件请点击https://download.bqpoint.com/download/downloadlist.html?SoftTypeCode=06进行下载。</w:t>
            </w:r>
          </w:p>
          <w:p w14:paraId="065F21E5">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温馨提示：本项目为电子化、无纸化交易项目，为保证您能投标成功，请需仔细阅读以下条款。</w:t>
            </w:r>
          </w:p>
          <w:p w14:paraId="4477CFD2">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一、电子化投标</w:t>
            </w:r>
          </w:p>
          <w:p w14:paraId="4AF55F2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（一）电子化响应文件的签章</w:t>
            </w:r>
          </w:p>
          <w:p w14:paraId="68E598D1">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1、响应人在生成电子化响应文件后，应对电子化响应文件进行签章，未进行签章的视为无效投标。</w:t>
            </w:r>
          </w:p>
          <w:p w14:paraId="56C6CAFE">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2、竞争性磋商文件中要求法定代表人或授权委托人签字或盖章的，响应人在进行电子化响应文件签章时，以签盖法定代表人签章为准。</w:t>
            </w:r>
          </w:p>
          <w:p w14:paraId="3B0D1C22">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（二）电子化响应文件的格式及上传投标</w:t>
            </w:r>
          </w:p>
          <w:p w14:paraId="48452467">
            <w:pPr>
              <w:wordWrap w:val="0"/>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17283DC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注：响应人投报多个标段的，需要每个标段单独制作电子响应文件。</w:t>
            </w:r>
          </w:p>
          <w:p w14:paraId="4006849F">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D12D06">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79AA3D">
            <w:pPr>
              <w:autoSpaceDE w:val="0"/>
              <w:autoSpaceDN w:val="0"/>
              <w:adjustRightInd w:val="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技术联系电话：0398-</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3117871</w:t>
            </w:r>
          </w:p>
          <w:p w14:paraId="5B58C49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新点客服电话:4009980000</w:t>
            </w:r>
          </w:p>
          <w:p w14:paraId="3D88B58F">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（三）电子化项目开标、解密、评标</w:t>
            </w:r>
          </w:p>
          <w:p w14:paraId="40993351">
            <w:pPr>
              <w:wordWrap w:val="0"/>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1183653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52F7C65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3、电子化响应文件解密异常的处理</w:t>
            </w:r>
          </w:p>
          <w:p w14:paraId="4B081C1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如出现响应人的电子响应文件无法解密等异常情况，响应人应及时致电中介服务机构说明。响应文件异常，按以下步骤进行处理：</w:t>
            </w:r>
          </w:p>
          <w:p w14:paraId="7B5C2BEB">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（1）首先由技术人员进行问题排查。</w:t>
            </w:r>
          </w:p>
          <w:p w14:paraId="5C173FD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（2）经技术人员排查后，是响应人文件自身问题导致响应文件无法解密的，该响应文件将不予接收、解密。开标会议继续进行。</w:t>
            </w:r>
          </w:p>
          <w:p w14:paraId="39D1996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694148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4、待所有响应人响应文件解密完成后，由中介服务机构操作，对所有已解密响应文件进行解密。</w:t>
            </w:r>
          </w:p>
          <w:p w14:paraId="5EFA8306">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591C61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A6D1F6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6A2C716B">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7、如评标委员会对需要回复的响应人连续三次致电未接通的，视为响应人放弃回复，评标委员会将自行对需要回复的内容进行认定。</w:t>
            </w:r>
          </w:p>
          <w:p w14:paraId="60907739">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二、资格审查资料</w:t>
            </w:r>
          </w:p>
          <w:p w14:paraId="06497CC4">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32665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7035226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31</w:t>
            </w:r>
          </w:p>
        </w:tc>
        <w:tc>
          <w:tcPr>
            <w:tcW w:w="1701" w:type="dxa"/>
            <w:shd w:val="clear" w:color="auto" w:fill="auto"/>
            <w:vAlign w:val="center"/>
          </w:tcPr>
          <w:p w14:paraId="0F50E304">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其他要求</w:t>
            </w:r>
          </w:p>
        </w:tc>
        <w:tc>
          <w:tcPr>
            <w:tcW w:w="6520" w:type="dxa"/>
            <w:shd w:val="clear" w:color="auto" w:fill="auto"/>
            <w:vAlign w:val="center"/>
          </w:tcPr>
          <w:p w14:paraId="6CCF381F">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pacing w:val="6"/>
                <w:sz w:val="24"/>
                <w:szCs w:val="24"/>
                <w:highlight w:val="none"/>
                <w14:textFill>
                  <w14:solidFill>
                    <w14:schemeClr w14:val="tx1"/>
                  </w14:solidFill>
                </w14:textFill>
              </w:rPr>
              <w:t>.本项目为电子化、无纸化交易项目，开标时不再接受任何纸质资料，为保证您能投标成功，请需仔细阅读竞争性磋商文件和三门峡市公共资源交易中心官网业务办理指南。</w:t>
            </w:r>
          </w:p>
          <w:p w14:paraId="178FABED">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2.本项目实行资格后审，审查内容以竞争性磋商响应文件为准，其上传资料真实性由供应商自行承担，同时，供应商请完善主体库。</w:t>
            </w:r>
          </w:p>
          <w:p w14:paraId="1D9DD63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3.评标打分部分：评标打分部分仍按照100分制原则进行，涉及到资格审查、企业荣誉、企业业绩等计分部分时，以投标单位自行上传到磋商响应文件中的相应内容为准。</w:t>
            </w:r>
          </w:p>
          <w:p w14:paraId="12CA0C0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568DC50">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5.我单位（采购人）严格按三财购【2021】9号文要求的时限发布中标结果公告，发出中标通知书，签订采购合同，上传采购合同。</w:t>
            </w:r>
          </w:p>
        </w:tc>
      </w:tr>
      <w:tr w14:paraId="2876A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3E31E1D">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32</w:t>
            </w:r>
          </w:p>
        </w:tc>
        <w:tc>
          <w:tcPr>
            <w:tcW w:w="1701" w:type="dxa"/>
            <w:shd w:val="clear" w:color="auto" w:fill="auto"/>
            <w:vAlign w:val="center"/>
          </w:tcPr>
          <w:p w14:paraId="0D24AE30">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政府采购政策</w:t>
            </w:r>
          </w:p>
        </w:tc>
        <w:tc>
          <w:tcPr>
            <w:tcW w:w="6520" w:type="dxa"/>
            <w:shd w:val="clear" w:color="auto" w:fill="auto"/>
            <w:vAlign w:val="center"/>
          </w:tcPr>
          <w:p w14:paraId="7DCEB7D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1.本项目专门面向中小企业采购（监狱企业、残疾人福利性企业视同小微企业）</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02C60A5C">
            <w:pPr>
              <w:spacing w:line="360" w:lineRule="auto"/>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本项目所属行业：</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服务业</w:t>
            </w:r>
          </w:p>
          <w:p w14:paraId="2A9FF0A1">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AC7B2C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3DB6FC45">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760A0C4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p w14:paraId="4793DAA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中小企业划分标准</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按照《工业和信息化部、国家统计局、国家发展和改革委员会、财政部关于印发中小企业划型标准规定的通知》（工信部联企业〔2011〕300号）规定的中小企业划分标准。</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98851C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2.节能产品、环境标志产品政府采购政策：</w:t>
            </w:r>
          </w:p>
          <w:p w14:paraId="0F1E03B9">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0E1A07AC">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对于同时获得节能产品和环境标志产品认证证书产品，只给予其中一种认证证书产品优先采购。</w:t>
            </w:r>
          </w:p>
          <w:p w14:paraId="4F4BB601">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按品目清单内的政府优先采购节能产品和环境标志产品金额之和占其总价的比例，比例高的优先。</w:t>
            </w:r>
          </w:p>
        </w:tc>
      </w:tr>
      <w:tr w14:paraId="2BFB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B183D3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33</w:t>
            </w:r>
          </w:p>
        </w:tc>
        <w:tc>
          <w:tcPr>
            <w:tcW w:w="1701" w:type="dxa"/>
            <w:shd w:val="clear" w:color="auto" w:fill="auto"/>
            <w:vAlign w:val="center"/>
          </w:tcPr>
          <w:p w14:paraId="022A0446">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政府采购合同融资政策</w:t>
            </w:r>
          </w:p>
        </w:tc>
        <w:tc>
          <w:tcPr>
            <w:tcW w:w="6520" w:type="dxa"/>
            <w:shd w:val="clear" w:color="auto" w:fill="auto"/>
            <w:vAlign w:val="center"/>
          </w:tcPr>
          <w:p w14:paraId="108C33DE">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成交供应商中标后，如需融资，参照《河南省政府采购合同融资工作实施方案》（豫财购〔2017〕10号）执行。</w:t>
            </w:r>
          </w:p>
        </w:tc>
      </w:tr>
      <w:tr w14:paraId="19DB7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65E193D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34</w:t>
            </w:r>
          </w:p>
        </w:tc>
        <w:tc>
          <w:tcPr>
            <w:tcW w:w="1701" w:type="dxa"/>
            <w:shd w:val="clear" w:color="auto" w:fill="auto"/>
            <w:vAlign w:val="center"/>
          </w:tcPr>
          <w:p w14:paraId="09E8E22F">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近年完成的类似项目的业绩年份要求</w:t>
            </w:r>
          </w:p>
        </w:tc>
        <w:tc>
          <w:tcPr>
            <w:tcW w:w="6520" w:type="dxa"/>
            <w:shd w:val="clear" w:color="auto" w:fill="auto"/>
            <w:vAlign w:val="center"/>
          </w:tcPr>
          <w:p w14:paraId="33CCEF64">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202</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24"/>
                <w:highlight w:val="none"/>
                <w14:textFill>
                  <w14:solidFill>
                    <w14:schemeClr w14:val="tx1"/>
                  </w14:solidFill>
                </w14:textFill>
              </w:rPr>
              <w:t>年01月01日以来完成类似项目</w:t>
            </w:r>
          </w:p>
        </w:tc>
      </w:tr>
      <w:tr w14:paraId="3A507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B4847A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35</w:t>
            </w:r>
          </w:p>
        </w:tc>
        <w:tc>
          <w:tcPr>
            <w:tcW w:w="1701" w:type="dxa"/>
            <w:shd w:val="clear" w:color="auto" w:fill="auto"/>
            <w:vAlign w:val="center"/>
          </w:tcPr>
          <w:p w14:paraId="2B93EC35">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成交公告发布网站</w:t>
            </w:r>
          </w:p>
        </w:tc>
        <w:tc>
          <w:tcPr>
            <w:tcW w:w="6520" w:type="dxa"/>
            <w:shd w:val="clear" w:color="auto" w:fill="auto"/>
            <w:vAlign w:val="center"/>
          </w:tcPr>
          <w:p w14:paraId="5E9A392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同竞争性磋商公告发布平台。</w:t>
            </w:r>
          </w:p>
        </w:tc>
      </w:tr>
    </w:tbl>
    <w:p w14:paraId="4FBD31AF">
      <w:pPr>
        <w:widowControl/>
        <w:ind w:firstLine="464" w:firstLineChars="200"/>
        <w:jc w:val="left"/>
        <w:rPr>
          <w:rFonts w:hint="eastAsia" w:ascii="仿宋" w:hAnsi="仿宋" w:eastAsia="仿宋" w:cs="仿宋"/>
          <w:color w:val="000000" w:themeColor="text1"/>
          <w:w w:val="97"/>
          <w:kern w:val="0"/>
          <w:sz w:val="24"/>
          <w:szCs w:val="24"/>
          <w:highlight w:val="none"/>
          <w14:textFill>
            <w14:solidFill>
              <w14:schemeClr w14:val="tx1"/>
            </w14:solidFill>
          </w14:textFill>
        </w:rPr>
      </w:pPr>
      <w:r>
        <w:rPr>
          <w:rFonts w:hint="eastAsia" w:ascii="仿宋" w:hAnsi="仿宋" w:eastAsia="仿宋" w:cs="仿宋"/>
          <w:color w:val="000000" w:themeColor="text1"/>
          <w:w w:val="97"/>
          <w:kern w:val="0"/>
          <w:sz w:val="24"/>
          <w:szCs w:val="24"/>
          <w:highlight w:val="none"/>
          <w14:textFill>
            <w14:solidFill>
              <w14:schemeClr w14:val="tx1"/>
            </w14:solidFill>
          </w14:textFill>
        </w:rPr>
        <w:t>一、说明</w:t>
      </w:r>
    </w:p>
    <w:p w14:paraId="501C141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1.适用范围</w:t>
      </w:r>
    </w:p>
    <w:p w14:paraId="4FC64FE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本竞争性磋商文件仅适用于竞争性磋商公告中所叙述项目的相关采购。</w:t>
      </w:r>
    </w:p>
    <w:p w14:paraId="1C7F53E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2.定义</w:t>
      </w:r>
    </w:p>
    <w:p w14:paraId="46B1FB3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2.1 “采购人”系指本次采购项目的采购单位。</w:t>
      </w:r>
    </w:p>
    <w:p w14:paraId="2487C41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2.2 “采购代理机构”系指本次采购项目活动组织方。</w:t>
      </w:r>
    </w:p>
    <w:p w14:paraId="5C2E6A8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2.3 “供应商”系指购买了本次竞争性磋商文件，且已经提交本次响应性文件。</w:t>
      </w:r>
    </w:p>
    <w:p w14:paraId="4B711D5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2.4 “供应商代表”系指代表供应商参加本次磋商活动的磋商供应商的法定代表人或其委托代理人。</w:t>
      </w:r>
    </w:p>
    <w:p w14:paraId="7690C03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2.5 “货物”系指供应商按竞争性磋商文件规定的采购人所要求的一切项目内容。</w:t>
      </w:r>
    </w:p>
    <w:p w14:paraId="48AF6DF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2.6 “相关服务”系指竞争性磋商文件规定磋商供应商须承担的与本次采购项目相关的服务、协调工作以及其他类似的义务。</w:t>
      </w:r>
    </w:p>
    <w:p w14:paraId="62A0DFB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3.磋商最高限价</w:t>
      </w:r>
    </w:p>
    <w:p w14:paraId="5F5AB334">
      <w:pPr>
        <w:ind w:firstLine="468" w:firstLineChars="200"/>
        <w:rPr>
          <w:rFonts w:hint="eastAsia" w:ascii="仿宋" w:hAnsi="仿宋" w:eastAsia="仿宋" w:cs="仿宋"/>
          <w:sz w:val="24"/>
          <w:szCs w:val="24"/>
          <w:highlight w:val="none"/>
        </w:rPr>
      </w:pPr>
      <w:r>
        <w:rPr>
          <w:rFonts w:hint="eastAsia" w:ascii="仿宋" w:hAnsi="仿宋" w:eastAsia="仿宋" w:cs="仿宋"/>
          <w:spacing w:val="-3"/>
          <w:kern w:val="0"/>
          <w:sz w:val="24"/>
          <w:szCs w:val="24"/>
          <w:highlight w:val="none"/>
        </w:rPr>
        <w:t>本次磋商最高限价为：</w:t>
      </w:r>
      <w:r>
        <w:rPr>
          <w:rFonts w:hint="eastAsia" w:ascii="仿宋" w:hAnsi="仿宋" w:eastAsia="仿宋" w:cs="仿宋"/>
          <w:spacing w:val="-3"/>
          <w:kern w:val="0"/>
          <w:sz w:val="24"/>
          <w:szCs w:val="24"/>
          <w:highlight w:val="none"/>
          <w:lang w:val="en-US" w:eastAsia="zh-CN"/>
        </w:rPr>
        <w:t>480000.00</w:t>
      </w:r>
      <w:r>
        <w:rPr>
          <w:rFonts w:hint="eastAsia" w:ascii="仿宋" w:hAnsi="仿宋" w:eastAsia="仿宋" w:cs="仿宋"/>
          <w:sz w:val="24"/>
          <w:szCs w:val="24"/>
          <w:highlight w:val="none"/>
        </w:rPr>
        <w:t>元</w:t>
      </w:r>
    </w:p>
    <w:p w14:paraId="7A515523">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4.供应商应提交的资格证明文件</w:t>
      </w:r>
    </w:p>
    <w:p w14:paraId="7A12F7DC">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详见供应商须知</w:t>
      </w:r>
    </w:p>
    <w:p w14:paraId="0E351A9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5.联合体参加磋商</w:t>
      </w:r>
    </w:p>
    <w:p w14:paraId="1A665F6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本项目不接受联合体参加磋商。</w:t>
      </w:r>
    </w:p>
    <w:p w14:paraId="558D3B58">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6.转包与分包</w:t>
      </w:r>
    </w:p>
    <w:p w14:paraId="1F6F8EE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6.1 本项目不允许采取转包方式履行合同。</w:t>
      </w:r>
    </w:p>
    <w:p w14:paraId="0182FE9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6.2 本项目不允许采取分包方式履行合同。</w:t>
      </w:r>
    </w:p>
    <w:p w14:paraId="16497DF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7.特别说明：</w:t>
      </w:r>
    </w:p>
    <w:p w14:paraId="49257B7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7.1供应商参加磋商所使用的资格、信誉、荣誉、业绩与企业认证必须为本法人所拥有，</w:t>
      </w:r>
    </w:p>
    <w:p w14:paraId="4F17EF7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7.2供应商代表只能接受一个供应商的委托参加磋商。</w:t>
      </w:r>
    </w:p>
    <w:p w14:paraId="0A3055AA">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7.3 供应商在磋商活动中提供虚假材料或从事其他违法活动的,其响应无效，由相关部门查处。</w:t>
      </w:r>
    </w:p>
    <w:p w14:paraId="0945A67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8.质疑和投诉</w:t>
      </w:r>
    </w:p>
    <w:p w14:paraId="39A56A4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8.1供应商认为磋商过程和成交结果使自己的合法权益受到损害的，应当在知道或者应知其权益受到损害之日起 7 个工作日内，向采购人或采购代理机构提出质疑。供应商对采购人或采购代理机构的质疑答复不满意或采购人或采购代理机构未在规定时间内作出答复的，可以在答复期满后 15 个工作日内向同级财政部门投诉。</w:t>
      </w:r>
    </w:p>
    <w:p w14:paraId="6FDEF0A1">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321877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9.供应商的风险</w:t>
      </w:r>
    </w:p>
    <w:p w14:paraId="5320FC4F">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DD10F44">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9.1费用承担</w:t>
      </w:r>
    </w:p>
    <w:p w14:paraId="3B9C904C">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投标人应承担其投标文件编制与递交所涉及的一切费用。在任何情况下招标人和招标代理机构对上述费用均不负担任何责任。</w:t>
      </w:r>
    </w:p>
    <w:p w14:paraId="37FAE28A">
      <w:pPr>
        <w:autoSpaceDE w:val="0"/>
        <w:autoSpaceDN w:val="0"/>
        <w:adjustRightInd w:val="0"/>
        <w:spacing w:before="32" w:line="360" w:lineRule="auto"/>
        <w:ind w:right="-58" w:firstLine="468" w:firstLineChars="200"/>
        <w:jc w:val="center"/>
        <w:outlineLvl w:val="1"/>
        <w:rPr>
          <w:rFonts w:hint="eastAsia" w:ascii="仿宋" w:hAnsi="仿宋" w:eastAsia="仿宋" w:cs="仿宋"/>
          <w:color w:val="000000" w:themeColor="text1"/>
          <w:spacing w:val="-3"/>
          <w:kern w:val="0"/>
          <w:sz w:val="24"/>
          <w:szCs w:val="24"/>
          <w:highlight w:val="none"/>
          <w14:textFill>
            <w14:solidFill>
              <w14:schemeClr w14:val="tx1"/>
            </w14:solidFill>
          </w14:textFill>
        </w:rPr>
      </w:pPr>
      <w:bookmarkStart w:id="3" w:name="_Toc109675034"/>
      <w:bookmarkStart w:id="4" w:name="_Toc518571704"/>
      <w:r>
        <w:rPr>
          <w:rFonts w:hint="eastAsia" w:ascii="仿宋" w:hAnsi="仿宋" w:eastAsia="仿宋" w:cs="仿宋"/>
          <w:color w:val="000000" w:themeColor="text1"/>
          <w:spacing w:val="-3"/>
          <w:kern w:val="0"/>
          <w:sz w:val="24"/>
          <w:szCs w:val="24"/>
          <w:highlight w:val="none"/>
          <w14:textFill>
            <w14:solidFill>
              <w14:schemeClr w14:val="tx1"/>
            </w14:solidFill>
          </w14:textFill>
        </w:rPr>
        <w:t>二、竞争性磋商文件</w:t>
      </w:r>
      <w:bookmarkEnd w:id="3"/>
      <w:bookmarkEnd w:id="4"/>
    </w:p>
    <w:p w14:paraId="02B3ADD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10.竞争性磋商文件的构成。本竞争性磋商文件由以下部分组成：</w:t>
      </w:r>
    </w:p>
    <w:p w14:paraId="6427AF66">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10.1 竞争性磋商公告</w:t>
      </w:r>
    </w:p>
    <w:p w14:paraId="0086D543">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10.2 供应商须知</w:t>
      </w:r>
    </w:p>
    <w:p w14:paraId="141F97C2">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10.3 服务需求</w:t>
      </w:r>
    </w:p>
    <w:p w14:paraId="33F412A5">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10.4 合同条款及合同文件格式</w:t>
      </w:r>
    </w:p>
    <w:p w14:paraId="41B846F5">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10.5 评审标准</w:t>
      </w:r>
    </w:p>
    <w:p w14:paraId="3EC6769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10.6 磋商文件格式</w:t>
      </w:r>
    </w:p>
    <w:p w14:paraId="01ED8AD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11.竞争性磋商文件的澄清与修改</w:t>
      </w:r>
    </w:p>
    <w:p w14:paraId="5120EEF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11.1 采购代理机构对已发出的竞争性磋商文件进行必要澄清、修改或补充</w:t>
      </w:r>
      <w:r>
        <w:rPr>
          <w:rFonts w:hint="eastAsia" w:ascii="仿宋" w:hAnsi="仿宋" w:eastAsia="仿宋" w:cs="仿宋"/>
          <w:color w:val="000000" w:themeColor="text1"/>
          <w:spacing w:val="-6"/>
          <w:kern w:val="0"/>
          <w:sz w:val="24"/>
          <w:szCs w:val="24"/>
          <w:highlight w:val="none"/>
          <w14:textFill>
            <w14:solidFill>
              <w14:schemeClr w14:val="tx1"/>
            </w14:solidFill>
          </w14:textFill>
        </w:rPr>
        <w:t>的，应当在竞争性磋商文件要求提交响应性文件截止时间5日（如至原定</w:t>
      </w:r>
      <w:r>
        <w:rPr>
          <w:rFonts w:hint="eastAsia" w:ascii="仿宋" w:hAnsi="仿宋" w:eastAsia="仿宋" w:cs="仿宋"/>
          <w:color w:val="000000" w:themeColor="text1"/>
          <w:spacing w:val="-4"/>
          <w:kern w:val="0"/>
          <w:sz w:val="24"/>
          <w:szCs w:val="24"/>
          <w:highlight w:val="none"/>
          <w14:textFill>
            <w14:solidFill>
              <w14:schemeClr w14:val="tx1"/>
            </w14:solidFill>
          </w14:textFill>
        </w:rPr>
        <w:t>截止时间不足5日，则需延长磋商开始时间）前，在</w:t>
      </w:r>
      <w:r>
        <w:rPr>
          <w:rFonts w:hint="eastAsia" w:ascii="仿宋" w:hAnsi="仿宋" w:eastAsia="仿宋" w:cs="仿宋"/>
          <w:color w:val="000000" w:themeColor="text1"/>
          <w:sz w:val="24"/>
          <w:szCs w:val="24"/>
          <w:highlight w:val="none"/>
          <w14:textFill>
            <w14:solidFill>
              <w14:schemeClr w14:val="tx1"/>
            </w14:solidFill>
          </w14:textFill>
        </w:rPr>
        <w:t>《河南省政府采购网》、《中国招标投标公共服务平台》和《三门峡市公共资源交易中心网》</w:t>
      </w:r>
      <w:r>
        <w:rPr>
          <w:rFonts w:hint="eastAsia" w:ascii="仿宋" w:hAnsi="仿宋" w:eastAsia="仿宋" w:cs="仿宋"/>
          <w:color w:val="000000" w:themeColor="text1"/>
          <w:spacing w:val="-4"/>
          <w:kern w:val="0"/>
          <w:sz w:val="24"/>
          <w:szCs w:val="24"/>
          <w:highlight w:val="none"/>
          <w14:textFill>
            <w14:solidFill>
              <w14:schemeClr w14:val="tx1"/>
            </w14:solidFill>
          </w14:textFill>
        </w:rPr>
        <w:t>等相关媒体上发布更正公告</w:t>
      </w:r>
      <w:r>
        <w:rPr>
          <w:rFonts w:hint="eastAsia" w:ascii="仿宋" w:hAnsi="仿宋" w:eastAsia="仿宋" w:cs="仿宋"/>
          <w:color w:val="000000" w:themeColor="text1"/>
          <w:spacing w:val="-3"/>
          <w:kern w:val="0"/>
          <w:sz w:val="24"/>
          <w:szCs w:val="24"/>
          <w:highlight w:val="none"/>
          <w14:textFill>
            <w14:solidFill>
              <w14:schemeClr w14:val="tx1"/>
            </w14:solidFill>
          </w14:textFill>
        </w:rPr>
        <w:t>。竞争性磋商文件公示期间对竞争性磋商文件进行的澄清、修改或补充不受上述限制。</w:t>
      </w:r>
    </w:p>
    <w:p w14:paraId="7D1321AC">
      <w:pPr>
        <w:autoSpaceDE w:val="0"/>
        <w:autoSpaceDN w:val="0"/>
        <w:adjustRightInd w:val="0"/>
        <w:spacing w:before="163" w:line="360" w:lineRule="auto"/>
        <w:ind w:firstLine="468" w:firstLineChars="200"/>
        <w:jc w:val="left"/>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11.2 竞争性磋商文件澄清、修改或补充的内容为竞争性磋商文件的组成部分。</w:t>
      </w:r>
    </w:p>
    <w:p w14:paraId="097E6DDB">
      <w:pPr>
        <w:autoSpaceDE w:val="0"/>
        <w:autoSpaceDN w:val="0"/>
        <w:adjustRightInd w:val="0"/>
        <w:spacing w:before="20" w:line="360" w:lineRule="auto"/>
        <w:ind w:right="-58" w:firstLine="468"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11.3 竞争性磋商文件的澄清、修改或补充都应通过本代理机构以法定形式</w:t>
      </w:r>
      <w:r>
        <w:rPr>
          <w:rFonts w:hint="eastAsia" w:ascii="仿宋" w:hAnsi="仿宋" w:eastAsia="仿宋" w:cs="仿宋"/>
          <w:color w:val="000000" w:themeColor="text1"/>
          <w:spacing w:val="-5"/>
          <w:kern w:val="0"/>
          <w:sz w:val="24"/>
          <w:szCs w:val="24"/>
          <w:highlight w:val="none"/>
          <w14:textFill>
            <w14:solidFill>
              <w14:schemeClr w14:val="tx1"/>
            </w14:solidFill>
          </w14:textFill>
        </w:rPr>
        <w:t>发布。采购人未通过本采购理机构对竞争性磋商文件进行的澄清、修改或补充无效，磋商时不予认可。</w:t>
      </w:r>
    </w:p>
    <w:p w14:paraId="26B6369A">
      <w:pPr>
        <w:autoSpaceDE w:val="0"/>
        <w:autoSpaceDN w:val="0"/>
        <w:adjustRightInd w:val="0"/>
        <w:spacing w:line="360" w:lineRule="auto"/>
        <w:ind w:right="-58" w:firstLine="468"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11.4 采购代理机构可以视采购具体情况，延长递交响应性文件截止时间和</w:t>
      </w:r>
      <w:r>
        <w:rPr>
          <w:rFonts w:hint="eastAsia" w:ascii="仿宋" w:hAnsi="仿宋" w:eastAsia="仿宋" w:cs="仿宋"/>
          <w:color w:val="000000" w:themeColor="text1"/>
          <w:spacing w:val="-4"/>
          <w:kern w:val="0"/>
          <w:sz w:val="24"/>
          <w:szCs w:val="24"/>
          <w:highlight w:val="none"/>
          <w14:textFill>
            <w14:solidFill>
              <w14:schemeClr w14:val="tx1"/>
            </w14:solidFill>
          </w14:textFill>
        </w:rPr>
        <w:t>开始磋商时间，但至少应当在竞争性磋商文件要求提交响应性文件的截止时间5日前，将变更时间书面通知所有竞争性磋商文件收受人，并在</w:t>
      </w:r>
      <w:r>
        <w:rPr>
          <w:rFonts w:hint="eastAsia" w:ascii="仿宋" w:hAnsi="仿宋" w:eastAsia="仿宋" w:cs="仿宋"/>
          <w:color w:val="000000" w:themeColor="text1"/>
          <w:sz w:val="24"/>
          <w:szCs w:val="24"/>
          <w:highlight w:val="none"/>
          <w14:textFill>
            <w14:solidFill>
              <w14:schemeClr w14:val="tx1"/>
            </w14:solidFill>
          </w14:textFill>
        </w:rPr>
        <w:t>《河南省政府采购网》、《中国招标投标公共服务平台》和《三门峡市公共资源交易中心网》</w:t>
      </w:r>
      <w:r>
        <w:rPr>
          <w:rFonts w:hint="eastAsia" w:ascii="仿宋" w:hAnsi="仿宋" w:eastAsia="仿宋" w:cs="仿宋"/>
          <w:color w:val="000000" w:themeColor="text1"/>
          <w:spacing w:val="-4"/>
          <w:kern w:val="0"/>
          <w:sz w:val="24"/>
          <w:szCs w:val="24"/>
          <w:highlight w:val="none"/>
          <w14:textFill>
            <w14:solidFill>
              <w14:schemeClr w14:val="tx1"/>
            </w14:solidFill>
          </w14:textFill>
        </w:rPr>
        <w:t>等相关媒体上发布更正公告。</w:t>
      </w:r>
    </w:p>
    <w:p w14:paraId="15A73858">
      <w:pPr>
        <w:autoSpaceDE w:val="0"/>
        <w:autoSpaceDN w:val="0"/>
        <w:adjustRightInd w:val="0"/>
        <w:spacing w:before="32" w:line="360" w:lineRule="auto"/>
        <w:ind w:right="-58" w:firstLine="468" w:firstLineChars="200"/>
        <w:jc w:val="center"/>
        <w:outlineLvl w:val="1"/>
        <w:rPr>
          <w:rFonts w:hint="eastAsia" w:ascii="仿宋" w:hAnsi="仿宋" w:eastAsia="仿宋" w:cs="仿宋"/>
          <w:color w:val="000000" w:themeColor="text1"/>
          <w:spacing w:val="-3"/>
          <w:kern w:val="0"/>
          <w:sz w:val="24"/>
          <w:szCs w:val="24"/>
          <w:highlight w:val="none"/>
          <w14:textFill>
            <w14:solidFill>
              <w14:schemeClr w14:val="tx1"/>
            </w14:solidFill>
          </w14:textFill>
        </w:rPr>
      </w:pPr>
      <w:bookmarkStart w:id="5" w:name="_Toc109675035"/>
      <w:bookmarkStart w:id="6" w:name="_Toc518571705"/>
      <w:r>
        <w:rPr>
          <w:rFonts w:hint="eastAsia" w:ascii="仿宋" w:hAnsi="仿宋" w:eastAsia="仿宋" w:cs="仿宋"/>
          <w:color w:val="000000" w:themeColor="text1"/>
          <w:spacing w:val="-3"/>
          <w:kern w:val="0"/>
          <w:sz w:val="24"/>
          <w:szCs w:val="24"/>
          <w:highlight w:val="none"/>
          <w14:textFill>
            <w14:solidFill>
              <w14:schemeClr w14:val="tx1"/>
            </w14:solidFill>
          </w14:textFill>
        </w:rPr>
        <w:t>三、响应性文件的编制</w:t>
      </w:r>
      <w:bookmarkEnd w:id="5"/>
      <w:bookmarkEnd w:id="6"/>
    </w:p>
    <w:p w14:paraId="7C6F63A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12.要求</w:t>
      </w:r>
    </w:p>
    <w:p w14:paraId="4D8A102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5FC227A">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13.响应性文件的语言和计量单位</w:t>
      </w:r>
    </w:p>
    <w:p w14:paraId="5FF3503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13.1 响应性文件以及供应商与采购、代理机构就有关磋商事宜的所有来往函电均应使用简体中文书写。</w:t>
      </w:r>
    </w:p>
    <w:p w14:paraId="73BE92A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3847A544">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14.响应性文件的组成。响应性文件应包括下列部分：</w:t>
      </w:r>
    </w:p>
    <w:p w14:paraId="5BDA6B7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（1）法定代表人身份证明书</w:t>
      </w:r>
    </w:p>
    <w:p w14:paraId="14996C8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（2）授权委托书</w:t>
      </w:r>
    </w:p>
    <w:p w14:paraId="67FB954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（3）磋 商 函</w:t>
      </w:r>
    </w:p>
    <w:p w14:paraId="5B9C0FE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磋商函附表</w:t>
      </w:r>
    </w:p>
    <w:p w14:paraId="499E3D3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4"/>
          <w:kern w:val="0"/>
          <w:sz w:val="24"/>
          <w:szCs w:val="24"/>
          <w:highlight w:val="none"/>
          <w14:textFill>
            <w14:solidFill>
              <w14:schemeClr w14:val="tx1"/>
            </w14:solidFill>
          </w14:textFill>
        </w:rPr>
        <w:t>服务方案</w:t>
      </w:r>
    </w:p>
    <w:p w14:paraId="468F2EE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4"/>
          <w:kern w:val="0"/>
          <w:sz w:val="24"/>
          <w:szCs w:val="24"/>
          <w:highlight w:val="none"/>
          <w14:textFill>
            <w14:solidFill>
              <w14:schemeClr w14:val="tx1"/>
            </w14:solidFill>
          </w14:textFill>
        </w:rPr>
        <w:t>）资格</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审查资料</w:t>
      </w:r>
    </w:p>
    <w:p w14:paraId="5711A94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4"/>
          <w:kern w:val="0"/>
          <w:sz w:val="24"/>
          <w:szCs w:val="24"/>
          <w:highlight w:val="none"/>
          <w14:textFill>
            <w14:solidFill>
              <w14:schemeClr w14:val="tx1"/>
            </w14:solidFill>
          </w14:textFill>
        </w:rPr>
        <w:t>）供应商承诺书</w:t>
      </w:r>
    </w:p>
    <w:p w14:paraId="523C813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4"/>
          <w:kern w:val="0"/>
          <w:sz w:val="24"/>
          <w:szCs w:val="24"/>
          <w:highlight w:val="none"/>
          <w14:textFill>
            <w14:solidFill>
              <w14:schemeClr w14:val="tx1"/>
            </w14:solidFill>
          </w14:textFill>
        </w:rPr>
        <w:t>）磋商承诺函</w:t>
      </w:r>
    </w:p>
    <w:p w14:paraId="0A36032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4"/>
          <w:kern w:val="0"/>
          <w:sz w:val="24"/>
          <w:szCs w:val="24"/>
          <w:highlight w:val="none"/>
          <w14:textFill>
            <w14:solidFill>
              <w14:schemeClr w14:val="tx1"/>
            </w14:solidFill>
          </w14:textFill>
        </w:rPr>
        <w:t>）其他资料</w:t>
      </w:r>
    </w:p>
    <w:p w14:paraId="7142C2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15.1响应性文件从首次递交竞争性磋商响应文件截止时间之日起开始生效，磋商有效期为60日历天，有效期短于此规定的响应文件将被视为无效响应文件。</w:t>
      </w:r>
    </w:p>
    <w:p w14:paraId="6EB6850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15.2特殊情况下，采购人可于磋商响应文件有效期满之前要求供应商同意延长有效期，要求与答复均为书面形式。供应商可以拒绝上述要求，对于同意该要求的供应商，不允许其修改磋商响应文件。。</w:t>
      </w:r>
    </w:p>
    <w:p w14:paraId="015D58C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16.磋商报价</w:t>
      </w:r>
    </w:p>
    <w:p w14:paraId="64DE449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16.1 所有磋商报价均以人民币元为计算单位。供应商的报价为项目实施所需的人工费、服务费、运输费、税费、服务费及完成项目所需其他一切费用。</w:t>
      </w:r>
    </w:p>
    <w:p w14:paraId="02412A4A">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16.2供应商要按磋商函附表的内容填写。</w:t>
      </w:r>
    </w:p>
    <w:p w14:paraId="1ABE0D9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16.3 本次磋商应以人民币报价，分两次进行报价。</w:t>
      </w:r>
    </w:p>
    <w:p w14:paraId="2BF1BFD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17、磋商保证金</w:t>
      </w:r>
    </w:p>
    <w:p w14:paraId="7A53CE98">
      <w:pPr>
        <w:spacing w:line="360" w:lineRule="auto"/>
        <w:ind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17.1</w:t>
      </w:r>
      <w:r>
        <w:rPr>
          <w:rFonts w:hint="eastAsia" w:ascii="仿宋" w:hAnsi="仿宋" w:eastAsia="仿宋" w:cs="仿宋"/>
          <w:color w:val="000000" w:themeColor="text1"/>
          <w:sz w:val="24"/>
          <w:szCs w:val="24"/>
          <w:highlight w:val="none"/>
          <w14:textFill>
            <w14:solidFill>
              <w14:schemeClr w14:val="tx1"/>
            </w14:solidFill>
          </w14:textFill>
        </w:rPr>
        <w:t>根据《河南省财政厅关于优化政府采购营商环境有关问题的通知》（豫财购【2019】4号）第6条的规定，保证金不再收取。</w:t>
      </w:r>
    </w:p>
    <w:p w14:paraId="67267EE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18. 响应性文件的签署</w:t>
      </w:r>
    </w:p>
    <w:p w14:paraId="0D2E369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54D48A91">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7" w:name="_Toc518571706"/>
      <w:bookmarkStart w:id="8" w:name="_Toc109675036"/>
      <w:r>
        <w:rPr>
          <w:rFonts w:hint="eastAsia" w:ascii="仿宋" w:hAnsi="仿宋" w:eastAsia="仿宋" w:cs="仿宋"/>
          <w:color w:val="000000" w:themeColor="text1"/>
          <w:spacing w:val="-4"/>
          <w:kern w:val="0"/>
          <w:sz w:val="24"/>
          <w:szCs w:val="24"/>
          <w:highlight w:val="none"/>
          <w14:textFill>
            <w14:solidFill>
              <w14:schemeClr w14:val="tx1"/>
            </w14:solidFill>
          </w14:textFill>
        </w:rPr>
        <w:t>四、响应性文件的递交</w:t>
      </w:r>
      <w:bookmarkEnd w:id="7"/>
      <w:bookmarkEnd w:id="8"/>
    </w:p>
    <w:p w14:paraId="1FB0CA2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19.响应性文件的递交</w:t>
      </w:r>
    </w:p>
    <w:p w14:paraId="49A32AC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在响应文件截止时间前上传至三门峡市公共资源交易中心系统平台。</w:t>
      </w:r>
    </w:p>
    <w:p w14:paraId="0F4E32A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20.响应性文件的修改和撤回</w:t>
      </w:r>
    </w:p>
    <w:p w14:paraId="64E2A01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20.1 供应商在递交竞争性磋商文件截止时间前，可以对所提交的响应性文件进行补充、修改或者撤回。</w:t>
      </w:r>
    </w:p>
    <w:p w14:paraId="34D1F5F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供应商有下列情形之一的，采购人或采购代理机构将拒绝接受其响应性文件：</w:t>
      </w:r>
    </w:p>
    <w:p w14:paraId="06037E3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1 在竞争性磋商文件规定的递交竞争性磋商文件截止时间之后上传竞争性磋商文件的。</w:t>
      </w:r>
    </w:p>
    <w:p w14:paraId="480F592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2 未提交磋商保证金承诺。</w:t>
      </w:r>
    </w:p>
    <w:p w14:paraId="10EDC07E">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9" w:name="_Toc518571707"/>
      <w:bookmarkStart w:id="10" w:name="_Toc109675037"/>
      <w:r>
        <w:rPr>
          <w:rFonts w:hint="eastAsia" w:ascii="仿宋" w:hAnsi="仿宋" w:eastAsia="仿宋" w:cs="仿宋"/>
          <w:color w:val="000000" w:themeColor="text1"/>
          <w:spacing w:val="-4"/>
          <w:kern w:val="0"/>
          <w:sz w:val="24"/>
          <w:szCs w:val="24"/>
          <w:highlight w:val="none"/>
          <w14:textFill>
            <w14:solidFill>
              <w14:schemeClr w14:val="tx1"/>
            </w14:solidFill>
          </w14:textFill>
        </w:rPr>
        <w:t>五、磋商</w:t>
      </w:r>
      <w:bookmarkEnd w:id="9"/>
      <w:bookmarkEnd w:id="10"/>
    </w:p>
    <w:p w14:paraId="78D6E12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22、磋商仪式</w:t>
      </w:r>
    </w:p>
    <w:p w14:paraId="11CAD7E9">
      <w:pPr>
        <w:wordWrap w:val="0"/>
        <w:autoSpaceDE w:val="0"/>
        <w:autoSpaceDN w:val="0"/>
        <w:adjustRightInd w:val="0"/>
        <w:spacing w:before="32" w:line="360" w:lineRule="auto"/>
        <w:ind w:right="-57"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F313D17">
      <w:pPr>
        <w:wordWrap w:val="0"/>
        <w:autoSpaceDE w:val="0"/>
        <w:autoSpaceDN w:val="0"/>
        <w:adjustRightInd w:val="0"/>
        <w:spacing w:before="32" w:line="360" w:lineRule="auto"/>
        <w:ind w:right="-57"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23、磋商小组</w:t>
      </w:r>
    </w:p>
    <w:p w14:paraId="48E52D1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磋商小组共 3 人组成，其中采购人代表 1 人；在相关评标专家库中随机抽取有关技术、经济等方面专家 2 人。</w:t>
      </w:r>
    </w:p>
    <w:p w14:paraId="6F764EAE">
      <w:pPr>
        <w:autoSpaceDE w:val="0"/>
        <w:autoSpaceDN w:val="0"/>
        <w:adjustRightInd w:val="0"/>
        <w:spacing w:before="32" w:line="360" w:lineRule="auto"/>
        <w:ind w:right="-58" w:firstLine="696" w:firstLineChars="3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磋商小组有下列情形之一的，应当回避：</w:t>
      </w:r>
    </w:p>
    <w:p w14:paraId="08E504F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（1）供应商或供应商的主要负责人的近亲属；</w:t>
      </w:r>
    </w:p>
    <w:p w14:paraId="62C80C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（2）项目主管部门或者行政监督部门的人员；</w:t>
      </w:r>
    </w:p>
    <w:p w14:paraId="36DCF0F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（3）与供应商有经济利益关系，可能影响对投标公正评审的；</w:t>
      </w:r>
    </w:p>
    <w:p w14:paraId="042557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（4）曾因在招标、评标以及其他与招标投标有关活动中从事违法行为而受过行政处罚或刑事处罚的。</w:t>
      </w:r>
    </w:p>
    <w:p w14:paraId="1E36000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（5）与供应商有其他利害关系。</w:t>
      </w:r>
    </w:p>
    <w:p w14:paraId="680FEAE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24、磋商工作纪律及保密</w:t>
      </w:r>
    </w:p>
    <w:p w14:paraId="69E3DD0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评审专家应当遵守评审工作纪律，不得泄露评审情况和评审中获悉的商业秘密。</w:t>
      </w:r>
    </w:p>
    <w:p w14:paraId="36CA107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25、磋商小组工作原则</w:t>
      </w:r>
    </w:p>
    <w:p w14:paraId="5E08CB6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DBCF7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26、响应文件审查</w:t>
      </w:r>
    </w:p>
    <w:p w14:paraId="44C10E5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5E481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27、供应商澄清</w:t>
      </w:r>
    </w:p>
    <w:p w14:paraId="7F6DB4C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磋商小组要求供应商澄清、说明或者更正响应文件将在电子系统作出。</w:t>
      </w:r>
    </w:p>
    <w:p w14:paraId="65B6190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28、磋商程序、最后报价、综合评分</w:t>
      </w:r>
    </w:p>
    <w:p w14:paraId="46E2CD3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磋商小组所有成员应当集中与单一供应商分别进行磋商，并给予所有参加磋商的供应商平等的磋商机会。</w:t>
      </w:r>
    </w:p>
    <w:p w14:paraId="0D599A8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1EFE77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5D7E4A9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已提交响应文件的供应商，在提交最后报价之前，可以根据情况退出磋商。</w:t>
      </w:r>
    </w:p>
    <w:p w14:paraId="441C005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5D5741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评审时，磋商小组各成员独立对每个有效响应的文件进行评价、打分，然后汇总每个供应商每项评分因素的得分。</w:t>
      </w:r>
    </w:p>
    <w:p w14:paraId="63D23A75">
      <w:pPr>
        <w:autoSpaceDE w:val="0"/>
        <w:autoSpaceDN w:val="0"/>
        <w:adjustRightInd w:val="0"/>
        <w:spacing w:before="32" w:line="360" w:lineRule="auto"/>
        <w:ind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9F9C728">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bookmarkStart w:id="11" w:name="_Toc518571708"/>
      <w:bookmarkStart w:id="12" w:name="_Toc109675038"/>
      <w:r>
        <w:rPr>
          <w:rFonts w:hint="eastAsia" w:ascii="仿宋" w:hAnsi="仿宋" w:eastAsia="仿宋" w:cs="仿宋"/>
          <w:bCs/>
          <w:color w:val="000000" w:themeColor="text1"/>
          <w:spacing w:val="-4"/>
          <w:kern w:val="0"/>
          <w:sz w:val="24"/>
          <w:szCs w:val="24"/>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12000E46">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（一）因情况变化，不再符合规定的竞争性磋商采购方式适用情形的；</w:t>
      </w:r>
    </w:p>
    <w:p w14:paraId="57A469B4">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（二）出现影响采购公正的违法、违规行为的；</w:t>
      </w:r>
    </w:p>
    <w:p w14:paraId="0C9C584B">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（三）在采购过程中符合要求的供应商或者报价未超过采购预算的供应商不足3家的。</w:t>
      </w:r>
    </w:p>
    <w:p w14:paraId="1F21FF90">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六、确定成交</w:t>
      </w:r>
      <w:bookmarkEnd w:id="11"/>
      <w:bookmarkEnd w:id="12"/>
    </w:p>
    <w:p w14:paraId="6CA1B89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采购人在收到评审报告后2个工作日内，从评审报告提出的成交候选供应商中，按照排序由高到低的原则确定成交供应商。</w:t>
      </w:r>
    </w:p>
    <w:p w14:paraId="5AD9C8F1">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13" w:name="_Toc518571709"/>
      <w:bookmarkStart w:id="14" w:name="_Toc109675039"/>
      <w:r>
        <w:rPr>
          <w:rFonts w:hint="eastAsia" w:ascii="仿宋" w:hAnsi="仿宋" w:eastAsia="仿宋" w:cs="仿宋"/>
          <w:color w:val="000000" w:themeColor="text1"/>
          <w:spacing w:val="-4"/>
          <w:kern w:val="0"/>
          <w:sz w:val="24"/>
          <w:szCs w:val="24"/>
          <w:highlight w:val="none"/>
          <w14:textFill>
            <w14:solidFill>
              <w14:schemeClr w14:val="tx1"/>
            </w14:solidFill>
          </w14:textFill>
        </w:rPr>
        <w:t>七、授予合同</w:t>
      </w:r>
      <w:bookmarkEnd w:id="13"/>
      <w:bookmarkEnd w:id="14"/>
    </w:p>
    <w:p w14:paraId="14ACB7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购人、成交供应商在成交通知书发出之日起2个工作日内，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7A01B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9ABBF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1B82B683">
      <w:pPr>
        <w:rPr>
          <w:rFonts w:hint="eastAsia" w:ascii="仿宋" w:hAnsi="仿宋" w:eastAsia="仿宋" w:cs="仿宋"/>
          <w:b/>
          <w:color w:val="000000" w:themeColor="text1"/>
          <w:w w:val="97"/>
          <w:kern w:val="0"/>
          <w:sz w:val="24"/>
          <w:szCs w:val="24"/>
          <w:highlight w:val="none"/>
          <w14:textFill>
            <w14:solidFill>
              <w14:schemeClr w14:val="tx1"/>
            </w14:solidFill>
          </w14:textFill>
        </w:rPr>
      </w:pPr>
    </w:p>
    <w:p w14:paraId="6D255062">
      <w:pPr>
        <w:keepNext/>
        <w:keepLines/>
        <w:spacing w:before="240" w:after="200"/>
        <w:ind w:left="542"/>
        <w:jc w:val="center"/>
        <w:outlineLvl w:val="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b/>
          <w:color w:val="000000" w:themeColor="text1"/>
          <w:w w:val="97"/>
          <w:kern w:val="0"/>
          <w:sz w:val="24"/>
          <w:szCs w:val="24"/>
          <w:highlight w:val="none"/>
          <w14:textFill>
            <w14:solidFill>
              <w14:schemeClr w14:val="tx1"/>
            </w14:solidFill>
          </w14:textFill>
        </w:rPr>
        <w:t xml:space="preserve">第三章 </w:t>
      </w:r>
      <w:bookmarkStart w:id="15" w:name="_Toc16544"/>
      <w:bookmarkStart w:id="16" w:name="_Toc4259"/>
      <w:bookmarkStart w:id="17" w:name="_Toc14134"/>
      <w:r>
        <w:rPr>
          <w:rFonts w:hint="eastAsia" w:ascii="仿宋" w:hAnsi="仿宋" w:eastAsia="仿宋" w:cs="仿宋"/>
          <w:b/>
          <w:color w:val="000000" w:themeColor="text1"/>
          <w:w w:val="97"/>
          <w:kern w:val="0"/>
          <w:sz w:val="24"/>
          <w:szCs w:val="24"/>
          <w:highlight w:val="none"/>
          <w14:textFill>
            <w14:solidFill>
              <w14:schemeClr w14:val="tx1"/>
            </w14:solidFill>
          </w14:textFill>
        </w:rPr>
        <w:t>服务需求</w:t>
      </w:r>
      <w:bookmarkEnd w:id="15"/>
      <w:bookmarkEnd w:id="16"/>
      <w:bookmarkEnd w:id="17"/>
    </w:p>
    <w:p w14:paraId="0F8EBA8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本次湖滨区乡镇集中式饮用水水源地共3处，分别为湖滨区交口乡、磁钟乡、高庙乡。根据当前相关乡镇和水源地实际，开展湖滨区乡镇集中式饮用水水源保护区环境状况调查、保护区勘界和立标等相关工作。</w:t>
      </w:r>
    </w:p>
    <w:p w14:paraId="5D360EF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主要工作内容</w:t>
      </w:r>
    </w:p>
    <w:p w14:paraId="1A50FFF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饮用水水源保护区环境状况调查</w:t>
      </w:r>
    </w:p>
    <w:p w14:paraId="4D0C79C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依照饮用水水源保护区相关技术规范要求，在充分结合和分析湖滨区社会经济发展规划、水资源保护和综合利用相关规划、国土空间规划及相关乡镇供水相关规划等资料的基础上，开展集中式饮用水水源保护区环境状况调查工作。主要工作内容包括:</w:t>
      </w:r>
    </w:p>
    <w:p w14:paraId="542FC9D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水源地基础状况调查:通过收集资料、走访座谈等方式，开展水源地基础状况调查，包括水源地基础信息、供水量、开采方式、服务区域及水厂等，以及应对突发环境事件的应急响应能力及管理状况等。</w:t>
      </w:r>
    </w:p>
    <w:p w14:paraId="1A1F3E2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文地质调查与测量:对水源地所在区域地质、水文地质资料、所在河流水系等进行调查收集和现场测量，包括打井相关资料、附近项目水文地质勘察资料等，掌握区域地质地层岩性及地下水赋存特征和运动规律等。</w:t>
      </w:r>
    </w:p>
    <w:p w14:paraId="669761C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环境风险调查:通过实地勘察和走访，对水源地周边及上游汇水区域和补给区等环境风险进行调查，包括排污口、规模化畜禽养殖、农业农村面源和流动源等，并在后续报告编制过程中提出对应整治措施和要求。</w:t>
      </w:r>
    </w:p>
    <w:p w14:paraId="19AB89A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水质监测评价:收集水源近5年水质和水位监测数据，统计分析主要水质指标变化趋势，开展水质评价分析。</w:t>
      </w:r>
    </w:p>
    <w:p w14:paraId="3336F60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遥感卫片解译和水文地质单元分析:通过对卫星遥感正射影像的解译,分析水源地周边土地利用状况，通过高程数据开展水源地周边流域分析，并结合水文地质资料确定水文地质单元范围或边界等。</w:t>
      </w:r>
    </w:p>
    <w:p w14:paraId="33B0A5E4">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根据调查结果，按照相关技术规范要求，结合实际编制保护区环境现状调查报告。</w:t>
      </w:r>
    </w:p>
    <w:p w14:paraId="5287E93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采用 ArcGIS 软件制作相关图件，形成湖滨区乡镇集中式饮用水水源保护区环境现状调查成果图及其他相关图件等。</w:t>
      </w:r>
    </w:p>
    <w:p w14:paraId="0C830AD9">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(二)保护区勘界</w:t>
      </w:r>
    </w:p>
    <w:p w14:paraId="5E0C1B8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按照保护区批复文件范围及相关资料，开展保护区勘界工作。按照《集中式饮用水水源保护区勘界技术规范》(DB41/T2528-2023)相关要求，采用 RTK测量仪器和 GIS 制图工具对新划定的水源保护区范围进行勘界，绘制保护区戡界成果图，为后续当地政府对水源保护区的管理提供依据。主要工作内容包括:</w:t>
      </w:r>
    </w:p>
    <w:p w14:paraId="049FFC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(1)资料数字化处理:对水源地相关资料和图件进行数字化、拼接融合</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kern w:val="0"/>
          <w:sz w:val="24"/>
          <w:szCs w:val="24"/>
          <w:highlight w:val="none"/>
          <w14:textFill>
            <w14:solidFill>
              <w14:schemeClr w14:val="tx1"/>
            </w14:solidFill>
          </w14:textFill>
        </w:rPr>
        <w:t>坐标转换、拓扑检查等相关处理，为制作底图提供基础资料。</w:t>
      </w:r>
    </w:p>
    <w:p w14:paraId="076BD48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(2)购买基础图件:购买水源保护区所在区域高清数字卫星影像图，为勘界前期工作底图和后期勘界成果图制作提供基础。</w:t>
      </w:r>
    </w:p>
    <w:p w14:paraId="4188F59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(3)预设拐点和界标点:根据水源保护区区划图，在底图上预设主要拐点:并选择合适的位置拟作为保护区界标设立处，参照实际位置标在卫星底图上并按要求进行编码。</w:t>
      </w:r>
    </w:p>
    <w:p w14:paraId="5855F71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(4)制作工作底图:把保护区划分时的边界界线、预设的拐点和界标点、其他地理信息专题数据等标注在高清卫星影像图上，制作勘界工作底图，为现场测量提供依据和参考。</w:t>
      </w:r>
    </w:p>
    <w:p w14:paraId="1A4F884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开展现场测量:实地查验划分阶段水源保护区边界走向与批复文件的一致性，尤其是关键地物标志位置，并对照工作底图检查预设界标点位置。现场测量主要测量取水口、实际地物、重要拐点和界标点、保护区内及周边 100m范围内各类基础信息。</w:t>
      </w:r>
    </w:p>
    <w:p w14:paraId="08630D7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(6)保护区边界标绘:按照现场测量结果，将各类信息标绘在底图上，对工作底图初绘的保护区边界予以矫正，精准绘制保护区边界。</w:t>
      </w:r>
    </w:p>
    <w:p w14:paraId="43C127C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(7)编制勘界成果:按照《集中式饮用水水源保护区勘界技术规范》(DB41/T2528-2023)要求，编制勘界成果登记表、勘界报告，绘制勘界成果图，构建保护区勘界地理信息数据库等，并按要求开展质量检查。</w:t>
      </w:r>
    </w:p>
    <w:p w14:paraId="7AC92F9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(三)保护区立标</w:t>
      </w:r>
    </w:p>
    <w:p w14:paraId="7B4B015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在水源保护区完成勘界工作后，根据保护区勘界成果图预设的界标位置，结合现场勘察确定立标点后，开展标志标识设置工作，为后续对水源保护区的管理和保护、宣传提供依据。主要工作内容包括:</w:t>
      </w:r>
    </w:p>
    <w:p w14:paraId="0FADCB4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(1)开展现场调查:根据勘界成果图预设界标位置，赴现场进行踏勘复核,制作立标位置图，制定工作技术方案。</w:t>
      </w:r>
    </w:p>
    <w:p w14:paraId="4E278B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(2)编制标志设置实施方案:在现场调查复核的基础上确定标志标识的数量、材质和内容等，开展资金预算等，编制标志设置实施方案，为立标工作提供基础支撑。</w:t>
      </w:r>
    </w:p>
    <w:p w14:paraId="15DE37A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(3)定制标志标识:根据实施方案确定的标志标识数量和内容，定制标志标识和立杆等。</w:t>
      </w:r>
    </w:p>
    <w:p w14:paraId="14BB79D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(4)现场施工:购置施工相关材料，组织现场施工人员开展标志标识现场设立工作。</w:t>
      </w:r>
    </w:p>
    <w:p w14:paraId="597ED47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(5)项目验收:组织相关单位对立标工作进行验收，并编制验收相关资料存档备查。</w:t>
      </w:r>
    </w:p>
    <w:p w14:paraId="2C9163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二、形成技术成果</w:t>
      </w:r>
    </w:p>
    <w:p w14:paraId="4808876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(1)保护区环境状况调查报告:形成《湖滨区乡镇集中式饮用水水源保护范围(区)环境状况调查报告》1套，满足相关技术规范和环境管理要求。</w:t>
      </w:r>
    </w:p>
    <w:p w14:paraId="65B8CBA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(2)勘界报告、勘界成果图及地理信息数据库:形成《湖滨区乡镇集中式饮用水水源保护范围(区)勘界技术报告》1 套(含成果登记表和勘界成果图集).勘界成果地理信息数据库1个，满足《集中式饮用水水源保护区勘界技术规范》(DB41/T 2528-2023)要求。</w:t>
      </w:r>
    </w:p>
    <w:p w14:paraId="33E715E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000000" w:themeColor="text1"/>
          <w:spacing w:val="-4"/>
          <w:kern w:val="0"/>
          <w:sz w:val="24"/>
          <w:szCs w:val="24"/>
          <w:highlight w:val="none"/>
          <w14:textFill>
            <w14:solidFill>
              <w14:schemeClr w14:val="tx1"/>
            </w14:solidFill>
          </w14:textFill>
        </w:rPr>
        <w:t>(3)标志设置实施方案、现场标识标识、验收相关资料:形成《湖滨区乡镇集中式饮用水水源保护范围(区)标志设置实施方案》1套、现场标志标识若干、验收相关资料一套</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p>
    <w:p w14:paraId="73E58DA2">
      <w:pPr>
        <w:widowControl/>
        <w:jc w:val="center"/>
        <w:rPr>
          <w:rFonts w:hint="eastAsia" w:ascii="仿宋" w:hAnsi="仿宋" w:eastAsia="仿宋" w:cs="仿宋"/>
          <w:b/>
          <w:color w:val="000000" w:themeColor="text1"/>
          <w:sz w:val="24"/>
          <w:szCs w:val="24"/>
          <w:highlight w:val="none"/>
          <w14:textFill>
            <w14:solidFill>
              <w14:schemeClr w14:val="tx1"/>
            </w14:solidFill>
          </w14:textFill>
        </w:rPr>
      </w:pPr>
      <w:bookmarkStart w:id="18" w:name="_Toc522547233"/>
      <w:r>
        <w:rPr>
          <w:rFonts w:hint="eastAsia" w:ascii="仿宋" w:hAnsi="仿宋" w:eastAsia="仿宋" w:cs="仿宋"/>
          <w:b/>
          <w:color w:val="000000" w:themeColor="text1"/>
          <w:sz w:val="24"/>
          <w:szCs w:val="24"/>
          <w:highlight w:val="none"/>
          <w14:textFill>
            <w14:solidFill>
              <w14:schemeClr w14:val="tx1"/>
            </w14:solidFill>
          </w14:textFill>
        </w:rPr>
        <w:t>第四章  合同条款及合同文件格式</w:t>
      </w:r>
      <w:bookmarkEnd w:id="18"/>
    </w:p>
    <w:p w14:paraId="0629D994">
      <w:pPr>
        <w:ind w:firstLine="1456" w:firstLineChars="6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（合同具体格式以招标人和供应商签订的合同为准）</w:t>
      </w:r>
    </w:p>
    <w:p w14:paraId="45B0DF68">
      <w:pPr>
        <w:ind w:firstLine="645"/>
        <w:rPr>
          <w:rFonts w:hint="eastAsia" w:ascii="仿宋" w:hAnsi="仿宋" w:eastAsia="仿宋" w:cs="仿宋"/>
          <w:color w:val="000000" w:themeColor="text1"/>
          <w:sz w:val="24"/>
          <w:szCs w:val="24"/>
          <w:highlight w:val="none"/>
          <w14:textFill>
            <w14:solidFill>
              <w14:schemeClr w14:val="tx1"/>
            </w14:solidFill>
          </w14:textFill>
        </w:rPr>
      </w:pPr>
    </w:p>
    <w:p w14:paraId="49794118">
      <w:pPr>
        <w:ind w:firstLine="64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1A23298">
      <w:pPr>
        <w:adjustRightInd w:val="0"/>
        <w:snapToGrid w:val="0"/>
        <w:jc w:val="center"/>
        <w:rPr>
          <w:rFonts w:hint="eastAsia" w:ascii="仿宋" w:hAnsi="仿宋" w:eastAsia="仿宋" w:cs="仿宋"/>
          <w:b/>
          <w:color w:val="000000" w:themeColor="text1"/>
          <w:sz w:val="24"/>
          <w:szCs w:val="24"/>
          <w:highlight w:val="none"/>
          <w14:textFill>
            <w14:solidFill>
              <w14:schemeClr w14:val="tx1"/>
            </w14:solidFill>
          </w14:textFill>
        </w:rPr>
      </w:pPr>
      <w:bookmarkStart w:id="19" w:name="_Toc20313"/>
      <w:r>
        <w:rPr>
          <w:rFonts w:hint="eastAsia" w:ascii="仿宋" w:hAnsi="仿宋" w:eastAsia="仿宋" w:cs="仿宋"/>
          <w:color w:val="000000" w:themeColor="text1"/>
          <w:sz w:val="24"/>
          <w:szCs w:val="24"/>
          <w:highlight w:val="none"/>
          <w14:textFill>
            <w14:solidFill>
              <w14:schemeClr w14:val="tx1"/>
            </w14:solidFill>
          </w14:textFill>
        </w:rPr>
        <w:br w:type="page"/>
      </w:r>
      <w:bookmarkEnd w:id="19"/>
    </w:p>
    <w:p w14:paraId="34015BC9">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第五章  评审标准</w:t>
      </w:r>
    </w:p>
    <w:tbl>
      <w:tblPr>
        <w:tblStyle w:val="24"/>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19"/>
        <w:gridCol w:w="2883"/>
        <w:gridCol w:w="5727"/>
      </w:tblGrid>
      <w:tr w14:paraId="1D8A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051B6890">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条款号</w:t>
            </w:r>
          </w:p>
        </w:tc>
        <w:tc>
          <w:tcPr>
            <w:tcW w:w="2883" w:type="dxa"/>
            <w:tcBorders>
              <w:top w:val="single" w:color="auto" w:sz="4" w:space="0"/>
              <w:left w:val="single" w:color="auto" w:sz="4" w:space="0"/>
              <w:bottom w:val="single" w:color="auto" w:sz="4" w:space="0"/>
              <w:right w:val="single" w:color="auto" w:sz="4" w:space="0"/>
            </w:tcBorders>
            <w:vAlign w:val="center"/>
          </w:tcPr>
          <w:p w14:paraId="0A26B61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评审因素</w:t>
            </w:r>
          </w:p>
        </w:tc>
        <w:tc>
          <w:tcPr>
            <w:tcW w:w="5727" w:type="dxa"/>
            <w:tcBorders>
              <w:top w:val="single" w:color="auto" w:sz="4" w:space="0"/>
              <w:left w:val="single" w:color="auto" w:sz="4" w:space="0"/>
              <w:bottom w:val="single" w:color="auto" w:sz="4" w:space="0"/>
              <w:right w:val="single" w:color="auto" w:sz="4" w:space="0"/>
            </w:tcBorders>
            <w:vAlign w:val="center"/>
          </w:tcPr>
          <w:p w14:paraId="16F56D0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评审标准</w:t>
            </w:r>
          </w:p>
        </w:tc>
      </w:tr>
      <w:tr w14:paraId="1B5F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077" w:type="dxa"/>
            <w:vMerge w:val="restart"/>
            <w:tcBorders>
              <w:top w:val="single" w:color="auto" w:sz="4" w:space="0"/>
              <w:left w:val="single" w:color="auto" w:sz="4" w:space="0"/>
              <w:right w:val="single" w:color="auto" w:sz="4" w:space="0"/>
            </w:tcBorders>
            <w:vAlign w:val="center"/>
          </w:tcPr>
          <w:p w14:paraId="3174B69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2.1.1</w:t>
            </w:r>
          </w:p>
        </w:tc>
        <w:tc>
          <w:tcPr>
            <w:tcW w:w="1119" w:type="dxa"/>
            <w:vMerge w:val="restart"/>
            <w:tcBorders>
              <w:top w:val="single" w:color="auto" w:sz="4" w:space="0"/>
              <w:left w:val="single" w:color="auto" w:sz="4" w:space="0"/>
              <w:right w:val="single" w:color="auto" w:sz="4" w:space="0"/>
            </w:tcBorders>
            <w:vAlign w:val="center"/>
          </w:tcPr>
          <w:p w14:paraId="54CEEB4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w:t>
            </w:r>
          </w:p>
          <w:p w14:paraId="6D0834A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w:t>
            </w:r>
          </w:p>
          <w:p w14:paraId="2D47FBC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w:t>
            </w:r>
          </w:p>
        </w:tc>
        <w:tc>
          <w:tcPr>
            <w:tcW w:w="2883" w:type="dxa"/>
            <w:tcBorders>
              <w:top w:val="single" w:color="auto" w:sz="4" w:space="0"/>
              <w:left w:val="single" w:color="auto" w:sz="4" w:space="0"/>
              <w:right w:val="single" w:color="auto" w:sz="4" w:space="0"/>
            </w:tcBorders>
            <w:vAlign w:val="center"/>
          </w:tcPr>
          <w:p w14:paraId="68AD064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满足《中华人民共和国政府采购法》第二十二条规定</w:t>
            </w:r>
          </w:p>
        </w:tc>
        <w:tc>
          <w:tcPr>
            <w:tcW w:w="5727" w:type="dxa"/>
            <w:tcBorders>
              <w:top w:val="single" w:color="auto" w:sz="4" w:space="0"/>
              <w:left w:val="single" w:color="auto" w:sz="4" w:space="0"/>
              <w:right w:val="single" w:color="auto" w:sz="4" w:space="0"/>
            </w:tcBorders>
            <w:vAlign w:val="center"/>
          </w:tcPr>
          <w:p w14:paraId="07136260">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满足《中华人民共和国政府采购法》第二十二条规定，提供承诺书。</w:t>
            </w:r>
          </w:p>
        </w:tc>
      </w:tr>
      <w:tr w14:paraId="1B4B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77" w:type="dxa"/>
            <w:vMerge w:val="continue"/>
            <w:tcBorders>
              <w:left w:val="single" w:color="auto" w:sz="4" w:space="0"/>
              <w:right w:val="single" w:color="auto" w:sz="4" w:space="0"/>
            </w:tcBorders>
            <w:vAlign w:val="center"/>
          </w:tcPr>
          <w:p w14:paraId="4900E2F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1EAD0EE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3FDCC66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w:t>
            </w:r>
          </w:p>
        </w:tc>
        <w:tc>
          <w:tcPr>
            <w:tcW w:w="5727" w:type="dxa"/>
            <w:tcBorders>
              <w:top w:val="single" w:color="auto" w:sz="4" w:space="0"/>
              <w:left w:val="single" w:color="auto" w:sz="4" w:space="0"/>
              <w:right w:val="single" w:color="auto" w:sz="4" w:space="0"/>
            </w:tcBorders>
            <w:vAlign w:val="center"/>
          </w:tcPr>
          <w:p w14:paraId="00F5903A">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供应商须具有合法有效的营业执照</w:t>
            </w:r>
          </w:p>
        </w:tc>
      </w:tr>
      <w:tr w14:paraId="6F35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55CDE83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39DE9D9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42E8198A">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资质要求</w:t>
            </w:r>
          </w:p>
        </w:tc>
        <w:tc>
          <w:tcPr>
            <w:tcW w:w="5727" w:type="dxa"/>
            <w:tcBorders>
              <w:top w:val="single" w:color="auto" w:sz="4" w:space="0"/>
              <w:left w:val="single" w:color="auto" w:sz="4" w:space="0"/>
              <w:right w:val="single" w:color="auto" w:sz="4" w:space="0"/>
            </w:tcBorders>
            <w:vAlign w:val="center"/>
          </w:tcPr>
          <w:p w14:paraId="6EE3A44E">
            <w:pPr>
              <w:spacing w:line="500" w:lineRule="exact"/>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供应商须具有测绘主管部门颁发的测绘资质证书乙级及以上资质（专业范围需包含工程测量）</w:t>
            </w:r>
          </w:p>
        </w:tc>
      </w:tr>
      <w:tr w14:paraId="5340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02364C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676F49B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735FCF8E">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w:t>
            </w:r>
          </w:p>
        </w:tc>
        <w:tc>
          <w:tcPr>
            <w:tcW w:w="5727" w:type="dxa"/>
            <w:tcBorders>
              <w:top w:val="single" w:color="auto" w:sz="4" w:space="0"/>
              <w:left w:val="single" w:color="auto" w:sz="4" w:space="0"/>
              <w:right w:val="single" w:color="auto" w:sz="4" w:space="0"/>
            </w:tcBorders>
            <w:vAlign w:val="center"/>
          </w:tcPr>
          <w:p w14:paraId="7E5EB543">
            <w:pPr>
              <w:spacing w:line="500" w:lineRule="exact"/>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拟派项目负责人须具有工程测量类中级工程师及以上职称。</w:t>
            </w:r>
          </w:p>
        </w:tc>
      </w:tr>
      <w:tr w14:paraId="6D7E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1565396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6D7B8AB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7C0253C6">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无商业贿赂和不正当竞争行为</w:t>
            </w:r>
          </w:p>
        </w:tc>
        <w:tc>
          <w:tcPr>
            <w:tcW w:w="5727" w:type="dxa"/>
            <w:tcBorders>
              <w:top w:val="single" w:color="auto" w:sz="4" w:space="0"/>
              <w:left w:val="single" w:color="auto" w:sz="4" w:space="0"/>
              <w:right w:val="single" w:color="auto" w:sz="4" w:space="0"/>
            </w:tcBorders>
            <w:vAlign w:val="center"/>
          </w:tcPr>
          <w:p w14:paraId="583530CC">
            <w:pPr>
              <w:spacing w:line="500" w:lineRule="exac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供应商须提供本企业无商业贿赂和不正当竞争行为承诺书（格式自拟）</w:t>
            </w:r>
          </w:p>
        </w:tc>
      </w:tr>
      <w:tr w14:paraId="1061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77" w:type="dxa"/>
            <w:vMerge w:val="continue"/>
            <w:tcBorders>
              <w:left w:val="single" w:color="auto" w:sz="4" w:space="0"/>
              <w:right w:val="single" w:color="auto" w:sz="4" w:space="0"/>
            </w:tcBorders>
            <w:vAlign w:val="center"/>
          </w:tcPr>
          <w:p w14:paraId="5B6252F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7F3FDA7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190800C0">
            <w:pPr>
              <w:spacing w:line="276"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信用查询</w:t>
            </w:r>
          </w:p>
        </w:tc>
        <w:tc>
          <w:tcPr>
            <w:tcW w:w="5727" w:type="dxa"/>
            <w:tcBorders>
              <w:top w:val="single" w:color="auto" w:sz="4" w:space="0"/>
              <w:left w:val="single" w:color="auto" w:sz="4" w:space="0"/>
              <w:right w:val="single" w:color="auto" w:sz="4" w:space="0"/>
            </w:tcBorders>
            <w:vAlign w:val="center"/>
          </w:tcPr>
          <w:p w14:paraId="54DB4657">
            <w:pPr>
              <w:pStyle w:val="21"/>
              <w:spacing w:beforeAutospacing="0" w:afterAutospacing="0" w:line="44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790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continue"/>
            <w:tcBorders>
              <w:left w:val="single" w:color="auto" w:sz="4" w:space="0"/>
              <w:right w:val="single" w:color="auto" w:sz="4" w:space="0"/>
            </w:tcBorders>
            <w:vAlign w:val="center"/>
          </w:tcPr>
          <w:p w14:paraId="02FF93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5ED57DE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3D6C73D3">
            <w:pPr>
              <w:spacing w:line="276"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控股关系</w:t>
            </w:r>
          </w:p>
        </w:tc>
        <w:tc>
          <w:tcPr>
            <w:tcW w:w="5727" w:type="dxa"/>
            <w:tcBorders>
              <w:top w:val="single" w:color="auto" w:sz="4" w:space="0"/>
              <w:left w:val="single" w:color="auto" w:sz="4" w:space="0"/>
              <w:right w:val="single" w:color="auto" w:sz="4" w:space="0"/>
            </w:tcBorders>
            <w:vAlign w:val="center"/>
          </w:tcPr>
          <w:p w14:paraId="1F9B0B7B">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单位负责人为同一人或者存在直接控股、管理关系的不同供应商，不得参加同一合同项下的政府采购活动；（供应商自行承诺，格式自拟）</w:t>
            </w:r>
          </w:p>
        </w:tc>
      </w:tr>
      <w:tr w14:paraId="740E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continue"/>
            <w:tcBorders>
              <w:left w:val="single" w:color="auto" w:sz="4" w:space="0"/>
              <w:right w:val="single" w:color="auto" w:sz="4" w:space="0"/>
            </w:tcBorders>
            <w:vAlign w:val="center"/>
          </w:tcPr>
          <w:p w14:paraId="6C91DE1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047DC99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278599F2">
            <w:pPr>
              <w:spacing w:line="276"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是否接受联合体</w:t>
            </w:r>
          </w:p>
        </w:tc>
        <w:tc>
          <w:tcPr>
            <w:tcW w:w="5727" w:type="dxa"/>
            <w:tcBorders>
              <w:top w:val="single" w:color="auto" w:sz="4" w:space="0"/>
              <w:left w:val="single" w:color="auto" w:sz="4" w:space="0"/>
              <w:right w:val="single" w:color="auto" w:sz="4" w:space="0"/>
            </w:tcBorders>
            <w:vAlign w:val="center"/>
          </w:tcPr>
          <w:p w14:paraId="376EB4D5">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本项目不接受联合体投标</w:t>
            </w:r>
          </w:p>
        </w:tc>
      </w:tr>
      <w:tr w14:paraId="5B7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81C4B7A">
            <w:pPr>
              <w:tabs>
                <w:tab w:val="left" w:pos="1868"/>
              </w:tabs>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资格评审以响应文件为准，其上传资料真实性由投标人自行承担，同时，投标人要完善主体库。</w:t>
            </w:r>
          </w:p>
        </w:tc>
      </w:tr>
      <w:tr w14:paraId="0085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77" w:type="dxa"/>
            <w:vMerge w:val="restart"/>
            <w:tcBorders>
              <w:top w:val="single" w:color="auto" w:sz="4" w:space="0"/>
              <w:left w:val="single" w:color="auto" w:sz="4" w:space="0"/>
              <w:right w:val="single" w:color="auto" w:sz="4" w:space="0"/>
            </w:tcBorders>
            <w:vAlign w:val="center"/>
          </w:tcPr>
          <w:p w14:paraId="2E4BDF0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w:t>
            </w:r>
          </w:p>
        </w:tc>
        <w:tc>
          <w:tcPr>
            <w:tcW w:w="1119" w:type="dxa"/>
            <w:vMerge w:val="restart"/>
            <w:tcBorders>
              <w:top w:val="single" w:color="auto" w:sz="4" w:space="0"/>
              <w:left w:val="single" w:color="auto" w:sz="4" w:space="0"/>
              <w:right w:val="single" w:color="auto" w:sz="4" w:space="0"/>
            </w:tcBorders>
            <w:vAlign w:val="center"/>
          </w:tcPr>
          <w:p w14:paraId="5802778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实质响应性评审标准</w:t>
            </w:r>
          </w:p>
        </w:tc>
        <w:tc>
          <w:tcPr>
            <w:tcW w:w="2883" w:type="dxa"/>
            <w:tcBorders>
              <w:top w:val="single" w:color="auto" w:sz="4" w:space="0"/>
              <w:left w:val="single" w:color="auto" w:sz="4" w:space="0"/>
              <w:right w:val="single" w:color="auto" w:sz="4" w:space="0"/>
            </w:tcBorders>
            <w:vAlign w:val="center"/>
          </w:tcPr>
          <w:p w14:paraId="29EBD57C">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c>
          <w:tcPr>
            <w:tcW w:w="5727" w:type="dxa"/>
            <w:tcBorders>
              <w:top w:val="single" w:color="auto" w:sz="4" w:space="0"/>
              <w:left w:val="single" w:color="auto" w:sz="4" w:space="0"/>
              <w:right w:val="single" w:color="auto" w:sz="4" w:space="0"/>
            </w:tcBorders>
            <w:vAlign w:val="center"/>
          </w:tcPr>
          <w:p w14:paraId="62540A56">
            <w:pPr>
              <w:spacing w:line="500" w:lineRule="exact"/>
              <w:ind w:firstLine="1440" w:firstLineChars="6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30日历天</w:t>
            </w:r>
          </w:p>
        </w:tc>
      </w:tr>
      <w:tr w14:paraId="0FB6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77" w:type="dxa"/>
            <w:vMerge w:val="continue"/>
            <w:tcBorders>
              <w:left w:val="single" w:color="auto" w:sz="4" w:space="0"/>
              <w:right w:val="single" w:color="auto" w:sz="4" w:space="0"/>
            </w:tcBorders>
            <w:vAlign w:val="center"/>
          </w:tcPr>
          <w:p w14:paraId="3EB85E82">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34698144">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6FBDF83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质量要求</w:t>
            </w:r>
          </w:p>
        </w:tc>
        <w:tc>
          <w:tcPr>
            <w:tcW w:w="5727" w:type="dxa"/>
            <w:tcBorders>
              <w:top w:val="single" w:color="auto" w:sz="4" w:space="0"/>
              <w:left w:val="single" w:color="auto" w:sz="4" w:space="0"/>
              <w:bottom w:val="single" w:color="auto" w:sz="4" w:space="0"/>
              <w:right w:val="single" w:color="auto" w:sz="4" w:space="0"/>
            </w:tcBorders>
            <w:vAlign w:val="center"/>
          </w:tcPr>
          <w:p w14:paraId="79E8048E">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r>
              <w:rPr>
                <w:rFonts w:hint="eastAsia" w:ascii="仿宋" w:hAnsi="仿宋" w:eastAsia="仿宋" w:cs="仿宋"/>
                <w:color w:val="000000" w:themeColor="text1"/>
                <w:sz w:val="24"/>
                <w:szCs w:val="24"/>
                <w:highlight w:val="none"/>
                <w:lang w:eastAsia="zh-CN"/>
                <w14:textFill>
                  <w14:solidFill>
                    <w14:schemeClr w14:val="tx1"/>
                  </w14:solidFill>
                </w14:textFill>
              </w:rPr>
              <w:t>并符合</w:t>
            </w: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需求</w:t>
            </w:r>
          </w:p>
        </w:tc>
      </w:tr>
      <w:tr w14:paraId="70DA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77" w:type="dxa"/>
            <w:vMerge w:val="continue"/>
            <w:tcBorders>
              <w:left w:val="single" w:color="auto" w:sz="4" w:space="0"/>
              <w:right w:val="single" w:color="auto" w:sz="4" w:space="0"/>
            </w:tcBorders>
            <w:vAlign w:val="center"/>
          </w:tcPr>
          <w:p w14:paraId="143D5335">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03BA1799">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0DE13CB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磋商有效期</w:t>
            </w:r>
          </w:p>
        </w:tc>
        <w:tc>
          <w:tcPr>
            <w:tcW w:w="5727" w:type="dxa"/>
            <w:tcBorders>
              <w:top w:val="single" w:color="auto" w:sz="4" w:space="0"/>
              <w:left w:val="single" w:color="auto" w:sz="4" w:space="0"/>
              <w:bottom w:val="single" w:color="auto" w:sz="4" w:space="0"/>
              <w:right w:val="single" w:color="auto" w:sz="4" w:space="0"/>
            </w:tcBorders>
            <w:vAlign w:val="center"/>
          </w:tcPr>
          <w:p w14:paraId="1C3F2215">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60日历天(从磋商截止之日算起)</w:t>
            </w:r>
          </w:p>
        </w:tc>
      </w:tr>
      <w:tr w14:paraId="084A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077" w:type="dxa"/>
            <w:vMerge w:val="continue"/>
            <w:tcBorders>
              <w:left w:val="single" w:color="auto" w:sz="4" w:space="0"/>
              <w:right w:val="single" w:color="auto" w:sz="4" w:space="0"/>
            </w:tcBorders>
            <w:vAlign w:val="center"/>
          </w:tcPr>
          <w:p w14:paraId="7B7BAB79">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72CD2C96">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5695712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w:t>
            </w:r>
          </w:p>
        </w:tc>
        <w:tc>
          <w:tcPr>
            <w:tcW w:w="5727" w:type="dxa"/>
            <w:tcBorders>
              <w:top w:val="single" w:color="auto" w:sz="4" w:space="0"/>
              <w:left w:val="single" w:color="auto" w:sz="4" w:space="0"/>
              <w:bottom w:val="single" w:color="auto" w:sz="4" w:space="0"/>
              <w:right w:val="single" w:color="auto" w:sz="4" w:space="0"/>
            </w:tcBorders>
            <w:vAlign w:val="center"/>
          </w:tcPr>
          <w:p w14:paraId="672768BF">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响应人磋商总报价不得高于采购人的预算价，否则其投标将予否决。</w:t>
            </w:r>
          </w:p>
        </w:tc>
      </w:tr>
      <w:tr w14:paraId="3E0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077" w:type="dxa"/>
            <w:vMerge w:val="restart"/>
            <w:tcBorders>
              <w:left w:val="single" w:color="auto" w:sz="4" w:space="0"/>
              <w:right w:val="single" w:color="auto" w:sz="4" w:space="0"/>
            </w:tcBorders>
            <w:vAlign w:val="center"/>
          </w:tcPr>
          <w:p w14:paraId="2E99528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w:t>
            </w:r>
          </w:p>
        </w:tc>
        <w:tc>
          <w:tcPr>
            <w:tcW w:w="1119" w:type="dxa"/>
            <w:vMerge w:val="restart"/>
            <w:tcBorders>
              <w:left w:val="single" w:color="auto" w:sz="4" w:space="0"/>
              <w:right w:val="single" w:color="auto" w:sz="4" w:space="0"/>
            </w:tcBorders>
            <w:vAlign w:val="center"/>
          </w:tcPr>
          <w:p w14:paraId="1E750B1D">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符合性评审标准</w:t>
            </w:r>
          </w:p>
        </w:tc>
        <w:tc>
          <w:tcPr>
            <w:tcW w:w="2883" w:type="dxa"/>
            <w:tcBorders>
              <w:top w:val="single" w:color="auto" w:sz="4" w:space="0"/>
              <w:left w:val="single" w:color="auto" w:sz="4" w:space="0"/>
              <w:bottom w:val="single" w:color="auto" w:sz="4" w:space="0"/>
              <w:right w:val="single" w:color="auto" w:sz="4" w:space="0"/>
            </w:tcBorders>
            <w:vAlign w:val="center"/>
          </w:tcPr>
          <w:p w14:paraId="21EBA5CB">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w:t>
            </w:r>
          </w:p>
        </w:tc>
        <w:tc>
          <w:tcPr>
            <w:tcW w:w="5727" w:type="dxa"/>
            <w:tcBorders>
              <w:top w:val="single" w:color="auto" w:sz="4" w:space="0"/>
              <w:left w:val="single" w:color="auto" w:sz="4" w:space="0"/>
              <w:bottom w:val="single" w:color="auto" w:sz="4" w:space="0"/>
              <w:right w:val="single" w:color="auto" w:sz="4" w:space="0"/>
            </w:tcBorders>
            <w:vAlign w:val="center"/>
          </w:tcPr>
          <w:p w14:paraId="3CAA2798">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与营业执照一致</w:t>
            </w:r>
          </w:p>
        </w:tc>
      </w:tr>
      <w:tr w14:paraId="038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077" w:type="dxa"/>
            <w:vMerge w:val="continue"/>
            <w:tcBorders>
              <w:left w:val="single" w:color="auto" w:sz="4" w:space="0"/>
              <w:right w:val="single" w:color="auto" w:sz="4" w:space="0"/>
            </w:tcBorders>
            <w:vAlign w:val="center"/>
          </w:tcPr>
          <w:p w14:paraId="3838DCD3">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27B8F8F8">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1E0633FE">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报价唯一</w:t>
            </w:r>
          </w:p>
        </w:tc>
        <w:tc>
          <w:tcPr>
            <w:tcW w:w="5727" w:type="dxa"/>
            <w:tcBorders>
              <w:top w:val="single" w:color="auto" w:sz="4" w:space="0"/>
              <w:left w:val="single" w:color="auto" w:sz="4" w:space="0"/>
              <w:bottom w:val="single" w:color="auto" w:sz="4" w:space="0"/>
              <w:right w:val="single" w:color="auto" w:sz="4" w:space="0"/>
            </w:tcBorders>
            <w:vAlign w:val="center"/>
          </w:tcPr>
          <w:p w14:paraId="120C5CB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只有一个有效报价</w:t>
            </w:r>
          </w:p>
        </w:tc>
      </w:tr>
      <w:tr w14:paraId="522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077" w:type="dxa"/>
            <w:vMerge w:val="continue"/>
            <w:tcBorders>
              <w:left w:val="single" w:color="auto" w:sz="4" w:space="0"/>
              <w:bottom w:val="single" w:color="auto" w:sz="4" w:space="0"/>
              <w:right w:val="single" w:color="auto" w:sz="4" w:space="0"/>
            </w:tcBorders>
            <w:vAlign w:val="center"/>
          </w:tcPr>
          <w:p w14:paraId="304B7B87">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bottom w:val="single" w:color="auto" w:sz="4" w:space="0"/>
              <w:right w:val="single" w:color="auto" w:sz="4" w:space="0"/>
            </w:tcBorders>
            <w:vAlign w:val="center"/>
          </w:tcPr>
          <w:p w14:paraId="26FC566A">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47D2901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投标文件格式</w:t>
            </w:r>
          </w:p>
        </w:tc>
        <w:tc>
          <w:tcPr>
            <w:tcW w:w="5727" w:type="dxa"/>
            <w:tcBorders>
              <w:top w:val="single" w:color="auto" w:sz="4" w:space="0"/>
              <w:left w:val="single" w:color="auto" w:sz="4" w:space="0"/>
              <w:bottom w:val="single" w:color="auto" w:sz="4" w:space="0"/>
              <w:right w:val="single" w:color="auto" w:sz="4" w:space="0"/>
            </w:tcBorders>
            <w:vAlign w:val="center"/>
          </w:tcPr>
          <w:p w14:paraId="5D81C72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符合“投标文件格式要求”</w:t>
            </w:r>
          </w:p>
        </w:tc>
      </w:tr>
    </w:tbl>
    <w:p w14:paraId="3BB358DB">
      <w:pPr>
        <w:spacing w:line="500" w:lineRule="exact"/>
        <w:rPr>
          <w:rFonts w:hint="eastAsia" w:ascii="仿宋" w:hAnsi="仿宋" w:eastAsia="仿宋" w:cs="仿宋"/>
          <w:b/>
          <w:color w:val="000000" w:themeColor="text1"/>
          <w:sz w:val="24"/>
          <w:szCs w:val="24"/>
          <w:highlight w:val="none"/>
          <w14:textFill>
            <w14:solidFill>
              <w14:schemeClr w14:val="tx1"/>
            </w14:solidFill>
          </w14:textFill>
        </w:rPr>
      </w:pPr>
    </w:p>
    <w:p w14:paraId="7617C4C0">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磋商文件的评审、比较和否决</w:t>
      </w:r>
    </w:p>
    <w:p w14:paraId="7716A55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磋商小组将按照竞争性磋商文件的规定，仅对在实质上响应竞争性磋商文件要求的响应文件进行评估和比较。</w:t>
      </w:r>
    </w:p>
    <w:p w14:paraId="40C5AFA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09FE61F6">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在磋商过程中，磋商小组可以以书面形式要求磋商供应商就响应文件中含义不明确的内容进行书面说明并提供相关材料；</w:t>
      </w:r>
      <w:r>
        <w:rPr>
          <w:rFonts w:hint="eastAsia" w:ascii="仿宋" w:hAnsi="仿宋" w:eastAsia="仿宋" w:cs="仿宋"/>
          <w:color w:val="000000" w:themeColor="text1"/>
          <w:spacing w:val="-12"/>
          <w:sz w:val="24"/>
          <w:szCs w:val="24"/>
          <w:highlight w:val="none"/>
          <w14:textFill>
            <w14:solidFill>
              <w14:schemeClr w14:val="tx1"/>
            </w14:solidFill>
          </w14:textFill>
        </w:rPr>
        <w:t>凡遇到响应文件中无界定或界定不清、前后不一致使评委会成员</w:t>
      </w:r>
      <w:r>
        <w:rPr>
          <w:rFonts w:hint="eastAsia" w:ascii="仿宋" w:hAnsi="仿宋" w:eastAsia="仿宋" w:cs="仿宋"/>
          <w:color w:val="000000" w:themeColor="text1"/>
          <w:sz w:val="24"/>
          <w:szCs w:val="24"/>
          <w:highlight w:val="none"/>
          <w14:textFill>
            <w14:solidFill>
              <w14:schemeClr w14:val="tx1"/>
            </w14:solidFill>
          </w14:textFill>
        </w:rPr>
        <w:t>意见</w:t>
      </w:r>
      <w:r>
        <w:rPr>
          <w:rFonts w:hint="eastAsia" w:ascii="仿宋" w:hAnsi="仿宋" w:eastAsia="仿宋" w:cs="仿宋"/>
          <w:color w:val="000000" w:themeColor="text1"/>
          <w:spacing w:val="-12"/>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仿宋" w:hAnsi="仿宋" w:eastAsia="仿宋" w:cs="仿宋"/>
          <w:color w:val="000000" w:themeColor="text1"/>
          <w:sz w:val="24"/>
          <w:szCs w:val="24"/>
          <w:highlight w:val="none"/>
          <w14:textFill>
            <w14:solidFill>
              <w14:schemeClr w14:val="tx1"/>
            </w14:solidFill>
          </w14:textFill>
        </w:rPr>
        <w:t>。</w:t>
      </w:r>
    </w:p>
    <w:p w14:paraId="7DD6F083">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磋商时，磋商报价是磋商的重要依据，但不是唯一依据，采购人不承诺将合同授予报价最低或最高的磋商供应商。</w:t>
      </w:r>
    </w:p>
    <w:p w14:paraId="2B3D103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69A5EB9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磋商程序</w:t>
      </w:r>
    </w:p>
    <w:p w14:paraId="46CECBA2">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资格审查</w:t>
      </w:r>
    </w:p>
    <w:p w14:paraId="2EF7A1A0">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本项目采用资格后审</w:t>
      </w:r>
    </w:p>
    <w:p w14:paraId="5F65BC19">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71DFEB1D">
      <w:pPr>
        <w:spacing w:line="5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3.磋商具体方法和标准</w:t>
      </w:r>
    </w:p>
    <w:p w14:paraId="698D22CB">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磋商小组根据磋商原则和办法对所有响应文件进行集中审核，分别评价。</w:t>
      </w:r>
    </w:p>
    <w:p w14:paraId="3A5413E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4CBE3F1">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029EB795">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083B050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详细评审表</w:t>
      </w:r>
    </w:p>
    <w:tbl>
      <w:tblPr>
        <w:tblStyle w:val="24"/>
        <w:tblW w:w="919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013"/>
        <w:gridCol w:w="1230"/>
        <w:gridCol w:w="1507"/>
        <w:gridCol w:w="5443"/>
      </w:tblGrid>
      <w:tr w14:paraId="10A7E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9193" w:type="dxa"/>
            <w:gridSpan w:val="4"/>
            <w:tcBorders>
              <w:top w:val="single" w:color="auto" w:sz="4" w:space="0"/>
              <w:left w:val="single" w:color="auto" w:sz="4" w:space="0"/>
              <w:bottom w:val="single" w:color="auto" w:sz="4" w:space="0"/>
              <w:right w:val="single" w:color="auto" w:sz="4" w:space="0"/>
            </w:tcBorders>
            <w:vAlign w:val="center"/>
          </w:tcPr>
          <w:p w14:paraId="1C2134D3">
            <w:pPr>
              <w:widowControl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综合评分部分（满分100分）</w:t>
            </w:r>
          </w:p>
        </w:tc>
      </w:tr>
      <w:tr w14:paraId="4EB664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05"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4C104A5C">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1.1.1</w:t>
            </w:r>
          </w:p>
        </w:tc>
        <w:tc>
          <w:tcPr>
            <w:tcW w:w="2737" w:type="dxa"/>
            <w:gridSpan w:val="2"/>
            <w:tcBorders>
              <w:top w:val="single" w:color="auto" w:sz="4" w:space="0"/>
              <w:left w:val="nil"/>
              <w:bottom w:val="single" w:color="auto" w:sz="4" w:space="0"/>
              <w:right w:val="single" w:color="auto" w:sz="4" w:space="0"/>
            </w:tcBorders>
            <w:vAlign w:val="center"/>
          </w:tcPr>
          <w:p w14:paraId="3F9209E5">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分值构成</w:t>
            </w:r>
          </w:p>
          <w:p w14:paraId="0E10248B">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5443" w:type="dxa"/>
            <w:tcBorders>
              <w:top w:val="single" w:color="auto" w:sz="4" w:space="0"/>
              <w:left w:val="nil"/>
              <w:bottom w:val="single" w:color="auto" w:sz="4" w:space="0"/>
              <w:right w:val="single" w:color="auto" w:sz="4" w:space="0"/>
            </w:tcBorders>
          </w:tcPr>
          <w:p w14:paraId="6CB1F1E4">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投标报价：30分</w:t>
            </w:r>
          </w:p>
          <w:p w14:paraId="03798457">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技术部分：50分</w:t>
            </w:r>
          </w:p>
          <w:p w14:paraId="6FC9E13B">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商务部分：20分</w:t>
            </w:r>
          </w:p>
        </w:tc>
      </w:tr>
      <w:tr w14:paraId="20637D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602BDE1">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2737" w:type="dxa"/>
            <w:gridSpan w:val="2"/>
            <w:tcBorders>
              <w:top w:val="single" w:color="auto" w:sz="4" w:space="0"/>
              <w:left w:val="nil"/>
              <w:bottom w:val="single" w:color="auto" w:sz="4" w:space="0"/>
              <w:right w:val="single" w:color="auto" w:sz="4" w:space="0"/>
            </w:tcBorders>
            <w:vAlign w:val="center"/>
          </w:tcPr>
          <w:p w14:paraId="62F87248">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评分因素</w:t>
            </w:r>
          </w:p>
        </w:tc>
        <w:tc>
          <w:tcPr>
            <w:tcW w:w="5443" w:type="dxa"/>
            <w:tcBorders>
              <w:top w:val="single" w:color="auto" w:sz="4" w:space="0"/>
              <w:left w:val="nil"/>
              <w:bottom w:val="single" w:color="auto" w:sz="4" w:space="0"/>
              <w:right w:val="single" w:color="auto" w:sz="4" w:space="0"/>
            </w:tcBorders>
            <w:vAlign w:val="center"/>
          </w:tcPr>
          <w:p w14:paraId="0EBA17D9">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评标标准</w:t>
            </w:r>
          </w:p>
        </w:tc>
      </w:tr>
      <w:tr w14:paraId="3DED2E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5"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EA0B18D">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230" w:type="dxa"/>
            <w:tcBorders>
              <w:top w:val="single" w:color="auto" w:sz="4" w:space="0"/>
              <w:left w:val="nil"/>
              <w:bottom w:val="single" w:color="auto" w:sz="4" w:space="0"/>
              <w:right w:val="single" w:color="auto" w:sz="4" w:space="0"/>
            </w:tcBorders>
            <w:vAlign w:val="center"/>
          </w:tcPr>
          <w:p w14:paraId="31BDBB6B">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6950" w:type="dxa"/>
            <w:gridSpan w:val="2"/>
            <w:tcBorders>
              <w:top w:val="single" w:color="auto" w:sz="4" w:space="0"/>
              <w:left w:val="nil"/>
              <w:bottom w:val="single" w:color="auto" w:sz="4" w:space="0"/>
              <w:right w:val="single" w:color="auto" w:sz="4" w:space="0"/>
            </w:tcBorders>
            <w:vAlign w:val="center"/>
          </w:tcPr>
          <w:p w14:paraId="72838DCE">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1、价格分采用低价优先法计算，即满足磋商文件通过资格性和形式性审查且投标价格最低的投标报价为评标基准价，其价格得分为满分30分。</w:t>
            </w:r>
          </w:p>
          <w:p w14:paraId="33B64A8E">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2、其他供应商的价格分统一按照下列公式计算：</w:t>
            </w:r>
          </w:p>
          <w:p w14:paraId="6970FF11">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投标报价得分=(评标基准价／投标报价)×30</w:t>
            </w:r>
          </w:p>
          <w:p w14:paraId="1924DD9D">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注：价格分计算保留小数点后二位。在评标过程中，磋商小组发现供应商的报价明显低于其他通过初步审查供应商的报价</w:t>
            </w:r>
            <w:r>
              <w:rPr>
                <w:rFonts w:hint="eastAsia" w:ascii="仿宋" w:hAnsi="仿宋" w:eastAsia="仿宋" w:cs="仿宋"/>
                <w:color w:val="000000"/>
                <w:sz w:val="24"/>
                <w:szCs w:val="24"/>
                <w:highlight w:val="none"/>
              </w:rPr>
              <w:t>或其报价无法正常履行合同的</w:t>
            </w:r>
            <w:r>
              <w:rPr>
                <w:rFonts w:hint="eastAsia" w:ascii="仿宋" w:hAnsi="仿宋" w:eastAsia="仿宋" w:cs="仿宋"/>
                <w:kern w:val="2"/>
                <w:sz w:val="24"/>
                <w:szCs w:val="24"/>
                <w:highlight w:val="none"/>
              </w:rPr>
              <w:t>，有可能影响产品质量或者不能诚信履约的，磋商小组</w:t>
            </w:r>
            <w:r>
              <w:rPr>
                <w:rFonts w:hint="eastAsia" w:ascii="仿宋" w:hAnsi="仿宋" w:eastAsia="仿宋" w:cs="仿宋"/>
                <w:color w:val="000000"/>
                <w:sz w:val="24"/>
                <w:szCs w:val="24"/>
                <w:highlight w:val="none"/>
              </w:rPr>
              <w:t>对其投标报价提出质疑</w:t>
            </w:r>
            <w:r>
              <w:rPr>
                <w:rFonts w:hint="eastAsia" w:ascii="仿宋" w:hAnsi="仿宋" w:eastAsia="仿宋" w:cs="仿宋"/>
                <w:kern w:val="2"/>
                <w:sz w:val="24"/>
                <w:szCs w:val="24"/>
                <w:highlight w:val="none"/>
              </w:rPr>
              <w:t>，</w:t>
            </w:r>
            <w:r>
              <w:rPr>
                <w:rFonts w:hint="eastAsia" w:ascii="仿宋" w:hAnsi="仿宋" w:eastAsia="仿宋" w:cs="仿宋"/>
                <w:color w:val="000000"/>
                <w:sz w:val="24"/>
                <w:szCs w:val="24"/>
                <w:highlight w:val="none"/>
              </w:rPr>
              <w:t>供应商应对其投标报价在规定时间内提供证明文件并做出澄清</w:t>
            </w:r>
            <w:r>
              <w:rPr>
                <w:rFonts w:hint="eastAsia" w:ascii="仿宋" w:hAnsi="仿宋" w:eastAsia="仿宋" w:cs="仿宋"/>
                <w:kern w:val="2"/>
                <w:sz w:val="24"/>
                <w:szCs w:val="24"/>
                <w:highlight w:val="none"/>
              </w:rPr>
              <w:t>。若供应商</w:t>
            </w:r>
            <w:r>
              <w:rPr>
                <w:rFonts w:hint="eastAsia" w:ascii="仿宋" w:hAnsi="仿宋" w:eastAsia="仿宋" w:cs="仿宋"/>
                <w:color w:val="000000"/>
                <w:sz w:val="24"/>
                <w:szCs w:val="24"/>
                <w:highlight w:val="none"/>
              </w:rPr>
              <w:t>不能在规定时间内</w:t>
            </w:r>
            <w:r>
              <w:rPr>
                <w:rFonts w:hint="eastAsia" w:ascii="仿宋" w:hAnsi="仿宋" w:eastAsia="仿宋" w:cs="仿宋"/>
                <w:kern w:val="2"/>
                <w:sz w:val="24"/>
                <w:szCs w:val="24"/>
                <w:highlight w:val="none"/>
              </w:rPr>
              <w:t>提供相关证明材料证明</w:t>
            </w:r>
            <w:r>
              <w:rPr>
                <w:rFonts w:hint="eastAsia" w:ascii="仿宋" w:hAnsi="仿宋" w:eastAsia="仿宋" w:cs="仿宋"/>
                <w:color w:val="000000"/>
                <w:sz w:val="24"/>
                <w:szCs w:val="24"/>
                <w:highlight w:val="none"/>
              </w:rPr>
              <w:t>其报价合理的</w:t>
            </w:r>
            <w:r>
              <w:rPr>
                <w:rFonts w:hint="eastAsia" w:ascii="仿宋" w:hAnsi="仿宋" w:eastAsia="仿宋" w:cs="仿宋"/>
                <w:kern w:val="2"/>
                <w:sz w:val="24"/>
                <w:szCs w:val="24"/>
                <w:highlight w:val="none"/>
              </w:rPr>
              <w:t>，磋商小组</w:t>
            </w:r>
            <w:r>
              <w:rPr>
                <w:rFonts w:hint="eastAsia" w:ascii="仿宋" w:hAnsi="仿宋" w:eastAsia="仿宋" w:cs="仿宋"/>
                <w:color w:val="000000"/>
                <w:sz w:val="24"/>
                <w:szCs w:val="24"/>
                <w:highlight w:val="none"/>
              </w:rPr>
              <w:t>将视同</w:t>
            </w:r>
            <w:r>
              <w:rPr>
                <w:rFonts w:hint="eastAsia" w:ascii="仿宋" w:hAnsi="仿宋" w:eastAsia="仿宋" w:cs="仿宋"/>
                <w:kern w:val="2"/>
                <w:sz w:val="24"/>
                <w:szCs w:val="24"/>
                <w:highlight w:val="none"/>
              </w:rPr>
              <w:t>该供应商以低于成本价恶意竞标，其投标作废标处理</w:t>
            </w:r>
            <w:r>
              <w:rPr>
                <w:rFonts w:hint="eastAsia" w:ascii="仿宋" w:hAnsi="仿宋" w:eastAsia="仿宋" w:cs="仿宋"/>
                <w:color w:val="000000"/>
                <w:sz w:val="24"/>
                <w:szCs w:val="24"/>
                <w:highlight w:val="none"/>
              </w:rPr>
              <w:t>。</w:t>
            </w:r>
          </w:p>
        </w:tc>
      </w:tr>
      <w:tr w14:paraId="5E1A1D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2"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69E47BE1">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731D801E">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技术部分评分标准</w:t>
            </w:r>
          </w:p>
          <w:p w14:paraId="2A780917">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（50分）</w:t>
            </w:r>
          </w:p>
        </w:tc>
        <w:tc>
          <w:tcPr>
            <w:tcW w:w="1507" w:type="dxa"/>
            <w:tcBorders>
              <w:top w:val="single" w:color="auto" w:sz="4" w:space="0"/>
              <w:left w:val="single" w:color="auto" w:sz="4" w:space="0"/>
              <w:bottom w:val="single" w:color="auto" w:sz="4" w:space="0"/>
              <w:right w:val="single" w:color="auto" w:sz="4" w:space="0"/>
            </w:tcBorders>
            <w:vAlign w:val="center"/>
          </w:tcPr>
          <w:p w14:paraId="42B2E584">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人员配置</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15CACAAD">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专业技术人员构成合理、任务分工明确得10分；专业技术人员构成较合理或任务分工较明确得5分；专业技术人员构成不合理、任务分工不明确得2分，不提供不得分。</w:t>
            </w:r>
          </w:p>
        </w:tc>
      </w:tr>
      <w:tr w14:paraId="0C497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5EDEDC2A">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15A1D94">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44FB218F">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技术方案</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481E2DA4">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项目技术方案在保证科学合理的基础上，切实可行完全符合项目需求，得20分；项目技术方案符合项目需求，但方案有欠缺得10分；有技术方案但不明确、不完整得5分；不提供不得分。</w:t>
            </w:r>
          </w:p>
        </w:tc>
      </w:tr>
      <w:tr w14:paraId="00116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4"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7AB65CEC">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7EF523B">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02446EE2">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对本</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的建议（0-</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14:paraId="7FC7E3EF">
            <w:pPr>
              <w:widowControl w:val="0"/>
              <w:spacing w:line="360" w:lineRule="auto"/>
              <w:rPr>
                <w:rFonts w:hint="eastAsia" w:ascii="仿宋" w:hAnsi="仿宋" w:eastAsia="仿宋" w:cs="仿宋"/>
                <w:sz w:val="24"/>
                <w:szCs w:val="24"/>
                <w:highlight w:val="none"/>
              </w:rPr>
            </w:pPr>
          </w:p>
        </w:tc>
        <w:tc>
          <w:tcPr>
            <w:tcW w:w="5443" w:type="dxa"/>
            <w:tcBorders>
              <w:top w:val="single" w:color="auto" w:sz="4" w:space="0"/>
              <w:left w:val="single" w:color="auto" w:sz="4" w:space="0"/>
              <w:bottom w:val="single" w:color="auto" w:sz="4" w:space="0"/>
              <w:right w:val="single" w:color="auto" w:sz="4" w:space="0"/>
            </w:tcBorders>
            <w:vAlign w:val="center"/>
          </w:tcPr>
          <w:p w14:paraId="7A9E00E5">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对本</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的建议全面、合理、针对性及可操作性强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得10分；对本项目的建议比较全面、合理、针对性及可操作性一般，得5分；对本项目的建议一般，得3分；不提供不得分。</w:t>
            </w:r>
          </w:p>
        </w:tc>
      </w:tr>
      <w:tr w14:paraId="298DF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6CC1779">
            <w:pPr>
              <w:widowControl w:val="0"/>
              <w:spacing w:line="360" w:lineRule="auto"/>
              <w:jc w:val="both"/>
              <w:rPr>
                <w:rFonts w:hint="eastAsia" w:ascii="仿宋" w:hAnsi="仿宋" w:eastAsia="仿宋" w:cs="仿宋"/>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4AA240E">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79360016">
            <w:pPr>
              <w:widowControl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质量保证措施、进度保证措施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0-10分</w:t>
            </w:r>
            <w:r>
              <w:rPr>
                <w:rFonts w:hint="eastAsia" w:ascii="仿宋" w:hAnsi="仿宋" w:eastAsia="仿宋" w:cs="仿宋"/>
                <w:sz w:val="24"/>
                <w:szCs w:val="24"/>
                <w:highlight w:val="none"/>
                <w:lang w:eastAsia="zh-CN"/>
              </w:rPr>
              <w:t>）</w:t>
            </w:r>
          </w:p>
          <w:p w14:paraId="6966CB4E">
            <w:pPr>
              <w:widowControl w:val="0"/>
              <w:spacing w:line="360" w:lineRule="auto"/>
              <w:rPr>
                <w:rFonts w:hint="eastAsia" w:ascii="仿宋" w:hAnsi="仿宋" w:eastAsia="仿宋" w:cs="仿宋"/>
                <w:sz w:val="24"/>
                <w:szCs w:val="24"/>
                <w:highlight w:val="none"/>
              </w:rPr>
            </w:pPr>
          </w:p>
        </w:tc>
        <w:tc>
          <w:tcPr>
            <w:tcW w:w="5443" w:type="dxa"/>
            <w:tcBorders>
              <w:top w:val="single" w:color="auto" w:sz="4" w:space="0"/>
              <w:left w:val="single" w:color="auto" w:sz="4" w:space="0"/>
              <w:bottom w:val="single" w:color="auto" w:sz="4" w:space="0"/>
              <w:right w:val="single" w:color="auto" w:sz="4" w:space="0"/>
            </w:tcBorders>
            <w:vAlign w:val="center"/>
          </w:tcPr>
          <w:p w14:paraId="7FF064C9">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质量保证措施、进度保证措施全面、合理、针对性及可操 作性强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得10分；质量保证措施、进度保证措施比较全面、合理、针对性及 可操作性比较强，得5分；质量保证措施、进度保证措施一般、针对性及可操作性一 般，得3分；不提供不得分。</w:t>
            </w:r>
          </w:p>
        </w:tc>
      </w:tr>
      <w:tr w14:paraId="6D343E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2"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29795B79">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76D189F6">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商务部分评分标准</w:t>
            </w:r>
          </w:p>
          <w:p w14:paraId="0C97A946">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（20分）</w:t>
            </w:r>
          </w:p>
        </w:tc>
        <w:tc>
          <w:tcPr>
            <w:tcW w:w="1507" w:type="dxa"/>
            <w:tcBorders>
              <w:top w:val="single" w:color="auto" w:sz="4" w:space="0"/>
              <w:left w:val="single" w:color="auto" w:sz="4" w:space="0"/>
              <w:bottom w:val="single" w:color="auto" w:sz="4" w:space="0"/>
              <w:right w:val="single" w:color="auto" w:sz="4" w:space="0"/>
            </w:tcBorders>
            <w:vAlign w:val="center"/>
          </w:tcPr>
          <w:p w14:paraId="1B5484A7">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企业业绩（0-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0E93A750">
            <w:pPr>
              <w:widowControl w:val="0"/>
              <w:spacing w:line="360" w:lineRule="auto"/>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供应商承担过类似业绩的（</w:t>
            </w:r>
            <w:r>
              <w:rPr>
                <w:rFonts w:hint="eastAsia" w:ascii="仿宋" w:hAnsi="仿宋" w:eastAsia="仿宋" w:cs="仿宋"/>
                <w:sz w:val="24"/>
                <w:szCs w:val="24"/>
                <w:highlight w:val="none"/>
                <w:lang w:val="en-US" w:eastAsia="zh-CN"/>
              </w:rPr>
              <w:t>饮用水水源保护区相关项目</w:t>
            </w:r>
            <w:r>
              <w:rPr>
                <w:rFonts w:hint="eastAsia" w:ascii="仿宋" w:hAnsi="仿宋" w:eastAsia="仿宋" w:cs="仿宋"/>
                <w:sz w:val="24"/>
                <w:szCs w:val="24"/>
                <w:highlight w:val="none"/>
                <w:lang w:val="zh-CN"/>
              </w:rPr>
              <w:t>），每提供一个得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分，最多得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分（须提供合同协议书或中标通知书原件扫描件）；</w:t>
            </w:r>
          </w:p>
          <w:p w14:paraId="664D658C">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注：业绩时间为20</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年01月01日以来，时间以合同签订时间为准。</w:t>
            </w:r>
            <w:r>
              <w:rPr>
                <w:rFonts w:hint="eastAsia" w:ascii="仿宋" w:hAnsi="仿宋" w:eastAsia="仿宋" w:cs="仿宋"/>
                <w:sz w:val="24"/>
                <w:szCs w:val="24"/>
                <w:highlight w:val="none"/>
              </w:rPr>
              <w:t>不提供不得分</w:t>
            </w:r>
          </w:p>
        </w:tc>
      </w:tr>
      <w:tr w14:paraId="34ECD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68DDD515">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CF9B997">
            <w:pPr>
              <w:widowControl w:val="0"/>
              <w:spacing w:line="360" w:lineRule="auto"/>
              <w:jc w:val="both"/>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496E9E48">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服务能力和优惠承诺（</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3EEE31FA">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1.有完善的服务计划、稳定的服务队伍、良好的服务信誉承诺；根据承诺内容</w:t>
            </w:r>
            <w:r>
              <w:rPr>
                <w:rFonts w:hint="eastAsia" w:ascii="仿宋" w:hAnsi="仿宋" w:eastAsia="仿宋" w:cs="仿宋"/>
                <w:kern w:val="2"/>
                <w:sz w:val="24"/>
                <w:szCs w:val="24"/>
                <w:highlight w:val="none"/>
              </w:rPr>
              <w:t>全面、可实施性、适用性等方面</w:t>
            </w:r>
            <w:r>
              <w:rPr>
                <w:rFonts w:hint="eastAsia" w:ascii="仿宋" w:hAnsi="仿宋" w:eastAsia="仿宋" w:cs="仿宋"/>
                <w:sz w:val="24"/>
                <w:szCs w:val="24"/>
                <w:highlight w:val="none"/>
                <w:lang w:val="zh-CN"/>
              </w:rPr>
              <w:t>进行打分，优得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w:t>
            </w:r>
            <w:r>
              <w:rPr>
                <w:rFonts w:hint="eastAsia" w:ascii="仿宋" w:hAnsi="仿宋" w:eastAsia="仿宋" w:cs="仿宋"/>
                <w:kern w:val="2"/>
                <w:sz w:val="24"/>
                <w:szCs w:val="24"/>
                <w:highlight w:val="none"/>
              </w:rPr>
              <w:t>良得</w:t>
            </w:r>
            <w:r>
              <w:rPr>
                <w:rFonts w:hint="eastAsia" w:ascii="仿宋" w:hAnsi="仿宋" w:eastAsia="仿宋" w:cs="仿宋"/>
                <w:sz w:val="24"/>
                <w:szCs w:val="24"/>
                <w:highlight w:val="none"/>
                <w:lang w:val="zh-CN"/>
              </w:rPr>
              <w:t>3分、一般1分；</w:t>
            </w:r>
            <w:r>
              <w:rPr>
                <w:rFonts w:hint="eastAsia" w:ascii="仿宋" w:hAnsi="仿宋" w:eastAsia="仿宋" w:cs="仿宋"/>
                <w:sz w:val="24"/>
                <w:szCs w:val="24"/>
                <w:highlight w:val="none"/>
                <w:lang w:val="en-US" w:eastAsia="zh-CN"/>
              </w:rPr>
              <w:t>不提供不得分。</w:t>
            </w:r>
          </w:p>
          <w:p w14:paraId="40AF1638">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2.服务期内，出现任何问题，供应商无条件负责承诺情况进行打分；根据承诺内容</w:t>
            </w:r>
            <w:r>
              <w:rPr>
                <w:rFonts w:hint="eastAsia" w:ascii="仿宋" w:hAnsi="仿宋" w:eastAsia="仿宋" w:cs="仿宋"/>
                <w:kern w:val="2"/>
                <w:sz w:val="24"/>
                <w:szCs w:val="24"/>
                <w:highlight w:val="none"/>
              </w:rPr>
              <w:t>全面、可实施性、合理性等方面</w:t>
            </w:r>
            <w:r>
              <w:rPr>
                <w:rFonts w:hint="eastAsia" w:ascii="仿宋" w:hAnsi="仿宋" w:eastAsia="仿宋" w:cs="仿宋"/>
                <w:sz w:val="24"/>
                <w:szCs w:val="24"/>
                <w:highlight w:val="none"/>
                <w:lang w:val="zh-CN"/>
              </w:rPr>
              <w:t>进行打分，优</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分、良3分、一般1分；</w:t>
            </w:r>
            <w:r>
              <w:rPr>
                <w:rFonts w:hint="eastAsia" w:ascii="仿宋" w:hAnsi="仿宋" w:eastAsia="仿宋" w:cs="仿宋"/>
                <w:sz w:val="24"/>
                <w:szCs w:val="24"/>
                <w:highlight w:val="none"/>
                <w:lang w:val="en-US" w:eastAsia="zh-CN"/>
              </w:rPr>
              <w:t>不提供不得分。</w:t>
            </w:r>
          </w:p>
          <w:p w14:paraId="49BEF8BD">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3.对后期指导服务方案优劣进行评分；根据方案内容</w:t>
            </w:r>
            <w:r>
              <w:rPr>
                <w:rFonts w:hint="eastAsia" w:ascii="仿宋" w:hAnsi="仿宋" w:eastAsia="仿宋" w:cs="仿宋"/>
                <w:kern w:val="2"/>
                <w:sz w:val="24"/>
                <w:szCs w:val="24"/>
                <w:highlight w:val="none"/>
              </w:rPr>
              <w:t>全面、可实施性等方面</w:t>
            </w:r>
            <w:r>
              <w:rPr>
                <w:rFonts w:hint="eastAsia" w:ascii="仿宋" w:hAnsi="仿宋" w:eastAsia="仿宋" w:cs="仿宋"/>
                <w:sz w:val="24"/>
                <w:szCs w:val="24"/>
                <w:highlight w:val="none"/>
                <w:lang w:val="zh-CN"/>
              </w:rPr>
              <w:t>进行打分，优</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分、良</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分、一般1分；</w:t>
            </w:r>
            <w:r>
              <w:rPr>
                <w:rFonts w:hint="eastAsia" w:ascii="仿宋" w:hAnsi="仿宋" w:eastAsia="仿宋" w:cs="仿宋"/>
                <w:sz w:val="24"/>
                <w:szCs w:val="24"/>
                <w:highlight w:val="none"/>
                <w:lang w:val="en-US" w:eastAsia="zh-CN"/>
              </w:rPr>
              <w:t>不提供不得分。</w:t>
            </w:r>
          </w:p>
        </w:tc>
      </w:tr>
      <w:tr w14:paraId="5620AB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3" w:hRule="atLeast"/>
          <w:jc w:val="center"/>
        </w:trPr>
        <w:tc>
          <w:tcPr>
            <w:tcW w:w="9193" w:type="dxa"/>
            <w:gridSpan w:val="4"/>
            <w:tcBorders>
              <w:top w:val="single" w:color="auto" w:sz="4" w:space="0"/>
              <w:left w:val="single" w:color="auto" w:sz="4" w:space="0"/>
              <w:bottom w:val="single" w:color="auto" w:sz="4" w:space="0"/>
              <w:right w:val="single" w:color="auto" w:sz="4" w:space="0"/>
            </w:tcBorders>
            <w:vAlign w:val="center"/>
          </w:tcPr>
          <w:p w14:paraId="73333B8B">
            <w:pPr>
              <w:widowControl w:val="0"/>
              <w:adjustRightInd w:val="0"/>
              <w:snapToGrid w:val="0"/>
              <w:spacing w:line="360" w:lineRule="auto"/>
              <w:jc w:val="both"/>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注：评审中资格审查、评审打分以响应文件中原件扫描件为准且必须内容齐全、真实有效、清晰可辨。响应性文件的内容真实性由供应商自行承担。</w:t>
            </w:r>
          </w:p>
          <w:p w14:paraId="56E9F55D">
            <w:pPr>
              <w:widowControl w:val="0"/>
              <w:adjustRightInd w:val="0"/>
              <w:snapToGrid w:val="0"/>
              <w:spacing w:line="360" w:lineRule="auto"/>
              <w:jc w:val="both"/>
              <w:rPr>
                <w:rFonts w:hint="eastAsia" w:ascii="仿宋" w:hAnsi="仿宋" w:eastAsia="仿宋" w:cs="仿宋"/>
                <w:bCs/>
                <w:kern w:val="2"/>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kern w:val="2"/>
                <w:sz w:val="24"/>
                <w:szCs w:val="24"/>
                <w:highlight w:val="none"/>
              </w:rPr>
              <w:t>.如磋商小组会一致认为磋商报价明显低于成本价，磋商小组有权通知磋商供应商进行解释。如磋商供应商未能在规定期限内作出解释，或所作解释不合理，经磋商小组取得一致意见后，其报价不作为评分依据。</w:t>
            </w:r>
          </w:p>
          <w:p w14:paraId="4851A4E7">
            <w:pPr>
              <w:widowControl w:val="0"/>
              <w:spacing w:line="360" w:lineRule="auto"/>
              <w:rPr>
                <w:rFonts w:hint="eastAsia" w:ascii="仿宋" w:hAnsi="仿宋" w:eastAsia="仿宋" w:cs="仿宋"/>
                <w:sz w:val="24"/>
                <w:szCs w:val="24"/>
                <w:highlight w:val="none"/>
              </w:rPr>
            </w:pPr>
            <w:r>
              <w:rPr>
                <w:rFonts w:hint="eastAsia" w:ascii="仿宋" w:hAnsi="仿宋" w:eastAsia="仿宋" w:cs="仿宋"/>
                <w:bCs/>
                <w:kern w:val="2"/>
                <w:sz w:val="24"/>
                <w:szCs w:val="24"/>
                <w:highlight w:val="none"/>
              </w:rPr>
              <w:t>2、评标开始后，不再接受任何补充材料。</w:t>
            </w:r>
          </w:p>
        </w:tc>
      </w:tr>
    </w:tbl>
    <w:p w14:paraId="6237C6B7">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15F5F0F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注：评标过程中涉及到资格审查、企业荣誉、人员业绩、企业业绩等计分部分时，以投标单位自行上传到响应文件中的相应内容为准。</w:t>
      </w:r>
    </w:p>
    <w:p w14:paraId="1E9B297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7B7CB68">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461091A">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sectPr>
          <w:footerReference r:id="rId5" w:type="default"/>
          <w:pgSz w:w="11906" w:h="16838"/>
          <w:pgMar w:top="1361" w:right="1361" w:bottom="1361" w:left="1361" w:header="720" w:footer="720" w:gutter="0"/>
          <w:pgNumType w:fmt="decimal"/>
          <w:cols w:space="720" w:num="1"/>
          <w:docGrid w:type="lines" w:linePitch="319" w:charSpace="0"/>
        </w:sectPr>
      </w:pPr>
    </w:p>
    <w:p w14:paraId="48E906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第六章</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磋商文件格式</w:t>
      </w:r>
    </w:p>
    <w:p w14:paraId="2A51170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封面</w:t>
      </w:r>
    </w:p>
    <w:p w14:paraId="779426C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4C274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p>
    <w:p w14:paraId="09CE617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743BD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 应 文 件</w:t>
      </w:r>
      <w:bookmarkStart w:id="20" w:name="_Toc171073042"/>
      <w:bookmarkEnd w:id="20"/>
      <w:bookmarkStart w:id="21" w:name="_Toc169921407"/>
      <w:bookmarkEnd w:id="21"/>
      <w:bookmarkStart w:id="22" w:name="_Toc223432387"/>
      <w:bookmarkEnd w:id="22"/>
      <w:bookmarkStart w:id="23" w:name="_Toc171073207"/>
      <w:bookmarkEnd w:id="23"/>
    </w:p>
    <w:p w14:paraId="74A004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BC633D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8549F7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45B6DF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EEB43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p>
    <w:p w14:paraId="51731DE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9224A2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7DF3E6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CA96C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A4AC18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5660B5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磋商供应商名称（盖章）</w:t>
      </w:r>
    </w:p>
    <w:p w14:paraId="2E353C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法定代表人：（电子签章）</w:t>
      </w:r>
    </w:p>
    <w:p w14:paraId="4B425B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14:paraId="18B5FDB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AF9CA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284DD4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7904359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目录</w:t>
      </w:r>
    </w:p>
    <w:p w14:paraId="5AE0F95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自拟</w:t>
      </w:r>
    </w:p>
    <w:p w14:paraId="14F3D67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F8D46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一、法定代表人身份证明书</w:t>
      </w:r>
    </w:p>
    <w:p w14:paraId="26BF58A1">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单位名称：</w:t>
      </w:r>
    </w:p>
    <w:p w14:paraId="249EEB7A">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单位性质：</w:t>
      </w:r>
    </w:p>
    <w:p w14:paraId="57097F3D">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    址：</w:t>
      </w:r>
    </w:p>
    <w:p w14:paraId="4C27B07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成立时间：年 月日</w:t>
      </w:r>
    </w:p>
    <w:p w14:paraId="196C6A97">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经营期限：</w:t>
      </w:r>
    </w:p>
    <w:p w14:paraId="042F7D9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    名：</w:t>
      </w:r>
    </w:p>
    <w:p w14:paraId="7B5EF7C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性    别：</w:t>
      </w:r>
    </w:p>
    <w:p w14:paraId="420410F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    龄：</w:t>
      </w:r>
    </w:p>
    <w:p w14:paraId="3AA5DBF1">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职    务：</w:t>
      </w:r>
    </w:p>
    <w:p w14:paraId="29A94D1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系（</w:t>
      </w:r>
      <w:r>
        <w:rPr>
          <w:rFonts w:hint="eastAsia" w:ascii="仿宋" w:hAnsi="仿宋" w:eastAsia="仿宋" w:cs="仿宋"/>
          <w:bCs/>
          <w:color w:val="000000" w:themeColor="text1"/>
          <w:sz w:val="24"/>
          <w:szCs w:val="24"/>
          <w:highlight w:val="none"/>
          <w:u w:val="single"/>
          <w14:textFill>
            <w14:solidFill>
              <w14:schemeClr w14:val="tx1"/>
            </w14:solidFill>
          </w14:textFill>
        </w:rPr>
        <w:t>供应商单位名称</w:t>
      </w:r>
      <w:r>
        <w:rPr>
          <w:rFonts w:hint="eastAsia" w:ascii="仿宋" w:hAnsi="仿宋" w:eastAsia="仿宋" w:cs="仿宋"/>
          <w:bCs/>
          <w:color w:val="000000" w:themeColor="text1"/>
          <w:sz w:val="24"/>
          <w:szCs w:val="24"/>
          <w:highlight w:val="none"/>
          <w14:textFill>
            <w14:solidFill>
              <w14:schemeClr w14:val="tx1"/>
            </w14:solidFill>
          </w14:textFill>
        </w:rPr>
        <w:t>）的法定代表人。</w:t>
      </w:r>
    </w:p>
    <w:p w14:paraId="1DB4B6F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335A240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特此证明。</w:t>
      </w:r>
    </w:p>
    <w:p w14:paraId="25E8D75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磋商供应商：(盖章)</w:t>
      </w:r>
    </w:p>
    <w:p w14:paraId="7A82ED4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   年月日</w:t>
      </w:r>
    </w:p>
    <w:p w14:paraId="2804FDD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7AAF21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B79CB2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1CAF2E4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792022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bookmarkStart w:id="24" w:name="_Toc109675041"/>
      <w:r>
        <w:rPr>
          <w:rFonts w:hint="eastAsia" w:ascii="仿宋" w:hAnsi="仿宋" w:eastAsia="仿宋" w:cs="仿宋"/>
          <w:bCs/>
          <w:color w:val="000000" w:themeColor="text1"/>
          <w:sz w:val="24"/>
          <w:szCs w:val="24"/>
          <w:highlight w:val="none"/>
          <w14:textFill>
            <w14:solidFill>
              <w14:schemeClr w14:val="tx1"/>
            </w14:solidFill>
          </w14:textFill>
        </w:rPr>
        <w:t>（后附法定代表人身份证正反面原件扫描件）</w:t>
      </w:r>
      <w:bookmarkEnd w:id="24"/>
    </w:p>
    <w:p w14:paraId="5B64510E">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66F243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r>
        <w:rPr>
          <w:rFonts w:hint="eastAsia" w:ascii="仿宋" w:hAnsi="仿宋" w:eastAsia="仿宋" w:cs="仿宋"/>
          <w:bCs/>
          <w:color w:val="000000" w:themeColor="text1"/>
          <w:sz w:val="24"/>
          <w:szCs w:val="24"/>
          <w:highlight w:val="none"/>
          <w14:textFill>
            <w14:solidFill>
              <w14:schemeClr w14:val="tx1"/>
            </w14:solidFill>
          </w14:textFill>
        </w:rPr>
        <w:t>二、授权委托书</w:t>
      </w:r>
    </w:p>
    <w:p w14:paraId="05861F10">
      <w:pPr>
        <w:spacing w:line="360" w:lineRule="auto"/>
        <w:ind w:firstLine="720" w:firstLineChars="3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本授权委托书声明：</w:t>
      </w:r>
    </w:p>
    <w:p w14:paraId="13060925">
      <w:pPr>
        <w:spacing w:line="360" w:lineRule="auto"/>
        <w:ind w:firstLine="720" w:firstLineChars="3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w:t>
      </w:r>
      <w:r>
        <w:rPr>
          <w:rFonts w:hint="eastAsia" w:ascii="仿宋" w:hAnsi="仿宋" w:eastAsia="仿宋" w:cs="仿宋"/>
          <w:bCs/>
          <w:color w:val="000000" w:themeColor="text1"/>
          <w:sz w:val="24"/>
          <w:szCs w:val="24"/>
          <w:highlight w:val="none"/>
          <w:u w:val="singl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（姓名）系</w:t>
      </w:r>
      <w:r>
        <w:rPr>
          <w:rFonts w:hint="eastAsia" w:ascii="仿宋" w:hAnsi="仿宋" w:eastAsia="仿宋" w:cs="仿宋"/>
          <w:bCs/>
          <w:color w:val="000000" w:themeColor="text1"/>
          <w:sz w:val="24"/>
          <w:szCs w:val="24"/>
          <w:highlight w:val="none"/>
          <w:u w:val="single"/>
          <w14:textFill>
            <w14:solidFill>
              <w14:schemeClr w14:val="tx1"/>
            </w14:solidFill>
          </w14:textFill>
        </w:rPr>
        <w:t>（投 标 人 名 称）</w:t>
      </w:r>
      <w:r>
        <w:rPr>
          <w:rFonts w:hint="eastAsia" w:ascii="仿宋" w:hAnsi="仿宋" w:eastAsia="仿宋" w:cs="仿宋"/>
          <w:bCs/>
          <w:color w:val="000000" w:themeColor="text1"/>
          <w:sz w:val="24"/>
          <w:szCs w:val="24"/>
          <w:highlight w:val="none"/>
          <w14:textFill>
            <w14:solidFill>
              <w14:schemeClr w14:val="tx1"/>
            </w14:solidFill>
          </w14:textFill>
        </w:rPr>
        <w:t>的法定代表人，现授权委托</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（单 位 名 称） </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（姓名） </w:t>
      </w:r>
      <w:r>
        <w:rPr>
          <w:rFonts w:hint="eastAsia" w:ascii="仿宋" w:hAnsi="仿宋" w:eastAsia="仿宋" w:cs="仿宋"/>
          <w:bCs/>
          <w:color w:val="000000" w:themeColor="text1"/>
          <w:sz w:val="24"/>
          <w:szCs w:val="24"/>
          <w:highlight w:val="none"/>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23132E8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072A664">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代理人无转委托权，特此委托。</w:t>
      </w:r>
    </w:p>
    <w:p w14:paraId="5D394A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22F1856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6E30E1D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（盖章）</w:t>
      </w:r>
    </w:p>
    <w:p w14:paraId="67574BC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0ADF70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（电子签章）</w:t>
      </w:r>
    </w:p>
    <w:p w14:paraId="79878A8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A16879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授权委托日期：年  月  日</w:t>
      </w:r>
    </w:p>
    <w:p w14:paraId="68B17C1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bookmarkStart w:id="25" w:name="_Toc223432391"/>
      <w:bookmarkEnd w:id="25"/>
      <w:bookmarkStart w:id="26" w:name="_Toc171073046"/>
      <w:bookmarkEnd w:id="26"/>
      <w:bookmarkStart w:id="27" w:name="_Toc169921411"/>
      <w:bookmarkEnd w:id="27"/>
      <w:bookmarkStart w:id="28" w:name="_Toc171073211"/>
      <w:bookmarkEnd w:id="28"/>
    </w:p>
    <w:p w14:paraId="539101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14B5C21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附：法人和被授权人身份证复印件正反面</w:t>
      </w:r>
      <w:r>
        <w:rPr>
          <w:rFonts w:hint="eastAsia" w:ascii="仿宋" w:hAnsi="仿宋" w:eastAsia="仿宋" w:cs="仿宋"/>
          <w:bCs/>
          <w:color w:val="000000" w:themeColor="text1"/>
          <w:sz w:val="24"/>
          <w:szCs w:val="24"/>
          <w:highlight w:val="none"/>
          <w14:textFill>
            <w14:solidFill>
              <w14:schemeClr w14:val="tx1"/>
            </w14:solidFill>
          </w14:textFill>
        </w:rPr>
        <w:br w:type="page"/>
      </w:r>
      <w:bookmarkStart w:id="29" w:name="_Toc438305223"/>
      <w:r>
        <w:rPr>
          <w:rFonts w:hint="eastAsia" w:ascii="仿宋" w:hAnsi="仿宋" w:eastAsia="仿宋" w:cs="仿宋"/>
          <w:bCs/>
          <w:color w:val="000000" w:themeColor="text1"/>
          <w:sz w:val="24"/>
          <w:szCs w:val="24"/>
          <w:highlight w:val="none"/>
          <w14:textFill>
            <w14:solidFill>
              <w14:schemeClr w14:val="tx1"/>
            </w14:solidFill>
          </w14:textFill>
        </w:rPr>
        <w:t>三、磋 商 函</w:t>
      </w:r>
    </w:p>
    <w:p w14:paraId="2177374E">
      <w:pPr>
        <w:widowControl/>
        <w:spacing w:line="480"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30" w:name="OLE_LINK11"/>
      <w:bookmarkEnd w:id="30"/>
      <w:bookmarkStart w:id="31" w:name="OLE_LINK7"/>
      <w:r>
        <w:rPr>
          <w:rFonts w:hint="eastAsia" w:ascii="仿宋" w:hAnsi="仿宋" w:eastAsia="仿宋" w:cs="仿宋"/>
          <w:color w:val="000000" w:themeColor="text1"/>
          <w:spacing w:val="46"/>
          <w:kern w:val="0"/>
          <w:sz w:val="24"/>
          <w:szCs w:val="24"/>
          <w:highlight w:val="none"/>
          <w14:textFill>
            <w14:solidFill>
              <w14:schemeClr w14:val="tx1"/>
            </w14:solidFill>
          </w14:textFill>
        </w:rPr>
        <w:t>致</w:t>
      </w:r>
      <w:bookmarkEnd w:id="31"/>
      <w:r>
        <w:rPr>
          <w:rFonts w:hint="eastAsia" w:ascii="仿宋" w:hAnsi="仿宋" w:eastAsia="仿宋" w:cs="仿宋"/>
          <w:color w:val="000000" w:themeColor="text1"/>
          <w:spacing w:val="46"/>
          <w:kern w:val="0"/>
          <w:sz w:val="24"/>
          <w:szCs w:val="24"/>
          <w:highlight w:val="none"/>
          <w:u w:val="single"/>
          <w14:textFill>
            <w14:solidFill>
              <w14:schemeClr w14:val="tx1"/>
            </w14:solidFill>
          </w14:textFill>
        </w:rPr>
        <w:t xml:space="preserve"> （采购人） </w:t>
      </w:r>
      <w:r>
        <w:rPr>
          <w:rFonts w:hint="eastAsia" w:ascii="仿宋" w:hAnsi="仿宋" w:eastAsia="仿宋" w:cs="仿宋"/>
          <w:color w:val="000000" w:themeColor="text1"/>
          <w:spacing w:val="46"/>
          <w:kern w:val="0"/>
          <w:sz w:val="24"/>
          <w:szCs w:val="24"/>
          <w:highlight w:val="none"/>
          <w14:textFill>
            <w14:solidFill>
              <w14:schemeClr w14:val="tx1"/>
            </w14:solidFill>
          </w14:textFill>
        </w:rPr>
        <w:t>：</w:t>
      </w:r>
    </w:p>
    <w:p w14:paraId="60F97AA8">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我方已仔细研究了</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（项目名称）竞争性磋商文件的全部内容，愿意以人民币（大写）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（小写：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元）的投标总报价， 按合同约定完成本项目服务内容，</w:t>
      </w:r>
    </w:p>
    <w:p w14:paraId="3349C19F">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1、我方已详细审阅全部竞争性磋商文件，包括修改文件（如果有的话），及有关附件，我方完全知道必须放弃提出含糊不清或误解的权力。</w:t>
      </w:r>
    </w:p>
    <w:p w14:paraId="45E15473">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2、一旦我方成交，我们将按照</w:t>
      </w:r>
      <w:r>
        <w:rPr>
          <w:rFonts w:hint="eastAsia" w:ascii="仿宋" w:hAnsi="仿宋" w:eastAsia="仿宋" w:cs="仿宋"/>
          <w:color w:val="000000" w:themeColor="text1"/>
          <w:sz w:val="24"/>
          <w:szCs w:val="24"/>
          <w:highlight w:val="none"/>
          <w14:textFill>
            <w14:solidFill>
              <w14:schemeClr w14:val="tx1"/>
            </w14:solidFill>
          </w14:textFill>
        </w:rPr>
        <w:t>竞争性磋商文件</w:t>
      </w:r>
      <w:r>
        <w:rPr>
          <w:rFonts w:hint="eastAsia" w:ascii="仿宋" w:hAnsi="仿宋" w:eastAsia="仿宋" w:cs="仿宋"/>
          <w:color w:val="000000" w:themeColor="text1"/>
          <w:kern w:val="0"/>
          <w:sz w:val="24"/>
          <w:szCs w:val="24"/>
          <w:highlight w:val="none"/>
          <w14:textFill>
            <w14:solidFill>
              <w14:schemeClr w14:val="tx1"/>
            </w14:solidFill>
          </w14:textFill>
        </w:rPr>
        <w:t>中规定的各项要求和我们的响应文件中的表述和承诺，按期、按质、按量完成成交、安装、验收、培训等义务。</w:t>
      </w:r>
    </w:p>
    <w:p w14:paraId="102A5DEA">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5、我方同意所递交的响应文件在</w:t>
      </w:r>
      <w:r>
        <w:rPr>
          <w:rFonts w:hint="eastAsia" w:ascii="仿宋" w:hAnsi="仿宋" w:eastAsia="仿宋" w:cs="仿宋"/>
          <w:color w:val="000000" w:themeColor="text1"/>
          <w:sz w:val="24"/>
          <w:szCs w:val="24"/>
          <w:highlight w:val="none"/>
          <w14:textFill>
            <w14:solidFill>
              <w14:schemeClr w14:val="tx1"/>
            </w14:solidFill>
          </w14:textFill>
        </w:rPr>
        <w:t>竞争性磋商文件</w:t>
      </w:r>
      <w:r>
        <w:rPr>
          <w:rFonts w:hint="eastAsia" w:ascii="仿宋" w:hAnsi="仿宋" w:eastAsia="仿宋" w:cs="仿宋"/>
          <w:color w:val="000000" w:themeColor="text1"/>
          <w:kern w:val="0"/>
          <w:sz w:val="24"/>
          <w:szCs w:val="24"/>
          <w:highlight w:val="none"/>
          <w14:textFill>
            <w14:solidFill>
              <w14:schemeClr w14:val="tx1"/>
            </w14:solidFill>
          </w14:textFill>
        </w:rPr>
        <w:t>规定的磋商有效期</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日历天</w:t>
      </w:r>
      <w:r>
        <w:rPr>
          <w:rFonts w:hint="eastAsia" w:ascii="仿宋" w:hAnsi="仿宋" w:eastAsia="仿宋" w:cs="仿宋"/>
          <w:color w:val="000000" w:themeColor="text1"/>
          <w:kern w:val="0"/>
          <w:sz w:val="24"/>
          <w:szCs w:val="24"/>
          <w:highlight w:val="none"/>
          <w14:textFill>
            <w14:solidFill>
              <w14:schemeClr w14:val="tx1"/>
            </w14:solidFill>
          </w14:textFill>
        </w:rPr>
        <w:t>内有效，在此期间我方有可能成交，我方将受此约束。</w:t>
      </w:r>
    </w:p>
    <w:p w14:paraId="6FDAE3B6">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6、除非另外达成协议并生效，贵方的成交通知书和本响应文件将构成约束我们双方的合同。</w:t>
      </w:r>
    </w:p>
    <w:p w14:paraId="47C2B457">
      <w:pPr>
        <w:widowControl/>
        <w:spacing w:line="480" w:lineRule="auto"/>
        <w:jc w:val="left"/>
        <w:rPr>
          <w:rFonts w:hint="eastAsia" w:ascii="仿宋" w:hAnsi="仿宋" w:eastAsia="仿宋" w:cs="仿宋"/>
          <w:color w:val="000000" w:themeColor="text1"/>
          <w:spacing w:val="46"/>
          <w:kern w:val="0"/>
          <w:sz w:val="24"/>
          <w:szCs w:val="24"/>
          <w:highlight w:val="none"/>
          <w14:textFill>
            <w14:solidFill>
              <w14:schemeClr w14:val="tx1"/>
            </w14:solidFill>
          </w14:textFill>
        </w:rPr>
      </w:pPr>
    </w:p>
    <w:p w14:paraId="1C3CA608">
      <w:pPr>
        <w:widowControl/>
        <w:spacing w:line="480" w:lineRule="auto"/>
        <w:jc w:val="left"/>
        <w:rPr>
          <w:rFonts w:hint="eastAsia" w:ascii="仿宋" w:hAnsi="仿宋" w:eastAsia="仿宋" w:cs="仿宋"/>
          <w:color w:val="000000" w:themeColor="text1"/>
          <w:spacing w:val="46"/>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 xml:space="preserve">磋商供应商：（盖章） </w:t>
      </w:r>
    </w:p>
    <w:p w14:paraId="3000DA91">
      <w:pPr>
        <w:widowControl/>
        <w:spacing w:line="480"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法定代表人：（签字或盖章）</w:t>
      </w:r>
    </w:p>
    <w:p w14:paraId="212CEDB2">
      <w:pPr>
        <w:widowControl/>
        <w:spacing w:line="480" w:lineRule="auto"/>
        <w:ind w:right="148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 xml:space="preserve">日 期： 年 月 日 </w:t>
      </w:r>
    </w:p>
    <w:p w14:paraId="4A49D4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bookmarkStart w:id="32" w:name="_Toc109675042"/>
    </w:p>
    <w:p w14:paraId="01800996">
      <w:pPr>
        <w:numPr>
          <w:ilvl w:val="0"/>
          <w:numId w:val="3"/>
        </w:num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磋商函附表</w:t>
      </w:r>
    </w:p>
    <w:tbl>
      <w:tblPr>
        <w:tblStyle w:val="24"/>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2723"/>
        <w:gridCol w:w="1507"/>
        <w:gridCol w:w="2324"/>
      </w:tblGrid>
      <w:tr w14:paraId="1F48390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E5CDE6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5C2E7F9D">
            <w:pPr>
              <w:spacing w:line="360" w:lineRule="auto"/>
              <w:jc w:val="center"/>
              <w:rPr>
                <w:rFonts w:hint="eastAsia" w:ascii="仿宋" w:hAnsi="仿宋" w:eastAsia="仿宋" w:cs="仿宋"/>
                <w:sz w:val="24"/>
                <w:szCs w:val="24"/>
                <w:highlight w:val="none"/>
              </w:rPr>
            </w:pPr>
          </w:p>
        </w:tc>
      </w:tr>
      <w:tr w14:paraId="2D291B1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669EB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7C3923E9">
            <w:pPr>
              <w:spacing w:line="440" w:lineRule="exact"/>
              <w:ind w:right="640"/>
              <w:jc w:val="center"/>
              <w:rPr>
                <w:rFonts w:hint="eastAsia" w:ascii="仿宋" w:hAnsi="仿宋" w:eastAsia="仿宋" w:cs="仿宋"/>
                <w:sz w:val="24"/>
                <w:szCs w:val="24"/>
                <w:highlight w:val="none"/>
              </w:rPr>
            </w:pPr>
          </w:p>
        </w:tc>
      </w:tr>
      <w:tr w14:paraId="507703B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1525CDC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10D393D9">
            <w:pPr>
              <w:spacing w:line="440" w:lineRule="exact"/>
              <w:ind w:right="640"/>
              <w:jc w:val="center"/>
              <w:rPr>
                <w:rFonts w:hint="eastAsia" w:ascii="仿宋" w:hAnsi="仿宋" w:eastAsia="仿宋" w:cs="仿宋"/>
                <w:sz w:val="24"/>
                <w:szCs w:val="24"/>
                <w:highlight w:val="none"/>
              </w:rPr>
            </w:pPr>
          </w:p>
        </w:tc>
      </w:tr>
      <w:tr w14:paraId="2DCF3AF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9C7A44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6554" w:type="dxa"/>
            <w:gridSpan w:val="3"/>
            <w:tcBorders>
              <w:top w:val="single" w:color="auto" w:sz="6" w:space="0"/>
              <w:left w:val="single" w:color="auto" w:sz="6" w:space="0"/>
              <w:right w:val="single" w:color="auto" w:sz="6" w:space="0"/>
            </w:tcBorders>
            <w:vAlign w:val="center"/>
          </w:tcPr>
          <w:p w14:paraId="152A5CD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9DBBF9">
            <w:pPr>
              <w:spacing w:line="300" w:lineRule="exact"/>
              <w:rPr>
                <w:rFonts w:hint="eastAsia" w:ascii="仿宋" w:hAnsi="仿宋" w:eastAsia="仿宋" w:cs="仿宋"/>
                <w:sz w:val="24"/>
                <w:szCs w:val="24"/>
                <w:highlight w:val="none"/>
              </w:rPr>
            </w:pPr>
          </w:p>
          <w:p w14:paraId="120174B0">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    元</w:t>
            </w:r>
          </w:p>
        </w:tc>
      </w:tr>
      <w:tr w14:paraId="28BD510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5B115F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服务期</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3732031A">
            <w:pPr>
              <w:spacing w:line="440" w:lineRule="exact"/>
              <w:ind w:right="640"/>
              <w:rPr>
                <w:rFonts w:hint="eastAsia" w:ascii="仿宋" w:hAnsi="仿宋" w:eastAsia="仿宋" w:cs="仿宋"/>
                <w:sz w:val="24"/>
                <w:szCs w:val="24"/>
                <w:highlight w:val="none"/>
              </w:rPr>
            </w:pPr>
          </w:p>
        </w:tc>
      </w:tr>
      <w:tr w14:paraId="2EFB7CE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A91A9F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2B2DB534">
            <w:pPr>
              <w:spacing w:line="440" w:lineRule="exact"/>
              <w:ind w:right="640"/>
              <w:rPr>
                <w:rFonts w:hint="eastAsia" w:ascii="仿宋" w:hAnsi="仿宋" w:eastAsia="仿宋" w:cs="仿宋"/>
                <w:sz w:val="24"/>
                <w:szCs w:val="24"/>
                <w:highlight w:val="none"/>
              </w:rPr>
            </w:pPr>
          </w:p>
        </w:tc>
      </w:tr>
      <w:tr w14:paraId="24C3567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2F4DE2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有效期</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4C480067">
            <w:pPr>
              <w:spacing w:line="440" w:lineRule="exact"/>
              <w:ind w:right="640"/>
              <w:rPr>
                <w:rFonts w:hint="eastAsia" w:ascii="仿宋" w:hAnsi="仿宋" w:eastAsia="仿宋" w:cs="仿宋"/>
                <w:sz w:val="24"/>
                <w:szCs w:val="24"/>
                <w:highlight w:val="none"/>
              </w:rPr>
            </w:pPr>
          </w:p>
        </w:tc>
      </w:tr>
      <w:tr w14:paraId="65135B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40C1C69">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2723" w:type="dxa"/>
            <w:tcBorders>
              <w:top w:val="single" w:color="auto" w:sz="6" w:space="0"/>
              <w:left w:val="single" w:color="auto" w:sz="6" w:space="0"/>
              <w:bottom w:val="single" w:color="auto" w:sz="6" w:space="0"/>
              <w:right w:val="single" w:color="auto" w:sz="6" w:space="0"/>
            </w:tcBorders>
            <w:vAlign w:val="center"/>
          </w:tcPr>
          <w:p w14:paraId="6ABDDDEC">
            <w:pPr>
              <w:spacing w:line="500" w:lineRule="exact"/>
              <w:jc w:val="center"/>
              <w:rPr>
                <w:rFonts w:hint="eastAsia" w:ascii="仿宋" w:hAnsi="仿宋" w:eastAsia="仿宋" w:cs="仿宋"/>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14:paraId="3E97D39A">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00DCFF88">
            <w:pPr>
              <w:spacing w:line="500" w:lineRule="exact"/>
              <w:jc w:val="center"/>
              <w:rPr>
                <w:rFonts w:hint="eastAsia" w:ascii="仿宋" w:hAnsi="仿宋" w:eastAsia="仿宋" w:cs="仿宋"/>
                <w:sz w:val="24"/>
                <w:szCs w:val="24"/>
                <w:highlight w:val="none"/>
              </w:rPr>
            </w:pPr>
          </w:p>
        </w:tc>
      </w:tr>
      <w:tr w14:paraId="6BFFE74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371F3AF">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6FD612AA">
            <w:pPr>
              <w:spacing w:line="500" w:lineRule="exact"/>
              <w:jc w:val="center"/>
              <w:rPr>
                <w:rFonts w:hint="eastAsia" w:ascii="仿宋" w:hAnsi="仿宋" w:eastAsia="仿宋" w:cs="仿宋"/>
                <w:sz w:val="24"/>
                <w:szCs w:val="24"/>
                <w:highlight w:val="none"/>
              </w:rPr>
            </w:pPr>
          </w:p>
        </w:tc>
      </w:tr>
    </w:tbl>
    <w:p w14:paraId="02297E8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bookmarkEnd w:id="29"/>
    <w:bookmarkEnd w:id="32"/>
    <w:p w14:paraId="3D2F91F3">
      <w:pPr>
        <w:snapToGrid w:val="0"/>
        <w:spacing w:line="560" w:lineRule="exact"/>
        <w:ind w:firstLine="480" w:firstLineChars="200"/>
        <w:jc w:val="both"/>
        <w:outlineLvl w:val="2"/>
        <w:rPr>
          <w:rFonts w:hint="eastAsia" w:ascii="仿宋" w:hAnsi="仿宋" w:eastAsia="仿宋" w:cs="仿宋"/>
          <w:sz w:val="24"/>
          <w:szCs w:val="24"/>
          <w:highlight w:val="none"/>
        </w:rPr>
      </w:pPr>
      <w:bookmarkStart w:id="33" w:name="_Toc145065060"/>
      <w:bookmarkStart w:id="34" w:name="_Toc145065230"/>
      <w:bookmarkStart w:id="35" w:name="_Toc25552"/>
      <w:r>
        <w:rPr>
          <w:rFonts w:hint="eastAsia" w:ascii="仿宋" w:hAnsi="仿宋" w:eastAsia="仿宋" w:cs="仿宋"/>
          <w:sz w:val="24"/>
          <w:szCs w:val="24"/>
          <w:highlight w:val="none"/>
        </w:rPr>
        <w:t>法定代表人（签字或盖章）：</w:t>
      </w:r>
      <w:bookmarkEnd w:id="33"/>
      <w:bookmarkEnd w:id="34"/>
    </w:p>
    <w:p w14:paraId="1855F77D">
      <w:pPr>
        <w:snapToGrid w:val="0"/>
        <w:spacing w:line="560" w:lineRule="exact"/>
        <w:ind w:firstLine="480" w:firstLineChars="200"/>
        <w:jc w:val="both"/>
        <w:outlineLvl w:val="0"/>
        <w:rPr>
          <w:rFonts w:hint="eastAsia" w:ascii="仿宋" w:hAnsi="仿宋" w:eastAsia="仿宋" w:cs="仿宋"/>
          <w:sz w:val="24"/>
          <w:szCs w:val="24"/>
          <w:highlight w:val="none"/>
        </w:rPr>
      </w:pPr>
      <w:bookmarkStart w:id="36" w:name="_Toc145065061"/>
      <w:bookmarkStart w:id="37" w:name="_Toc12482"/>
      <w:bookmarkStart w:id="38" w:name="_Toc145065231"/>
      <w:r>
        <w:rPr>
          <w:rFonts w:hint="eastAsia" w:ascii="仿宋" w:hAnsi="仿宋" w:eastAsia="仿宋" w:cs="仿宋"/>
          <w:sz w:val="24"/>
          <w:szCs w:val="24"/>
          <w:highlight w:val="none"/>
        </w:rPr>
        <w:t>磋商供应商：（全称并加盖公章）</w:t>
      </w:r>
      <w:bookmarkEnd w:id="36"/>
      <w:bookmarkEnd w:id="37"/>
      <w:bookmarkEnd w:id="38"/>
    </w:p>
    <w:p w14:paraId="3E2870AF">
      <w:pPr>
        <w:snapToGrid w:val="0"/>
        <w:spacing w:line="560" w:lineRule="exact"/>
        <w:ind w:firstLine="720" w:firstLineChars="300"/>
        <w:jc w:val="both"/>
        <w:outlineLvl w:val="0"/>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39" w:name="_Toc5651"/>
      <w:bookmarkStart w:id="40" w:name="_Toc145065232"/>
      <w:bookmarkStart w:id="41" w:name="_Toc145065062"/>
      <w:r>
        <w:rPr>
          <w:rFonts w:hint="eastAsia" w:ascii="仿宋" w:hAnsi="仿宋" w:eastAsia="仿宋" w:cs="仿宋"/>
          <w:sz w:val="24"/>
          <w:szCs w:val="24"/>
          <w:highlight w:val="none"/>
        </w:rPr>
        <w:t xml:space="preserve">年 月 </w:t>
      </w:r>
      <w:bookmarkEnd w:id="39"/>
      <w:bookmarkEnd w:id="40"/>
      <w:bookmarkEnd w:id="41"/>
      <w:r>
        <w:rPr>
          <w:rFonts w:hint="eastAsia" w:ascii="仿宋" w:hAnsi="仿宋" w:eastAsia="仿宋" w:cs="仿宋"/>
          <w:sz w:val="24"/>
          <w:szCs w:val="24"/>
          <w:highlight w:val="none"/>
          <w:lang w:val="en-US" w:eastAsia="zh-CN"/>
        </w:rPr>
        <w:t xml:space="preserve"> 日</w:t>
      </w:r>
    </w:p>
    <w:p w14:paraId="1930AA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五、服务方案</w:t>
      </w:r>
    </w:p>
    <w:p w14:paraId="6C65FF2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格式自拟</w:t>
      </w:r>
    </w:p>
    <w:p w14:paraId="4CA46A0C">
      <w:pPr>
        <w:widowControl/>
        <w:jc w:val="left"/>
        <w:rPr>
          <w:rFonts w:hint="eastAsia" w:ascii="仿宋" w:hAnsi="仿宋" w:eastAsia="仿宋" w:cs="仿宋"/>
          <w:bCs/>
          <w:color w:val="000000" w:themeColor="text1"/>
          <w:sz w:val="24"/>
          <w:szCs w:val="24"/>
          <w:highlight w:val="none"/>
          <w14:textFill>
            <w14:solidFill>
              <w14:schemeClr w14:val="tx1"/>
            </w14:solidFill>
          </w14:textFill>
        </w:rPr>
      </w:pPr>
    </w:p>
    <w:p w14:paraId="07F64C8C">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75B1F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六、资格审查资料</w:t>
      </w:r>
    </w:p>
    <w:p w14:paraId="609962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（一）投标人基本情况表</w:t>
      </w:r>
    </w:p>
    <w:tbl>
      <w:tblPr>
        <w:tblStyle w:val="24"/>
        <w:tblW w:w="970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20"/>
        <w:gridCol w:w="1095"/>
        <w:gridCol w:w="1834"/>
        <w:gridCol w:w="728"/>
        <w:gridCol w:w="547"/>
        <w:gridCol w:w="1107"/>
        <w:gridCol w:w="180"/>
        <w:gridCol w:w="735"/>
        <w:gridCol w:w="1459"/>
      </w:tblGrid>
      <w:tr w14:paraId="02B8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6" w:hRule="atLeast"/>
        </w:trPr>
        <w:tc>
          <w:tcPr>
            <w:tcW w:w="2020" w:type="dxa"/>
            <w:tcBorders>
              <w:top w:val="single" w:color="000000" w:sz="2" w:space="0"/>
              <w:left w:val="single" w:color="000000" w:sz="2" w:space="0"/>
              <w:bottom w:val="single" w:color="000000" w:sz="2" w:space="0"/>
              <w:right w:val="single" w:color="000000" w:sz="2" w:space="0"/>
            </w:tcBorders>
          </w:tcPr>
          <w:p w14:paraId="4744462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p>
        </w:tc>
        <w:tc>
          <w:tcPr>
            <w:tcW w:w="7685" w:type="dxa"/>
            <w:gridSpan w:val="8"/>
            <w:tcBorders>
              <w:top w:val="single" w:color="000000" w:sz="2" w:space="0"/>
              <w:left w:val="single" w:color="000000" w:sz="2" w:space="0"/>
              <w:bottom w:val="single" w:color="000000" w:sz="2" w:space="0"/>
              <w:right w:val="single" w:color="000000" w:sz="2" w:space="0"/>
            </w:tcBorders>
          </w:tcPr>
          <w:p w14:paraId="0ED1A40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D1F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1" w:hRule="atLeast"/>
        </w:trPr>
        <w:tc>
          <w:tcPr>
            <w:tcW w:w="2020" w:type="dxa"/>
            <w:tcBorders>
              <w:top w:val="single" w:color="000000" w:sz="2" w:space="0"/>
              <w:left w:val="single" w:color="000000" w:sz="2" w:space="0"/>
              <w:bottom w:val="single" w:color="000000" w:sz="2" w:space="0"/>
              <w:right w:val="single" w:color="000000" w:sz="2" w:space="0"/>
            </w:tcBorders>
          </w:tcPr>
          <w:p w14:paraId="61B9C4E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注册地址</w:t>
            </w:r>
          </w:p>
        </w:tc>
        <w:tc>
          <w:tcPr>
            <w:tcW w:w="4204" w:type="dxa"/>
            <w:gridSpan w:val="4"/>
            <w:tcBorders>
              <w:top w:val="single" w:color="000000" w:sz="2" w:space="0"/>
              <w:left w:val="single" w:color="000000" w:sz="2" w:space="0"/>
              <w:bottom w:val="single" w:color="000000" w:sz="2" w:space="0"/>
              <w:right w:val="single" w:color="000000" w:sz="2" w:space="0"/>
            </w:tcBorders>
          </w:tcPr>
          <w:p w14:paraId="65C08EB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0DBF7DC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邮政编码</w:t>
            </w:r>
          </w:p>
        </w:tc>
        <w:tc>
          <w:tcPr>
            <w:tcW w:w="2374" w:type="dxa"/>
            <w:gridSpan w:val="3"/>
            <w:tcBorders>
              <w:top w:val="single" w:color="000000" w:sz="2" w:space="0"/>
              <w:left w:val="single" w:color="000000" w:sz="2" w:space="0"/>
              <w:bottom w:val="single" w:color="000000" w:sz="2" w:space="0"/>
              <w:right w:val="single" w:color="000000" w:sz="2" w:space="0"/>
            </w:tcBorders>
          </w:tcPr>
          <w:p w14:paraId="7A1F4EE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C41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1" w:hRule="atLeast"/>
        </w:trPr>
        <w:tc>
          <w:tcPr>
            <w:tcW w:w="2020" w:type="dxa"/>
            <w:vMerge w:val="restart"/>
            <w:tcBorders>
              <w:top w:val="single" w:color="000000" w:sz="2" w:space="0"/>
              <w:left w:val="single" w:color="000000" w:sz="2" w:space="0"/>
              <w:bottom w:val="single" w:color="000000" w:sz="2" w:space="0"/>
              <w:right w:val="single" w:color="000000" w:sz="2" w:space="0"/>
            </w:tcBorders>
          </w:tcPr>
          <w:p w14:paraId="5EE89809">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573370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联系方式</w:t>
            </w:r>
          </w:p>
        </w:tc>
        <w:tc>
          <w:tcPr>
            <w:tcW w:w="1095" w:type="dxa"/>
            <w:tcBorders>
              <w:top w:val="single" w:color="000000" w:sz="2" w:space="0"/>
              <w:left w:val="single" w:color="000000" w:sz="2" w:space="0"/>
              <w:bottom w:val="single" w:color="000000" w:sz="2" w:space="0"/>
              <w:right w:val="single" w:color="000000" w:sz="2" w:space="0"/>
            </w:tcBorders>
          </w:tcPr>
          <w:p w14:paraId="69720C5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w:t>
            </w:r>
          </w:p>
        </w:tc>
        <w:tc>
          <w:tcPr>
            <w:tcW w:w="3109" w:type="dxa"/>
            <w:gridSpan w:val="3"/>
            <w:tcBorders>
              <w:top w:val="single" w:color="000000" w:sz="2" w:space="0"/>
              <w:left w:val="single" w:color="000000" w:sz="2" w:space="0"/>
              <w:bottom w:val="single" w:color="000000" w:sz="2" w:space="0"/>
              <w:right w:val="single" w:color="000000" w:sz="2" w:space="0"/>
            </w:tcBorders>
          </w:tcPr>
          <w:p w14:paraId="338FADF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20E661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2374" w:type="dxa"/>
            <w:gridSpan w:val="3"/>
            <w:tcBorders>
              <w:top w:val="single" w:color="000000" w:sz="2" w:space="0"/>
              <w:left w:val="single" w:color="000000" w:sz="2" w:space="0"/>
              <w:bottom w:val="single" w:color="000000" w:sz="2" w:space="0"/>
              <w:right w:val="single" w:color="000000" w:sz="2" w:space="0"/>
            </w:tcBorders>
          </w:tcPr>
          <w:p w14:paraId="088908A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79E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trPr>
        <w:tc>
          <w:tcPr>
            <w:tcW w:w="2020" w:type="dxa"/>
            <w:vMerge w:val="continue"/>
            <w:tcBorders>
              <w:top w:val="single" w:color="000000" w:sz="2" w:space="0"/>
              <w:left w:val="single" w:color="000000" w:sz="2" w:space="0"/>
              <w:bottom w:val="single" w:color="000000" w:sz="2" w:space="0"/>
              <w:right w:val="single" w:color="000000" w:sz="2" w:space="0"/>
            </w:tcBorders>
            <w:vAlign w:val="center"/>
          </w:tcPr>
          <w:p w14:paraId="5C65CC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095" w:type="dxa"/>
            <w:tcBorders>
              <w:top w:val="single" w:color="000000" w:sz="2" w:space="0"/>
              <w:left w:val="single" w:color="000000" w:sz="2" w:space="0"/>
              <w:bottom w:val="single" w:color="000000" w:sz="2" w:space="0"/>
              <w:right w:val="single" w:color="000000" w:sz="2" w:space="0"/>
            </w:tcBorders>
          </w:tcPr>
          <w:p w14:paraId="5E5D1A1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传真</w:t>
            </w:r>
          </w:p>
        </w:tc>
        <w:tc>
          <w:tcPr>
            <w:tcW w:w="3109" w:type="dxa"/>
            <w:gridSpan w:val="3"/>
            <w:tcBorders>
              <w:top w:val="single" w:color="000000" w:sz="2" w:space="0"/>
              <w:left w:val="single" w:color="000000" w:sz="2" w:space="0"/>
              <w:bottom w:val="single" w:color="000000" w:sz="2" w:space="0"/>
              <w:right w:val="single" w:color="000000" w:sz="2" w:space="0"/>
            </w:tcBorders>
          </w:tcPr>
          <w:p w14:paraId="389DC6C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6E52CE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网址</w:t>
            </w:r>
          </w:p>
        </w:tc>
        <w:tc>
          <w:tcPr>
            <w:tcW w:w="2374" w:type="dxa"/>
            <w:gridSpan w:val="3"/>
            <w:tcBorders>
              <w:top w:val="single" w:color="000000" w:sz="2" w:space="0"/>
              <w:left w:val="single" w:color="000000" w:sz="2" w:space="0"/>
              <w:bottom w:val="single" w:color="000000" w:sz="2" w:space="0"/>
              <w:right w:val="single" w:color="000000" w:sz="2" w:space="0"/>
            </w:tcBorders>
          </w:tcPr>
          <w:p w14:paraId="346406D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E15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39D095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w:t>
            </w:r>
          </w:p>
        </w:tc>
        <w:tc>
          <w:tcPr>
            <w:tcW w:w="1095" w:type="dxa"/>
            <w:tcBorders>
              <w:top w:val="single" w:color="000000" w:sz="2" w:space="0"/>
              <w:left w:val="single" w:color="000000" w:sz="2" w:space="0"/>
              <w:bottom w:val="single" w:color="000000" w:sz="2" w:space="0"/>
              <w:right w:val="single" w:color="000000" w:sz="2" w:space="0"/>
            </w:tcBorders>
          </w:tcPr>
          <w:p w14:paraId="319A4A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姓名</w:t>
            </w:r>
          </w:p>
        </w:tc>
        <w:tc>
          <w:tcPr>
            <w:tcW w:w="1834" w:type="dxa"/>
            <w:tcBorders>
              <w:top w:val="single" w:color="000000" w:sz="2" w:space="0"/>
              <w:left w:val="single" w:color="000000" w:sz="2" w:space="0"/>
              <w:bottom w:val="single" w:color="000000" w:sz="2" w:space="0"/>
              <w:right w:val="single" w:color="000000" w:sz="2" w:space="0"/>
            </w:tcBorders>
          </w:tcPr>
          <w:p w14:paraId="1502B20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5" w:type="dxa"/>
            <w:gridSpan w:val="2"/>
            <w:tcBorders>
              <w:top w:val="single" w:color="000000" w:sz="2" w:space="0"/>
              <w:left w:val="single" w:color="000000" w:sz="2" w:space="0"/>
              <w:bottom w:val="single" w:color="000000" w:sz="2" w:space="0"/>
              <w:right w:val="single" w:color="000000" w:sz="2" w:space="0"/>
            </w:tcBorders>
          </w:tcPr>
          <w:p w14:paraId="2E35E1A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技术职称</w:t>
            </w:r>
          </w:p>
        </w:tc>
        <w:tc>
          <w:tcPr>
            <w:tcW w:w="1287" w:type="dxa"/>
            <w:gridSpan w:val="2"/>
            <w:tcBorders>
              <w:top w:val="single" w:color="000000" w:sz="2" w:space="0"/>
              <w:left w:val="single" w:color="000000" w:sz="2" w:space="0"/>
              <w:bottom w:val="single" w:color="000000" w:sz="2" w:space="0"/>
              <w:right w:val="single" w:color="000000" w:sz="2" w:space="0"/>
            </w:tcBorders>
          </w:tcPr>
          <w:p w14:paraId="11F2341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35" w:type="dxa"/>
            <w:tcBorders>
              <w:top w:val="single" w:color="000000" w:sz="2" w:space="0"/>
              <w:left w:val="single" w:color="000000" w:sz="2" w:space="0"/>
              <w:bottom w:val="single" w:color="000000" w:sz="2" w:space="0"/>
              <w:right w:val="single" w:color="000000" w:sz="2" w:space="0"/>
            </w:tcBorders>
          </w:tcPr>
          <w:p w14:paraId="2C6A01E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1459" w:type="dxa"/>
            <w:tcBorders>
              <w:top w:val="single" w:color="000000" w:sz="2" w:space="0"/>
              <w:left w:val="single" w:color="000000" w:sz="2" w:space="0"/>
              <w:bottom w:val="single" w:color="000000" w:sz="2" w:space="0"/>
              <w:right w:val="single" w:color="000000" w:sz="2" w:space="0"/>
            </w:tcBorders>
          </w:tcPr>
          <w:p w14:paraId="0DF1B7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399D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525AB9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技术负责人</w:t>
            </w:r>
          </w:p>
        </w:tc>
        <w:tc>
          <w:tcPr>
            <w:tcW w:w="1095" w:type="dxa"/>
            <w:tcBorders>
              <w:top w:val="single" w:color="000000" w:sz="2" w:space="0"/>
              <w:left w:val="single" w:color="000000" w:sz="2" w:space="0"/>
              <w:bottom w:val="single" w:color="000000" w:sz="2" w:space="0"/>
              <w:right w:val="single" w:color="000000" w:sz="2" w:space="0"/>
            </w:tcBorders>
          </w:tcPr>
          <w:p w14:paraId="2F5B1FE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姓名</w:t>
            </w:r>
          </w:p>
        </w:tc>
        <w:tc>
          <w:tcPr>
            <w:tcW w:w="1834" w:type="dxa"/>
            <w:tcBorders>
              <w:top w:val="single" w:color="000000" w:sz="2" w:space="0"/>
              <w:left w:val="single" w:color="000000" w:sz="2" w:space="0"/>
              <w:bottom w:val="single" w:color="000000" w:sz="2" w:space="0"/>
              <w:right w:val="single" w:color="000000" w:sz="2" w:space="0"/>
            </w:tcBorders>
          </w:tcPr>
          <w:p w14:paraId="43CAA2F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5" w:type="dxa"/>
            <w:gridSpan w:val="2"/>
            <w:tcBorders>
              <w:top w:val="single" w:color="000000" w:sz="2" w:space="0"/>
              <w:left w:val="single" w:color="000000" w:sz="2" w:space="0"/>
              <w:bottom w:val="single" w:color="000000" w:sz="2" w:space="0"/>
              <w:right w:val="single" w:color="000000" w:sz="2" w:space="0"/>
            </w:tcBorders>
          </w:tcPr>
          <w:p w14:paraId="277330B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技术职称</w:t>
            </w:r>
          </w:p>
        </w:tc>
        <w:tc>
          <w:tcPr>
            <w:tcW w:w="1287" w:type="dxa"/>
            <w:gridSpan w:val="2"/>
            <w:tcBorders>
              <w:top w:val="single" w:color="000000" w:sz="2" w:space="0"/>
              <w:left w:val="single" w:color="000000" w:sz="2" w:space="0"/>
              <w:bottom w:val="single" w:color="000000" w:sz="2" w:space="0"/>
              <w:right w:val="single" w:color="000000" w:sz="2" w:space="0"/>
            </w:tcBorders>
          </w:tcPr>
          <w:p w14:paraId="4DE1D15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35" w:type="dxa"/>
            <w:tcBorders>
              <w:top w:val="single" w:color="000000" w:sz="2" w:space="0"/>
              <w:left w:val="single" w:color="000000" w:sz="2" w:space="0"/>
              <w:bottom w:val="single" w:color="000000" w:sz="2" w:space="0"/>
              <w:right w:val="single" w:color="000000" w:sz="2" w:space="0"/>
            </w:tcBorders>
          </w:tcPr>
          <w:p w14:paraId="086B9D5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1459" w:type="dxa"/>
            <w:tcBorders>
              <w:top w:val="single" w:color="000000" w:sz="2" w:space="0"/>
              <w:left w:val="single" w:color="000000" w:sz="2" w:space="0"/>
              <w:bottom w:val="single" w:color="000000" w:sz="2" w:space="0"/>
              <w:right w:val="single" w:color="000000" w:sz="2" w:space="0"/>
            </w:tcBorders>
          </w:tcPr>
          <w:p w14:paraId="4C8EA4B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AD5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1B962B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成立时间</w:t>
            </w:r>
          </w:p>
        </w:tc>
        <w:tc>
          <w:tcPr>
            <w:tcW w:w="2929" w:type="dxa"/>
            <w:gridSpan w:val="2"/>
            <w:tcBorders>
              <w:top w:val="single" w:color="000000" w:sz="2" w:space="0"/>
              <w:left w:val="single" w:color="000000" w:sz="2" w:space="0"/>
              <w:bottom w:val="single" w:color="000000" w:sz="2" w:space="0"/>
              <w:right w:val="single" w:color="000000" w:sz="2" w:space="0"/>
            </w:tcBorders>
          </w:tcPr>
          <w:p w14:paraId="7391F5A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4756" w:type="dxa"/>
            <w:gridSpan w:val="6"/>
            <w:tcBorders>
              <w:top w:val="single" w:color="000000" w:sz="2" w:space="0"/>
              <w:left w:val="single" w:color="000000" w:sz="2" w:space="0"/>
              <w:bottom w:val="single" w:color="000000" w:sz="2" w:space="0"/>
              <w:right w:val="single" w:color="000000" w:sz="2" w:space="0"/>
            </w:tcBorders>
          </w:tcPr>
          <w:p w14:paraId="228955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员工总人数：</w:t>
            </w:r>
          </w:p>
        </w:tc>
      </w:tr>
      <w:tr w14:paraId="102F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043618B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营业执照号</w:t>
            </w:r>
          </w:p>
        </w:tc>
        <w:tc>
          <w:tcPr>
            <w:tcW w:w="2929" w:type="dxa"/>
            <w:gridSpan w:val="2"/>
            <w:tcBorders>
              <w:top w:val="single" w:color="000000" w:sz="2" w:space="0"/>
              <w:left w:val="single" w:color="000000" w:sz="2" w:space="0"/>
              <w:bottom w:val="single" w:color="000000" w:sz="2" w:space="0"/>
              <w:right w:val="single" w:color="000000" w:sz="2" w:space="0"/>
            </w:tcBorders>
          </w:tcPr>
          <w:p w14:paraId="33DAAAA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restart"/>
            <w:tcBorders>
              <w:top w:val="single" w:color="000000" w:sz="2" w:space="0"/>
              <w:left w:val="single" w:color="000000" w:sz="2" w:space="0"/>
              <w:bottom w:val="single" w:color="000000" w:sz="2" w:space="0"/>
              <w:right w:val="single" w:color="000000" w:sz="2" w:space="0"/>
            </w:tcBorders>
          </w:tcPr>
          <w:p w14:paraId="5A5EBC3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111061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A82E5E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E04DB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FB7F50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其中</w:t>
            </w:r>
          </w:p>
        </w:tc>
        <w:tc>
          <w:tcPr>
            <w:tcW w:w="1834" w:type="dxa"/>
            <w:gridSpan w:val="3"/>
            <w:tcBorders>
              <w:top w:val="single" w:color="000000" w:sz="2" w:space="0"/>
              <w:left w:val="single" w:color="000000" w:sz="2" w:space="0"/>
              <w:bottom w:val="single" w:color="000000" w:sz="2" w:space="0"/>
              <w:right w:val="single" w:color="000000" w:sz="2" w:space="0"/>
            </w:tcBorders>
          </w:tcPr>
          <w:p w14:paraId="5BAE9EC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高级职称人员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135677C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BFA1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7D18A0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注册资金</w:t>
            </w:r>
          </w:p>
        </w:tc>
        <w:tc>
          <w:tcPr>
            <w:tcW w:w="2929" w:type="dxa"/>
            <w:gridSpan w:val="2"/>
            <w:tcBorders>
              <w:top w:val="single" w:color="000000" w:sz="2" w:space="0"/>
              <w:left w:val="single" w:color="000000" w:sz="2" w:space="0"/>
              <w:bottom w:val="single" w:color="000000" w:sz="2" w:space="0"/>
              <w:right w:val="single" w:color="000000" w:sz="2" w:space="0"/>
            </w:tcBorders>
          </w:tcPr>
          <w:p w14:paraId="09A18B2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693D17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138D57D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中级职称人员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06F2932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8D0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4AE9F76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开户银行</w:t>
            </w:r>
          </w:p>
        </w:tc>
        <w:tc>
          <w:tcPr>
            <w:tcW w:w="2929" w:type="dxa"/>
            <w:gridSpan w:val="2"/>
            <w:tcBorders>
              <w:top w:val="single" w:color="000000" w:sz="2" w:space="0"/>
              <w:left w:val="single" w:color="000000" w:sz="2" w:space="0"/>
              <w:bottom w:val="single" w:color="000000" w:sz="2" w:space="0"/>
              <w:right w:val="single" w:color="000000" w:sz="2" w:space="0"/>
            </w:tcBorders>
          </w:tcPr>
          <w:p w14:paraId="12342AE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5BEE01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6CBCF55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初级职称人员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12867CF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1EE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09AF29E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账号</w:t>
            </w:r>
          </w:p>
        </w:tc>
        <w:tc>
          <w:tcPr>
            <w:tcW w:w="2929" w:type="dxa"/>
            <w:gridSpan w:val="2"/>
            <w:tcBorders>
              <w:top w:val="single" w:color="000000" w:sz="2" w:space="0"/>
              <w:left w:val="single" w:color="000000" w:sz="2" w:space="0"/>
              <w:bottom w:val="single" w:color="000000" w:sz="2" w:space="0"/>
              <w:right w:val="single" w:color="000000" w:sz="2" w:space="0"/>
            </w:tcBorders>
          </w:tcPr>
          <w:p w14:paraId="407ADF4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1DF3147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2D7DC6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技工</w:t>
            </w:r>
          </w:p>
        </w:tc>
        <w:tc>
          <w:tcPr>
            <w:tcW w:w="2194" w:type="dxa"/>
            <w:gridSpan w:val="2"/>
            <w:tcBorders>
              <w:top w:val="single" w:color="000000" w:sz="2" w:space="0"/>
              <w:left w:val="single" w:color="000000" w:sz="2" w:space="0"/>
              <w:bottom w:val="single" w:color="000000" w:sz="2" w:space="0"/>
              <w:right w:val="single" w:color="000000" w:sz="2" w:space="0"/>
            </w:tcBorders>
          </w:tcPr>
          <w:p w14:paraId="48B1F7F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5C1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8" w:hRule="atLeast"/>
        </w:trPr>
        <w:tc>
          <w:tcPr>
            <w:tcW w:w="2020" w:type="dxa"/>
            <w:tcBorders>
              <w:top w:val="single" w:color="000000" w:sz="2" w:space="0"/>
              <w:left w:val="single" w:color="000000" w:sz="2" w:space="0"/>
              <w:bottom w:val="single" w:color="000000" w:sz="2" w:space="0"/>
              <w:right w:val="single" w:color="000000" w:sz="2" w:space="0"/>
            </w:tcBorders>
          </w:tcPr>
          <w:p w14:paraId="3000E4A7">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33DC86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经营范围</w:t>
            </w:r>
          </w:p>
        </w:tc>
        <w:tc>
          <w:tcPr>
            <w:tcW w:w="7685" w:type="dxa"/>
            <w:gridSpan w:val="8"/>
            <w:tcBorders>
              <w:top w:val="single" w:color="000000" w:sz="2" w:space="0"/>
              <w:left w:val="single" w:color="000000" w:sz="2" w:space="0"/>
              <w:bottom w:val="single" w:color="000000" w:sz="2" w:space="0"/>
              <w:right w:val="single" w:color="000000" w:sz="2" w:space="0"/>
            </w:tcBorders>
          </w:tcPr>
          <w:p w14:paraId="74A1237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24432196">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4B34B100">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投标人(盖章)：</w:t>
      </w:r>
    </w:p>
    <w:p w14:paraId="3EDCC14D">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法定代表人(（签字或盖章）：</w:t>
      </w:r>
    </w:p>
    <w:p w14:paraId="2ECEA472">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  年  月  日</w:t>
      </w:r>
    </w:p>
    <w:p w14:paraId="38FD7D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6" w:h="16839"/>
          <w:pgMar w:top="1431" w:right="1101" w:bottom="1102" w:left="1048" w:header="0" w:footer="936" w:gutter="0"/>
          <w:pgNumType w:fmt="decimal"/>
          <w:cols w:space="720" w:num="1"/>
        </w:sectPr>
      </w:pPr>
    </w:p>
    <w:p w14:paraId="4843D8C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（二）近年完成的类似项目情况表</w:t>
      </w:r>
    </w:p>
    <w:p w14:paraId="5AD1AEC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bl>
      <w:tblPr>
        <w:tblStyle w:val="24"/>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5"/>
        <w:gridCol w:w="1843"/>
        <w:gridCol w:w="1559"/>
        <w:gridCol w:w="1701"/>
        <w:gridCol w:w="1560"/>
        <w:gridCol w:w="1701"/>
        <w:gridCol w:w="691"/>
      </w:tblGrid>
      <w:tr w14:paraId="6067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5" w:type="dxa"/>
            <w:tcBorders>
              <w:top w:val="single" w:color="000000" w:sz="2" w:space="0"/>
              <w:left w:val="single" w:color="000000" w:sz="2" w:space="0"/>
              <w:bottom w:val="single" w:color="000000" w:sz="2" w:space="0"/>
              <w:right w:val="single" w:color="000000" w:sz="2" w:space="0"/>
            </w:tcBorders>
          </w:tcPr>
          <w:p w14:paraId="18DA6A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1843" w:type="dxa"/>
            <w:tcBorders>
              <w:top w:val="single" w:color="000000" w:sz="2" w:space="0"/>
              <w:left w:val="single" w:color="000000" w:sz="2" w:space="0"/>
              <w:bottom w:val="single" w:color="000000" w:sz="2" w:space="0"/>
              <w:right w:val="single" w:color="000000" w:sz="2" w:space="0"/>
            </w:tcBorders>
          </w:tcPr>
          <w:p w14:paraId="1AB77EB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p>
        </w:tc>
        <w:tc>
          <w:tcPr>
            <w:tcW w:w="1559" w:type="dxa"/>
            <w:tcBorders>
              <w:top w:val="single" w:color="000000" w:sz="2" w:space="0"/>
              <w:left w:val="single" w:color="000000" w:sz="2" w:space="0"/>
              <w:bottom w:val="single" w:color="000000" w:sz="2" w:space="0"/>
              <w:right w:val="single" w:color="000000" w:sz="2" w:space="0"/>
            </w:tcBorders>
          </w:tcPr>
          <w:p w14:paraId="358CC30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发包人名称</w:t>
            </w:r>
          </w:p>
        </w:tc>
        <w:tc>
          <w:tcPr>
            <w:tcW w:w="1701" w:type="dxa"/>
            <w:tcBorders>
              <w:top w:val="single" w:color="000000" w:sz="2" w:space="0"/>
              <w:left w:val="single" w:color="000000" w:sz="2" w:space="0"/>
              <w:bottom w:val="single" w:color="000000" w:sz="2" w:space="0"/>
              <w:right w:val="single" w:color="000000" w:sz="2" w:space="0"/>
            </w:tcBorders>
          </w:tcPr>
          <w:p w14:paraId="774768F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合同金额</w:t>
            </w:r>
          </w:p>
        </w:tc>
        <w:tc>
          <w:tcPr>
            <w:tcW w:w="1560" w:type="dxa"/>
            <w:tcBorders>
              <w:top w:val="single" w:color="000000" w:sz="2" w:space="0"/>
              <w:left w:val="single" w:color="000000" w:sz="2" w:space="0"/>
              <w:bottom w:val="single" w:color="000000" w:sz="2" w:space="0"/>
              <w:right w:val="single" w:color="000000" w:sz="2" w:space="0"/>
            </w:tcBorders>
          </w:tcPr>
          <w:p w14:paraId="3732EC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合同日期</w:t>
            </w:r>
          </w:p>
        </w:tc>
        <w:tc>
          <w:tcPr>
            <w:tcW w:w="1701" w:type="dxa"/>
            <w:tcBorders>
              <w:top w:val="single" w:color="000000" w:sz="2" w:space="0"/>
              <w:left w:val="single" w:color="000000" w:sz="2" w:space="0"/>
              <w:bottom w:val="single" w:color="000000" w:sz="2" w:space="0"/>
              <w:right w:val="single" w:color="000000" w:sz="2" w:space="0"/>
            </w:tcBorders>
          </w:tcPr>
          <w:p w14:paraId="5F3728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完成项目质量</w:t>
            </w:r>
          </w:p>
        </w:tc>
        <w:tc>
          <w:tcPr>
            <w:tcW w:w="691" w:type="dxa"/>
            <w:tcBorders>
              <w:top w:val="single" w:color="000000" w:sz="2" w:space="0"/>
              <w:left w:val="single" w:color="000000" w:sz="2" w:space="0"/>
              <w:bottom w:val="single" w:color="000000" w:sz="2" w:space="0"/>
              <w:right w:val="single" w:color="000000" w:sz="2" w:space="0"/>
            </w:tcBorders>
          </w:tcPr>
          <w:p w14:paraId="56AE61B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w:t>
            </w:r>
          </w:p>
        </w:tc>
      </w:tr>
      <w:tr w14:paraId="20FF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271054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4D2B89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822250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835ED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FFD709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2ECBC3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12EF2DA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099D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1CCCEFC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162BC7B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4E8F640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31BCBB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15EE0CB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6372673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3B8D2C3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0DB1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51C0AEB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AFCB0D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640564D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C80D5C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6A03028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B8E646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516901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8ED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47CE70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63157A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6F997F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195E39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CEC788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841C65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0F0DE0B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3F6A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3C61846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0038C25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6E8E8E2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0DD3CE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91E9E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81216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DFF697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1BD2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5A35D3F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2DF69E1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1CACB31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FBA08E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64C92F2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51E3806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6596233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4C7E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4EFB44B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679E977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1AB10A2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25E4DC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04D2D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C1AB19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6BC36A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4AF3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7A43D38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377808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7BCD81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29D3A7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4CD06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8CE5F3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624BCDA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0F2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1AF750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00DBD2A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43AF887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E776BD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282169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12201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21F4CA6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EA9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363BCC1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2A278F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45497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3BAF72D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21D5F9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266FD68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78C0473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22E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5" w:type="dxa"/>
            <w:tcBorders>
              <w:top w:val="single" w:color="000000" w:sz="2" w:space="0"/>
              <w:left w:val="single" w:color="000000" w:sz="2" w:space="0"/>
              <w:bottom w:val="single" w:color="000000" w:sz="2" w:space="0"/>
              <w:right w:val="single" w:color="000000" w:sz="2" w:space="0"/>
            </w:tcBorders>
          </w:tcPr>
          <w:p w14:paraId="20A6C5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6788C0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7F17E26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690B24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55985F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1D31F58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430C0A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0B8A601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C834E3B">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备注：后附合同协议书及中标通知书扫描件。</w:t>
      </w:r>
    </w:p>
    <w:p w14:paraId="3401A2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822339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7C1A8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4C5655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30C7DE5">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投标人(盖章)：</w:t>
      </w:r>
    </w:p>
    <w:p w14:paraId="78B5E8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8A258DE">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法定代表人(（签字或盖章）：</w:t>
      </w:r>
    </w:p>
    <w:p w14:paraId="68A0DB5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974FC12">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  年  月  日</w:t>
      </w:r>
    </w:p>
    <w:p w14:paraId="658DA317">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sectPr>
          <w:pgSz w:w="11906" w:h="16839"/>
          <w:pgMar w:top="1431" w:right="1092" w:bottom="1102" w:left="1092" w:header="0" w:footer="936" w:gutter="0"/>
          <w:pgNumType w:fmt="decimal"/>
          <w:cols w:space="720" w:num="1"/>
        </w:sectPr>
      </w:pPr>
    </w:p>
    <w:p w14:paraId="410EC8AD">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14:paraId="4E4584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七、供应商承诺书</w:t>
      </w:r>
    </w:p>
    <w:p w14:paraId="5235D10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36D213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bCs/>
          <w:color w:val="000000" w:themeColor="text1"/>
          <w:sz w:val="24"/>
          <w:szCs w:val="24"/>
          <w:highlight w:val="none"/>
          <w:u w:val="single"/>
          <w14:textFill>
            <w14:solidFill>
              <w14:schemeClr w14:val="tx1"/>
            </w14:solidFill>
          </w14:textFill>
        </w:rPr>
        <w:t>（采购人名称/代理机构名称）：</w:t>
      </w:r>
    </w:p>
    <w:p w14:paraId="30DDB7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我方承诺，我方满足 《中华人民共和国政府采购法》第二十二条的所有规定。</w:t>
      </w:r>
    </w:p>
    <w:p w14:paraId="503C5F4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(一)具有独立承担民事责任的能力；</w:t>
      </w:r>
    </w:p>
    <w:p w14:paraId="0FB5598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(二)具有良好的商业信誉和健全的财务会计制度；</w:t>
      </w:r>
    </w:p>
    <w:p w14:paraId="650BE99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(三)具有履行合同所必需的设备和专业技术能力；</w:t>
      </w:r>
    </w:p>
    <w:p w14:paraId="32F9631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(四)有依法缴纳税收和社会保障资金的良好记录；</w:t>
      </w:r>
    </w:p>
    <w:p w14:paraId="622C3B2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(五)参加政府采购活动前三年内，在经营活动中没有重大违法记录；</w:t>
      </w:r>
    </w:p>
    <w:p w14:paraId="2C617C91">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(六)法律、行政法规规定的其他条件。</w:t>
      </w:r>
    </w:p>
    <w:p w14:paraId="0224BD0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我方保证上述信息的真实和准确，并愿意承担因我方就此弄虚作假所引起的一切法律后果。</w:t>
      </w:r>
    </w:p>
    <w:p w14:paraId="197A7054">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特此承诺。</w:t>
      </w:r>
    </w:p>
    <w:p w14:paraId="0CFC94A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910643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72812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FCC82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3DDAE8E">
      <w:pPr>
        <w:spacing w:line="360" w:lineRule="auto"/>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供应商(盖章)：</w:t>
      </w:r>
    </w:p>
    <w:p w14:paraId="3A5AC14E">
      <w:pPr>
        <w:spacing w:line="360" w:lineRule="auto"/>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 (电子签章)：</w:t>
      </w:r>
    </w:p>
    <w:p w14:paraId="6C6E1413">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日期：   </w:t>
      </w:r>
    </w:p>
    <w:p w14:paraId="261711F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6" w:h="16838"/>
          <w:pgMar w:top="1361" w:right="1361" w:bottom="1361" w:left="1361" w:header="720" w:footer="720" w:gutter="0"/>
          <w:pgNumType w:fmt="decimal"/>
          <w:cols w:space="720" w:num="1"/>
          <w:docGrid w:type="lines" w:linePitch="319" w:charSpace="0"/>
        </w:sectPr>
      </w:pPr>
    </w:p>
    <w:bookmarkEnd w:id="35"/>
    <w:p w14:paraId="025BA2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八、磋商承诺函</w:t>
      </w:r>
    </w:p>
    <w:p w14:paraId="6B6F59B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bCs/>
          <w:color w:val="000000" w:themeColor="text1"/>
          <w:sz w:val="24"/>
          <w:szCs w:val="24"/>
          <w:highlight w:val="none"/>
          <w:u w:val="single"/>
          <w14:textFill>
            <w14:solidFill>
              <w14:schemeClr w14:val="tx1"/>
            </w14:solidFill>
          </w14:textFill>
        </w:rPr>
        <w:t>（采购人名称/代理机构名称）</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p w14:paraId="7316F18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如我单位出现以下情况，并造成采购人经济损失，我单位向采购人缴纳经济补偿，自觉承担违约责任。</w:t>
      </w:r>
    </w:p>
    <w:p w14:paraId="076728E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一、在中标通知书规定时间内未签订合同;</w:t>
      </w:r>
    </w:p>
    <w:p w14:paraId="695AA9A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二、在投标（响应）文件提供虚假材料的；</w:t>
      </w:r>
    </w:p>
    <w:p w14:paraId="0AEE225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三、投标人（供应商）与招标人（采购人）、其他投标人（供应商）或者代理机构恶意串通的；</w:t>
      </w:r>
    </w:p>
    <w:p w14:paraId="53955FB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98B02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6DC4068">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投标人：（盖章）</w:t>
      </w:r>
    </w:p>
    <w:p w14:paraId="359191D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 （电子签章）</w:t>
      </w:r>
    </w:p>
    <w:p w14:paraId="7D3D94A1">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年  月  日</w:t>
      </w:r>
    </w:p>
    <w:p w14:paraId="3A69E0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715E7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58617D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2F8E19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C1669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A1F27E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EDDEF0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bookmarkStart w:id="42" w:name="_Toc448849467"/>
    </w:p>
    <w:p w14:paraId="157FFD8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4C15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bookmarkEnd w:id="42"/>
    <w:p w14:paraId="0A4F3D3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A41C5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246B3A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九、其他资料</w:t>
      </w:r>
    </w:p>
    <w:p w14:paraId="578B3C8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CCF00C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投标人可提供的其他资料</w:t>
      </w:r>
    </w:p>
    <w:p w14:paraId="43718D9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31" w:right="1785" w:bottom="1242" w:left="1785" w:header="0" w:footer="1082" w:gutter="0"/>
          <w:pgNumType w:fmt="decimal"/>
          <w:cols w:space="720" w:num="1"/>
        </w:sectPr>
      </w:pPr>
    </w:p>
    <w:p w14:paraId="5486E20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1</w:t>
      </w:r>
    </w:p>
    <w:p w14:paraId="6B61243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A6EDA1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中小企业声明函（服务）</w:t>
      </w:r>
    </w:p>
    <w:p w14:paraId="1C42F6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（属于中小微企业的填写，不属于的无需提供此项内容）</w:t>
      </w:r>
    </w:p>
    <w:p w14:paraId="4BC015E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B33254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本公司郑重声明，根据《政府采购促进中小企业发展管理办法》（财库﹝2020﹞ 46 号）的规定，本公司参加</w:t>
      </w:r>
      <w:r>
        <w:rPr>
          <w:rFonts w:hint="eastAsia" w:ascii="仿宋" w:hAnsi="仿宋" w:eastAsia="仿宋" w:cs="仿宋"/>
          <w:bCs/>
          <w:color w:val="000000" w:themeColor="text1"/>
          <w:sz w:val="24"/>
          <w:szCs w:val="24"/>
          <w:highlight w:val="none"/>
          <w:u w:val="single"/>
          <w14:textFill>
            <w14:solidFill>
              <w14:schemeClr w14:val="tx1"/>
            </w14:solidFill>
          </w14:textFill>
        </w:rPr>
        <w:t>（单位名称）</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bCs/>
          <w:color w:val="000000" w:themeColor="text1"/>
          <w:sz w:val="24"/>
          <w:szCs w:val="24"/>
          <w:highlight w:val="none"/>
          <w:u w:val="single"/>
          <w14:textFill>
            <w14:solidFill>
              <w14:schemeClr w14:val="tx1"/>
            </w14:solidFill>
          </w14:textFill>
        </w:rPr>
        <w:t>（项目名称）</w:t>
      </w:r>
      <w:r>
        <w:rPr>
          <w:rFonts w:hint="eastAsia" w:ascii="仿宋" w:hAnsi="仿宋" w:eastAsia="仿宋" w:cs="仿宋"/>
          <w:bCs/>
          <w:color w:val="000000" w:themeColor="text1"/>
          <w:sz w:val="24"/>
          <w:szCs w:val="24"/>
          <w:highlight w:val="none"/>
          <w14:textFill>
            <w14:solidFill>
              <w14:schemeClr w14:val="tx1"/>
            </w14:solidFill>
          </w14:textFill>
        </w:rPr>
        <w:t>采购活动，服务全部由符合政策要求的中小企业承接。相关企业的具体情况如下：</w:t>
      </w:r>
    </w:p>
    <w:p w14:paraId="6C117AA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sz w:val="24"/>
          <w:szCs w:val="24"/>
          <w:highlight w:val="none"/>
          <w:u w:val="single"/>
          <w14:textFill>
            <w14:solidFill>
              <w14:schemeClr w14:val="tx1"/>
            </w14:solidFill>
          </w14:textFill>
        </w:rPr>
        <w:t>（标的名称）</w:t>
      </w:r>
      <w:r>
        <w:rPr>
          <w:rFonts w:hint="eastAsia" w:ascii="仿宋" w:hAnsi="仿宋" w:eastAsia="仿宋" w:cs="仿宋"/>
          <w:bCs/>
          <w:color w:val="000000" w:themeColor="text1"/>
          <w:sz w:val="24"/>
          <w:szCs w:val="24"/>
          <w:highlight w:val="none"/>
          <w14:textFill>
            <w14:solidFill>
              <w14:schemeClr w14:val="tx1"/>
            </w14:solidFill>
          </w14:textFill>
        </w:rPr>
        <w:t>，属于</w:t>
      </w:r>
      <w:r>
        <w:rPr>
          <w:rFonts w:hint="eastAsia" w:ascii="仿宋" w:hAnsi="仿宋" w:eastAsia="仿宋" w:cs="仿宋"/>
          <w:bCs/>
          <w:color w:val="000000" w:themeColor="text1"/>
          <w:sz w:val="24"/>
          <w:szCs w:val="24"/>
          <w:highlight w:val="none"/>
          <w:u w:val="single"/>
          <w14:textFill>
            <w14:solidFill>
              <w14:schemeClr w14:val="tx1"/>
            </w14:solidFill>
          </w14:textFill>
        </w:rPr>
        <w:t>（采购文件中明确的所属行业）</w:t>
      </w:r>
      <w:r>
        <w:rPr>
          <w:rFonts w:hint="eastAsia" w:ascii="仿宋" w:hAnsi="仿宋" w:eastAsia="仿宋" w:cs="仿宋"/>
          <w:bCs/>
          <w:color w:val="000000" w:themeColor="text1"/>
          <w:sz w:val="24"/>
          <w:szCs w:val="24"/>
          <w:highlight w:val="none"/>
          <w14:textFill>
            <w14:solidFill>
              <w14:schemeClr w14:val="tx1"/>
            </w14:solidFill>
          </w14:textFill>
        </w:rPr>
        <w:t>；承建（承接）企业 为</w:t>
      </w:r>
      <w:r>
        <w:rPr>
          <w:rFonts w:hint="eastAsia" w:ascii="仿宋" w:hAnsi="仿宋" w:eastAsia="仿宋" w:cs="仿宋"/>
          <w:bCs/>
          <w:color w:val="000000" w:themeColor="text1"/>
          <w:sz w:val="24"/>
          <w:szCs w:val="24"/>
          <w:highlight w:val="none"/>
          <w:u w:val="single"/>
          <w14:textFill>
            <w14:solidFill>
              <w14:schemeClr w14:val="tx1"/>
            </w14:solidFill>
          </w14:textFill>
        </w:rPr>
        <w:t>（企业名称）</w:t>
      </w:r>
      <w:r>
        <w:rPr>
          <w:rFonts w:hint="eastAsia" w:ascii="仿宋" w:hAnsi="仿宋" w:eastAsia="仿宋" w:cs="仿宋"/>
          <w:bCs/>
          <w:color w:val="000000" w:themeColor="text1"/>
          <w:sz w:val="24"/>
          <w:szCs w:val="24"/>
          <w:highlight w:val="none"/>
          <w14:textFill>
            <w14:solidFill>
              <w14:schemeClr w14:val="tx1"/>
            </w14:solidFill>
          </w14:textFill>
        </w:rPr>
        <w:t xml:space="preserve">，从业人员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人，营业收入为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万元，资产总额为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万元，属于 </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bCs/>
          <w:color w:val="000000" w:themeColor="text1"/>
          <w:sz w:val="24"/>
          <w:szCs w:val="24"/>
          <w:highlight w:val="none"/>
          <w14:textFill>
            <w14:solidFill>
              <w14:schemeClr w14:val="tx1"/>
            </w14:solidFill>
          </w14:textFill>
        </w:rPr>
        <w:t>；</w:t>
      </w:r>
    </w:p>
    <w:p w14:paraId="40E78F8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u w:val="single"/>
          <w14:textFill>
            <w14:solidFill>
              <w14:schemeClr w14:val="tx1"/>
            </w14:solidFill>
          </w14:textFill>
        </w:rPr>
        <w:t>（标的名称）</w:t>
      </w:r>
      <w:r>
        <w:rPr>
          <w:rFonts w:hint="eastAsia" w:ascii="仿宋" w:hAnsi="仿宋" w:eastAsia="仿宋" w:cs="仿宋"/>
          <w:bCs/>
          <w:color w:val="000000" w:themeColor="text1"/>
          <w:sz w:val="24"/>
          <w:szCs w:val="24"/>
          <w:highlight w:val="none"/>
          <w14:textFill>
            <w14:solidFill>
              <w14:schemeClr w14:val="tx1"/>
            </w14:solidFill>
          </w14:textFill>
        </w:rPr>
        <w:t>，属于</w:t>
      </w:r>
      <w:r>
        <w:rPr>
          <w:rFonts w:hint="eastAsia" w:ascii="仿宋" w:hAnsi="仿宋" w:eastAsia="仿宋" w:cs="仿宋"/>
          <w:bCs/>
          <w:color w:val="000000" w:themeColor="text1"/>
          <w:sz w:val="24"/>
          <w:szCs w:val="24"/>
          <w:highlight w:val="none"/>
          <w:u w:val="single"/>
          <w14:textFill>
            <w14:solidFill>
              <w14:schemeClr w14:val="tx1"/>
            </w14:solidFill>
          </w14:textFill>
        </w:rPr>
        <w:t>（采购文件中明确的所属行业）</w:t>
      </w:r>
      <w:r>
        <w:rPr>
          <w:rFonts w:hint="eastAsia" w:ascii="仿宋" w:hAnsi="仿宋" w:eastAsia="仿宋" w:cs="仿宋"/>
          <w:bCs/>
          <w:color w:val="000000" w:themeColor="text1"/>
          <w:sz w:val="24"/>
          <w:szCs w:val="24"/>
          <w:highlight w:val="none"/>
          <w14:textFill>
            <w14:solidFill>
              <w14:schemeClr w14:val="tx1"/>
            </w14:solidFill>
          </w14:textFill>
        </w:rPr>
        <w:t>；承建（承接）企业 为</w:t>
      </w:r>
      <w:r>
        <w:rPr>
          <w:rFonts w:hint="eastAsia" w:ascii="仿宋" w:hAnsi="仿宋" w:eastAsia="仿宋" w:cs="仿宋"/>
          <w:bCs/>
          <w:color w:val="000000" w:themeColor="text1"/>
          <w:sz w:val="24"/>
          <w:szCs w:val="24"/>
          <w:highlight w:val="none"/>
          <w:u w:val="single"/>
          <w14:textFill>
            <w14:solidFill>
              <w14:schemeClr w14:val="tx1"/>
            </w14:solidFill>
          </w14:textFill>
        </w:rPr>
        <w:t>（企业名称）</w:t>
      </w:r>
      <w:r>
        <w:rPr>
          <w:rFonts w:hint="eastAsia" w:ascii="仿宋" w:hAnsi="仿宋" w:eastAsia="仿宋" w:cs="仿宋"/>
          <w:bCs/>
          <w:color w:val="000000" w:themeColor="text1"/>
          <w:sz w:val="24"/>
          <w:szCs w:val="24"/>
          <w:highlight w:val="none"/>
          <w14:textFill>
            <w14:solidFill>
              <w14:schemeClr w14:val="tx1"/>
            </w14:solidFill>
          </w14:textFill>
        </w:rPr>
        <w:t xml:space="preserve">，从业人员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人，营业收入为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万元，资产总额为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万元，属于 </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bCs/>
          <w:color w:val="000000" w:themeColor="text1"/>
          <w:sz w:val="24"/>
          <w:szCs w:val="24"/>
          <w:highlight w:val="none"/>
          <w14:textFill>
            <w14:solidFill>
              <w14:schemeClr w14:val="tx1"/>
            </w14:solidFill>
          </w14:textFill>
        </w:rPr>
        <w:t>；</w:t>
      </w:r>
    </w:p>
    <w:p w14:paraId="4DAA882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p>
    <w:p w14:paraId="49D72FD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以上企业，不属于大企业的分支机构，不存在控股股东为大企业的情形，也 不存在与大企业的负责人为同一人的情形。</w:t>
      </w:r>
    </w:p>
    <w:p w14:paraId="0108E9B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本企业对上述声明内容的真实性负责。如有虚假，将依法承担相应责任。</w:t>
      </w:r>
    </w:p>
    <w:p w14:paraId="6DD730F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p>
    <w:p w14:paraId="179E524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D1D3A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企业名称（盖章）： 日        期：</w:t>
      </w:r>
    </w:p>
    <w:p w14:paraId="6E6F4A7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w:t>
      </w:r>
    </w:p>
    <w:p w14:paraId="119190B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1、从业人员、营业收入、资产总额填报上一年度数据，无上一年度数据的 新成立企业可不填报。</w:t>
      </w:r>
    </w:p>
    <w:p w14:paraId="148BF1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2、填写前请认真阅读《关于印发中小企业划型标准规定的通知》（工信部 联企业[2011]300 号）和《关于印发＜政府采购促进中小企业发展管理办法＞的 通知》 (财库﹝2020﹞46 号)相关规定。</w:t>
      </w:r>
    </w:p>
    <w:p w14:paraId="1C4F9DAE">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3、未按上述要求提供、填写的，评审时不予以考虑。</w:t>
      </w:r>
    </w:p>
    <w:p w14:paraId="1DE5E7A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25" w:right="1646" w:bottom="1240" w:left="1785" w:header="0" w:footer="1082" w:gutter="0"/>
          <w:pgNumType w:fmt="decimal"/>
          <w:cols w:space="720" w:num="1"/>
        </w:sectPr>
      </w:pPr>
    </w:p>
    <w:p w14:paraId="21E73CE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2</w:t>
      </w:r>
    </w:p>
    <w:p w14:paraId="3820E5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残疾人福利性单位声明函</w:t>
      </w:r>
    </w:p>
    <w:p w14:paraId="4776C48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（属于残疾人福利单位的填写，不属于的无需提供此项内容）</w:t>
      </w:r>
    </w:p>
    <w:p w14:paraId="73A8DF2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本单位郑重声明，根据《财政部 民政部 中国残疾人联合会关于促进残疾人 就业政府采购政策的通知》（财库〔2017〕141 号）的规定，本单位为符合条件 的残疾人福利性单位，且本单位参加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单位的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项目采购活动提供本单位制造的货物（由本单位承担工程/提供服务），或者提供其他 残疾人福利性单位制造的货物（不包括使用非残疾人福利性单位注册商标的货物）。</w:t>
      </w:r>
    </w:p>
    <w:p w14:paraId="2F7FFDA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本单位对上述声明的真实性负责。如有虚假，将依法承担相应责任。</w:t>
      </w:r>
    </w:p>
    <w:p w14:paraId="1B170A9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单位名称（盖章）：</w:t>
      </w:r>
    </w:p>
    <w:p w14:paraId="237CFE6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14:paraId="603409D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（提醒：如果投标人不是残疾人福利性单位，则不需要提供《残疾人福利性 单位声明函》。否则，因此导致虚假投标的后果由投标人自行承担。）</w:t>
      </w:r>
    </w:p>
    <w:p w14:paraId="6B74B2B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《财政部民政部中国残疾人联合会关于促进残疾人就业政府采购政策的通 知》（财库 2017〔141〕号）的规定：</w:t>
      </w:r>
    </w:p>
    <w:p w14:paraId="0F6A1C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1.享受政府采购支持政策的残疾人福利性单位应当同时满足以下条件：</w:t>
      </w:r>
    </w:p>
    <w:p w14:paraId="5EFF75E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（1）安置的残疾人占本单位在职职工人数的比例不低于 25%（含 25%），并 且安置的残疾人人数不少于 10 人（含 10 人）；</w:t>
      </w:r>
    </w:p>
    <w:p w14:paraId="2F2951D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（2）依法与安置的每位残疾人签订了一年以上（含一年）的劳动合同或服务协议；</w:t>
      </w:r>
    </w:p>
    <w:p w14:paraId="14F3B59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（3）为安置的每位残疾人按月足额缴纳了基本养老保险、基本医疗保险、 失业保险、工伤保险和生育保险等社会保险费；</w:t>
      </w:r>
    </w:p>
    <w:p w14:paraId="68B1C2F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（4）通过银行等金融机构向安置的每位残疾人，按月支付了不低于单位所 在区县适用的经省级人民政府批准的月最低工资标准的工资；</w:t>
      </w:r>
    </w:p>
    <w:p w14:paraId="6FDDB38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（5）提供本单位制造的货物、承担的工程或者服务（以下简称产品），或 者提供其他残疾人福利性单位制造的货物（不包括使用非残疾人福利性单位注册 商标的货物）。</w:t>
      </w:r>
    </w:p>
    <w:p w14:paraId="6ECCCB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 成交人为残疾人福利性单位的，采购人或者其委托的采购代理机构应当 随成交、成交结果同时公告其《残疾人福利性单位声明函》，接受社会监督。</w:t>
      </w:r>
    </w:p>
    <w:p w14:paraId="672075F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25" w:right="1616" w:bottom="1242" w:left="1785" w:header="0" w:footer="1082" w:gutter="0"/>
          <w:pgNumType w:fmt="decimal"/>
          <w:cols w:space="720" w:num="1"/>
        </w:sectPr>
      </w:pPr>
    </w:p>
    <w:p w14:paraId="1040B6D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3</w:t>
      </w:r>
    </w:p>
    <w:p w14:paraId="1EB0B9D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9EFF2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监狱企业证明文件</w:t>
      </w:r>
    </w:p>
    <w:p w14:paraId="0E86143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（属于监狱企业的提供，不属于的无需提供此项内容）</w:t>
      </w:r>
    </w:p>
    <w:p w14:paraId="68444D7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（监狱企业参加政府采购活动时，应当提供由省级以上监狱管理局、戒毒管 理局（含新疆生产建设兵团）出具的属于监狱企业的证明文件。在响应文件中提 供原件扫描件。）</w:t>
      </w:r>
    </w:p>
    <w:p w14:paraId="6BDCC60D">
      <w:pPr>
        <w:spacing w:line="360" w:lineRule="auto"/>
        <w:jc w:val="center"/>
        <w:rPr>
          <w:rFonts w:hint="eastAsia" w:ascii="仿宋" w:hAnsi="仿宋" w:eastAsia="仿宋" w:cs="仿宋"/>
          <w:bCs/>
          <w:color w:val="000000" w:themeColor="text1"/>
          <w:sz w:val="24"/>
          <w:szCs w:val="24"/>
          <w:highlight w:val="none"/>
          <w:lang w:val="en-GB"/>
          <w14:textFill>
            <w14:solidFill>
              <w14:schemeClr w14:val="tx1"/>
            </w14:solidFill>
          </w14:textFill>
        </w:rPr>
      </w:pPr>
    </w:p>
    <w:p w14:paraId="4612335E">
      <w:pPr>
        <w:spacing w:line="360" w:lineRule="auto"/>
        <w:jc w:val="center"/>
        <w:rPr>
          <w:rFonts w:hint="eastAsia" w:ascii="仿宋" w:hAnsi="仿宋" w:eastAsia="仿宋" w:cs="仿宋"/>
          <w:bCs/>
          <w:color w:val="000000" w:themeColor="text1"/>
          <w:sz w:val="24"/>
          <w:szCs w:val="24"/>
          <w:highlight w:val="none"/>
          <w:lang w:val="en-GB"/>
          <w14:textFill>
            <w14:solidFill>
              <w14:schemeClr w14:val="tx1"/>
            </w14:solidFill>
          </w14:textFill>
        </w:rPr>
      </w:pPr>
    </w:p>
    <w:p w14:paraId="7836329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（提醒：如果投标人不是</w:t>
      </w:r>
      <w:r>
        <w:rPr>
          <w:rFonts w:hint="eastAsia" w:ascii="仿宋" w:hAnsi="仿宋" w:eastAsia="仿宋" w:cs="仿宋"/>
          <w:bCs/>
          <w:color w:val="000000" w:themeColor="text1"/>
          <w:sz w:val="24"/>
          <w:szCs w:val="24"/>
          <w:highlight w:val="none"/>
          <w:lang w:val="en-GB"/>
          <w14:textFill>
            <w14:solidFill>
              <w14:schemeClr w14:val="tx1"/>
            </w14:solidFill>
          </w14:textFill>
        </w:rPr>
        <w:t>监狱企业</w:t>
      </w:r>
      <w:r>
        <w:rPr>
          <w:rFonts w:hint="eastAsia" w:ascii="仿宋" w:hAnsi="仿宋" w:eastAsia="仿宋" w:cs="仿宋"/>
          <w:bCs/>
          <w:color w:val="000000" w:themeColor="text1"/>
          <w:sz w:val="24"/>
          <w:szCs w:val="24"/>
          <w:highlight w:val="none"/>
          <w14:textFill>
            <w14:solidFill>
              <w14:schemeClr w14:val="tx1"/>
            </w14:solidFill>
          </w14:textFill>
        </w:rPr>
        <w:t>，则不需要提供</w:t>
      </w:r>
      <w:r>
        <w:rPr>
          <w:rFonts w:hint="eastAsia" w:ascii="仿宋" w:hAnsi="仿宋" w:eastAsia="仿宋" w:cs="仿宋"/>
          <w:bCs/>
          <w:color w:val="000000" w:themeColor="text1"/>
          <w:sz w:val="24"/>
          <w:szCs w:val="24"/>
          <w:highlight w:val="none"/>
          <w:lang w:val="en-GB"/>
          <w14:textFill>
            <w14:solidFill>
              <w14:schemeClr w14:val="tx1"/>
            </w14:solidFill>
          </w14:textFill>
        </w:rPr>
        <w:t>监狱企业证明材料</w:t>
      </w:r>
      <w:r>
        <w:rPr>
          <w:rFonts w:hint="eastAsia" w:ascii="仿宋" w:hAnsi="仿宋" w:eastAsia="仿宋" w:cs="仿宋"/>
          <w:bCs/>
          <w:color w:val="000000" w:themeColor="text1"/>
          <w:sz w:val="24"/>
          <w:szCs w:val="24"/>
          <w:highlight w:val="none"/>
          <w14:textFill>
            <w14:solidFill>
              <w14:schemeClr w14:val="tx1"/>
            </w14:solidFill>
          </w14:textFill>
        </w:rPr>
        <w:t>）</w:t>
      </w:r>
    </w:p>
    <w:p w14:paraId="2E6303E8">
      <w:pPr>
        <w:spacing w:line="360" w:lineRule="auto"/>
        <w:jc w:val="center"/>
        <w:rPr>
          <w:rFonts w:hint="eastAsia" w:ascii="仿宋" w:hAnsi="仿宋" w:eastAsia="仿宋" w:cs="仿宋"/>
          <w:sz w:val="24"/>
          <w:szCs w:val="24"/>
          <w:highlight w:val="none"/>
        </w:rPr>
      </w:pPr>
    </w:p>
    <w:sectPr>
      <w:footerReference r:id="rId6" w:type="default"/>
      <w:pgSz w:w="11906" w:h="16838"/>
      <w:pgMar w:top="1361" w:right="1361" w:bottom="1361" w:left="1361" w:header="720" w:footer="720"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7FB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C05B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5C05B3">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FB89">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9FA8CE">
                          <w:pPr>
                            <w:pStyle w:val="17"/>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A9FA8CE">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9883">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1E24EC">
                          <w:pPr>
                            <w:pStyle w:val="17"/>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301E24E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52E8">
    <w:pPr>
      <w:pStyle w:val="19"/>
      <w:pBdr>
        <w:bottom w:val="none" w:color="auto" w:sz="0" w:space="1"/>
      </w:pBdr>
      <w:tabs>
        <w:tab w:val="left" w:pos="3128"/>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1913B"/>
    <w:multiLevelType w:val="singleLevel"/>
    <w:tmpl w:val="1441913B"/>
    <w:lvl w:ilvl="0" w:tentative="0">
      <w:start w:val="4"/>
      <w:numFmt w:val="chineseCounting"/>
      <w:suff w:val="nothing"/>
      <w:lvlText w:val="%1、"/>
      <w:lvlJc w:val="left"/>
      <w:rPr>
        <w:rFonts w:hint="eastAsia"/>
      </w:rPr>
    </w:lvl>
  </w:abstractNum>
  <w:abstractNum w:abstractNumId="1">
    <w:nsid w:val="1F2B226A"/>
    <w:multiLevelType w:val="multilevel"/>
    <w:tmpl w:val="1F2B226A"/>
    <w:lvl w:ilvl="0" w:tentative="0">
      <w:start w:val="1"/>
      <w:numFmt w:val="chineseCounting"/>
      <w:suff w:val="nothing"/>
      <w:lvlText w:val="第%1章 "/>
      <w:lvlJc w:val="left"/>
      <w:pPr>
        <w:ind w:left="425" w:hanging="425"/>
      </w:pPr>
      <w:rPr>
        <w:rFonts w:hint="eastAsia" w:ascii="黑体" w:hAnsi="黑体" w:eastAsia="黑体" w:cs="黑体"/>
        <w:b/>
        <w:bCs/>
        <w:sz w:val="48"/>
        <w:szCs w:val="48"/>
      </w:rPr>
    </w:lvl>
    <w:lvl w:ilvl="1" w:tentative="0">
      <w:start w:val="1"/>
      <w:numFmt w:val="decimal"/>
      <w:isLgl/>
      <w:lvlText w:val="%1.%2."/>
      <w:lvlJc w:val="left"/>
      <w:pPr>
        <w:ind w:left="567" w:hanging="567"/>
      </w:pPr>
      <w:rPr>
        <w:rFonts w:hint="default" w:ascii="黑体" w:hAnsi="黑体" w:eastAsia="黑体" w:cs="黑体"/>
        <w:sz w:val="48"/>
        <w:szCs w:val="48"/>
      </w:rPr>
    </w:lvl>
    <w:lvl w:ilvl="2" w:tentative="0">
      <w:start w:val="1"/>
      <w:numFmt w:val="decimal"/>
      <w:pStyle w:val="5"/>
      <w:isLgl/>
      <w:lvlText w:val="%1.%2.%3."/>
      <w:lvlJc w:val="left"/>
      <w:pPr>
        <w:ind w:left="709" w:hanging="709"/>
      </w:pPr>
      <w:rPr>
        <w:rFonts w:hint="eastAsia"/>
      </w:rPr>
    </w:lvl>
    <w:lvl w:ilvl="3" w:tentative="0">
      <w:start w:val="1"/>
      <w:numFmt w:val="decimal"/>
      <w:isLgl/>
      <w:lvlText w:val="%1.%2.%3.%4."/>
      <w:lvlJc w:val="left"/>
      <w:pPr>
        <w:ind w:left="850" w:hanging="850"/>
      </w:pPr>
      <w:rPr>
        <w:rFonts w:hint="default" w:ascii="黑体" w:hAnsi="黑体" w:eastAsia="黑体" w:cs="黑体"/>
        <w:sz w:val="36"/>
        <w:szCs w:val="36"/>
      </w:rPr>
    </w:lvl>
    <w:lvl w:ilvl="4" w:tentative="0">
      <w:start w:val="1"/>
      <w:numFmt w:val="decimal"/>
      <w:isLgl/>
      <w:lvlText w:val="%1.%2.%3.%4.%5."/>
      <w:lvlJc w:val="left"/>
      <w:pPr>
        <w:ind w:left="991" w:hanging="991"/>
      </w:pPr>
      <w:rPr>
        <w:rFonts w:hint="default" w:ascii="宋体" w:hAnsi="宋体" w:eastAsia="宋体" w:cs="宋体"/>
        <w:sz w:val="32"/>
        <w:szCs w:val="32"/>
      </w:rPr>
    </w:lvl>
    <w:lvl w:ilvl="5" w:tentative="0">
      <w:start w:val="1"/>
      <w:numFmt w:val="decimal"/>
      <w:isLgl/>
      <w:lvlText w:val="%1.%2.%3.%4.%5.%6."/>
      <w:lvlJc w:val="left"/>
      <w:pPr>
        <w:ind w:left="1134" w:hanging="1134"/>
      </w:pPr>
      <w:rPr>
        <w:rFonts w:hint="default" w:ascii="宋体" w:hAnsi="宋体" w:eastAsia="宋体" w:cs="宋体"/>
        <w:sz w:val="30"/>
        <w:szCs w:val="30"/>
      </w:rPr>
    </w:lvl>
    <w:lvl w:ilvl="6" w:tentative="0">
      <w:start w:val="1"/>
      <w:numFmt w:val="decimal"/>
      <w:isLgl/>
      <w:lvlText w:val="%1.%2.%3.%4.%5.%6.%7."/>
      <w:lvlJc w:val="left"/>
      <w:pPr>
        <w:ind w:left="1275" w:hanging="1275"/>
      </w:pPr>
      <w:rPr>
        <w:rFonts w:hint="default" w:ascii="宋体" w:hAnsi="宋体" w:eastAsia="宋体" w:cs="宋体"/>
        <w:sz w:val="28"/>
        <w:szCs w:val="28"/>
      </w:rPr>
    </w:lvl>
    <w:lvl w:ilvl="7" w:tentative="0">
      <w:start w:val="1"/>
      <w:numFmt w:val="decimal"/>
      <w:isLgl/>
      <w:lvlText w:val="%1.%2.%3.%4.%5.%6.%7.%8."/>
      <w:lvlJc w:val="left"/>
      <w:pPr>
        <w:ind w:left="1418" w:hanging="1418"/>
      </w:pPr>
      <w:rPr>
        <w:rFonts w:hint="default" w:ascii="宋体" w:hAnsi="宋体" w:eastAsia="宋体" w:cs="宋体"/>
        <w:sz w:val="24"/>
        <w:szCs w:val="24"/>
      </w:rPr>
    </w:lvl>
    <w:lvl w:ilvl="8" w:tentative="0">
      <w:start w:val="1"/>
      <w:numFmt w:val="decimal"/>
      <w:isLgl/>
      <w:lvlText w:val="%1.%2.%3.%4.%5.%6.%7.%8.%9."/>
      <w:lvlJc w:val="left"/>
      <w:pPr>
        <w:ind w:left="1558" w:hanging="1558"/>
      </w:pPr>
      <w:rPr>
        <w:rFonts w:hint="eastAsia"/>
      </w:r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9DIjvOsrUqqMKHlAc/r5MfA8Ftg=" w:salt="x6a9e360jb7ypXOQEJWp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A3798"/>
    <w:rsid w:val="000032CF"/>
    <w:rsid w:val="00043A90"/>
    <w:rsid w:val="003A53EF"/>
    <w:rsid w:val="00512108"/>
    <w:rsid w:val="00571F22"/>
    <w:rsid w:val="00596560"/>
    <w:rsid w:val="005C4E2A"/>
    <w:rsid w:val="006A2634"/>
    <w:rsid w:val="006B5905"/>
    <w:rsid w:val="00827470"/>
    <w:rsid w:val="00A75B72"/>
    <w:rsid w:val="00AD11C8"/>
    <w:rsid w:val="00AD5E40"/>
    <w:rsid w:val="00CB3D3B"/>
    <w:rsid w:val="00D07258"/>
    <w:rsid w:val="00EF1A69"/>
    <w:rsid w:val="02010002"/>
    <w:rsid w:val="0227263C"/>
    <w:rsid w:val="03D62972"/>
    <w:rsid w:val="04EE6171"/>
    <w:rsid w:val="06312C09"/>
    <w:rsid w:val="063A5373"/>
    <w:rsid w:val="06AC0C01"/>
    <w:rsid w:val="073D1F5C"/>
    <w:rsid w:val="07DE071F"/>
    <w:rsid w:val="08813610"/>
    <w:rsid w:val="0A256823"/>
    <w:rsid w:val="0AD41965"/>
    <w:rsid w:val="0BF779EE"/>
    <w:rsid w:val="0CD30D01"/>
    <w:rsid w:val="0D02202B"/>
    <w:rsid w:val="0DB87A4F"/>
    <w:rsid w:val="0DBA7538"/>
    <w:rsid w:val="0DE436D6"/>
    <w:rsid w:val="0E7B3A93"/>
    <w:rsid w:val="0EE06B2A"/>
    <w:rsid w:val="11147D2E"/>
    <w:rsid w:val="12634E12"/>
    <w:rsid w:val="13EB21F9"/>
    <w:rsid w:val="15542020"/>
    <w:rsid w:val="157E72E3"/>
    <w:rsid w:val="17127A9D"/>
    <w:rsid w:val="18BA663E"/>
    <w:rsid w:val="1912663D"/>
    <w:rsid w:val="19CD56B0"/>
    <w:rsid w:val="1CAD4667"/>
    <w:rsid w:val="21C35326"/>
    <w:rsid w:val="24403C64"/>
    <w:rsid w:val="25224424"/>
    <w:rsid w:val="29D5793B"/>
    <w:rsid w:val="29DE45E0"/>
    <w:rsid w:val="29F735FC"/>
    <w:rsid w:val="2B360C64"/>
    <w:rsid w:val="2C0A3B4A"/>
    <w:rsid w:val="2C7933DB"/>
    <w:rsid w:val="31244B45"/>
    <w:rsid w:val="34C2344F"/>
    <w:rsid w:val="357A3798"/>
    <w:rsid w:val="36F6488E"/>
    <w:rsid w:val="37DE3C9F"/>
    <w:rsid w:val="3CEA51FC"/>
    <w:rsid w:val="3EE40B57"/>
    <w:rsid w:val="405A5D32"/>
    <w:rsid w:val="437328C1"/>
    <w:rsid w:val="485043E2"/>
    <w:rsid w:val="4A767D68"/>
    <w:rsid w:val="4BEA539E"/>
    <w:rsid w:val="4CC513A2"/>
    <w:rsid w:val="4DEB6377"/>
    <w:rsid w:val="4E710F72"/>
    <w:rsid w:val="4FD453CB"/>
    <w:rsid w:val="4FE319FB"/>
    <w:rsid w:val="4FEC5B2E"/>
    <w:rsid w:val="5080549C"/>
    <w:rsid w:val="53547C35"/>
    <w:rsid w:val="55024E68"/>
    <w:rsid w:val="5591793D"/>
    <w:rsid w:val="57593BBD"/>
    <w:rsid w:val="57B34FD7"/>
    <w:rsid w:val="59B461B6"/>
    <w:rsid w:val="5B18070E"/>
    <w:rsid w:val="5C3371C2"/>
    <w:rsid w:val="5E175F25"/>
    <w:rsid w:val="5E1D07CE"/>
    <w:rsid w:val="5EA762EA"/>
    <w:rsid w:val="5EB114A4"/>
    <w:rsid w:val="60B6359B"/>
    <w:rsid w:val="61803A4D"/>
    <w:rsid w:val="636C365E"/>
    <w:rsid w:val="64A73938"/>
    <w:rsid w:val="64FF1E9F"/>
    <w:rsid w:val="66200847"/>
    <w:rsid w:val="67786A75"/>
    <w:rsid w:val="67C14C8B"/>
    <w:rsid w:val="68C71C15"/>
    <w:rsid w:val="6C302F53"/>
    <w:rsid w:val="6CD754F9"/>
    <w:rsid w:val="6E6F223C"/>
    <w:rsid w:val="6E7E7ED8"/>
    <w:rsid w:val="6E9B38EE"/>
    <w:rsid w:val="6FBB7E47"/>
    <w:rsid w:val="70F57389"/>
    <w:rsid w:val="714D0F73"/>
    <w:rsid w:val="723D4B43"/>
    <w:rsid w:val="73B569E9"/>
    <w:rsid w:val="746F2FAE"/>
    <w:rsid w:val="7508386C"/>
    <w:rsid w:val="75462AD0"/>
    <w:rsid w:val="75DF1A6B"/>
    <w:rsid w:val="76B92C06"/>
    <w:rsid w:val="7744492C"/>
    <w:rsid w:val="78697846"/>
    <w:rsid w:val="797177C8"/>
    <w:rsid w:val="7A4A6662"/>
    <w:rsid w:val="7C772DC5"/>
    <w:rsid w:val="7D62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5"/>
    <w:qFormat/>
    <w:uiPriority w:val="0"/>
    <w:pPr>
      <w:keepNext/>
      <w:keepLines/>
      <w:spacing w:before="360" w:after="80"/>
      <w:ind w:left="432" w:hanging="432"/>
      <w:outlineLvl w:val="0"/>
    </w:pPr>
    <w:rPr>
      <w:rFonts w:eastAsia="黑体" w:asciiTheme="majorHAnsi" w:hAnsiTheme="majorHAnsi" w:cstheme="majorBidi"/>
      <w:color w:val="2E54A1" w:themeColor="accent1" w:themeShade="BF"/>
      <w:sz w:val="32"/>
      <w:szCs w:val="40"/>
      <w:lang w:eastAsia="en-US"/>
    </w:rPr>
  </w:style>
  <w:style w:type="paragraph" w:styleId="4">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5">
    <w:name w:val="heading 3"/>
    <w:basedOn w:val="4"/>
    <w:next w:val="1"/>
    <w:unhideWhenUsed/>
    <w:qFormat/>
    <w:uiPriority w:val="0"/>
    <w:pPr>
      <w:numPr>
        <w:ilvl w:val="2"/>
        <w:numId w:val="1"/>
      </w:numPr>
      <w:spacing w:line="413" w:lineRule="auto"/>
      <w:outlineLvl w:val="2"/>
    </w:pPr>
    <w:rPr>
      <w:rFonts w:ascii="黑体" w:hAnsi="黑体" w:eastAsia="黑体" w:cs="黑体"/>
      <w:sz w:val="36"/>
      <w:szCs w:val="36"/>
    </w:rPr>
  </w:style>
  <w:style w:type="paragraph" w:styleId="6">
    <w:name w:val="heading 4"/>
    <w:basedOn w:val="1"/>
    <w:next w:val="1"/>
    <w:link w:val="4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4"/>
    <w:unhideWhenUsed/>
    <w:qFormat/>
    <w:uiPriority w:val="0"/>
    <w:pPr>
      <w:keepNext/>
      <w:keepLines/>
      <w:spacing w:before="280" w:after="290" w:line="376" w:lineRule="auto"/>
      <w:outlineLvl w:val="4"/>
    </w:pPr>
    <w:rPr>
      <w:b/>
      <w:bCs/>
      <w:sz w:val="28"/>
      <w:szCs w:val="28"/>
    </w:rPr>
  </w:style>
  <w:style w:type="paragraph" w:styleId="8">
    <w:name w:val="heading 6"/>
    <w:basedOn w:val="1"/>
    <w:next w:val="9"/>
    <w:link w:val="46"/>
    <w:semiHidden/>
    <w:unhideWhenUsed/>
    <w:qFormat/>
    <w:uiPriority w:val="0"/>
    <w:pPr>
      <w:keepNext/>
      <w:keepLines/>
      <w:spacing w:line="360" w:lineRule="auto"/>
      <w:ind w:left="1151" w:hanging="1151"/>
      <w:jc w:val="left"/>
      <w:outlineLvl w:val="5"/>
    </w:pPr>
    <w:rPr>
      <w:rFonts w:ascii="Cambria" w:hAnsi="Cambria" w:eastAsia="宋体" w:cs="Times New Roman"/>
      <w:bCs/>
      <w:sz w:val="24"/>
      <w:szCs w:val="24"/>
    </w:rPr>
  </w:style>
  <w:style w:type="paragraph" w:styleId="10">
    <w:name w:val="heading 7"/>
    <w:basedOn w:val="1"/>
    <w:next w:val="1"/>
    <w:link w:val="47"/>
    <w:semiHidden/>
    <w:unhideWhenUsed/>
    <w:qFormat/>
    <w:uiPriority w:val="0"/>
    <w:pPr>
      <w:keepNext/>
      <w:keepLines/>
      <w:spacing w:before="240" w:after="64" w:line="317" w:lineRule="auto"/>
      <w:ind w:left="1296" w:hanging="1296"/>
      <w:outlineLvl w:val="6"/>
    </w:pPr>
    <w:rPr>
      <w:rFonts w:asciiTheme="minorEastAsia" w:hAnsiTheme="minorEastAsia" w:cstheme="minorEastAsia"/>
      <w:b/>
      <w:sz w:val="24"/>
      <w:szCs w:val="28"/>
    </w:rPr>
  </w:style>
  <w:style w:type="paragraph" w:styleId="11">
    <w:name w:val="heading 8"/>
    <w:basedOn w:val="1"/>
    <w:next w:val="1"/>
    <w:link w:val="48"/>
    <w:semiHidden/>
    <w:unhideWhenUsed/>
    <w:qFormat/>
    <w:uiPriority w:val="0"/>
    <w:pPr>
      <w:keepNext/>
      <w:keepLines/>
      <w:spacing w:line="360" w:lineRule="auto"/>
      <w:ind w:left="1440" w:hanging="1440"/>
      <w:outlineLvl w:val="7"/>
    </w:pPr>
    <w:rPr>
      <w:rFonts w:asciiTheme="majorHAnsi" w:hAnsiTheme="majorHAnsi" w:eastAsiaTheme="majorEastAsia" w:cstheme="majorBidi"/>
      <w:snapToGrid w:val="0"/>
      <w:color w:val="000000"/>
      <w:sz w:val="28"/>
      <w:szCs w:val="24"/>
      <w:lang w:eastAsia="en-US"/>
    </w:rPr>
  </w:style>
  <w:style w:type="paragraph" w:styleId="12">
    <w:name w:val="heading 9"/>
    <w:basedOn w:val="1"/>
    <w:next w:val="1"/>
    <w:link w:val="49"/>
    <w:semiHidden/>
    <w:unhideWhenUsed/>
    <w:qFormat/>
    <w:uiPriority w:val="0"/>
    <w:pPr>
      <w:keepNext/>
      <w:keepLines/>
      <w:spacing w:before="240" w:after="64" w:line="317" w:lineRule="auto"/>
      <w:ind w:left="1583" w:hanging="1583"/>
      <w:outlineLvl w:val="8"/>
    </w:pPr>
    <w:rPr>
      <w:rFonts w:ascii="Arial" w:hAnsi="Arial" w:eastAsia="黑体" w:cstheme="minorEastAsia"/>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9">
    <w:name w:val="Normal Indent"/>
    <w:basedOn w:val="1"/>
    <w:qFormat/>
    <w:uiPriority w:val="0"/>
    <w:pPr>
      <w:ind w:firstLine="420" w:firstLineChars="200"/>
    </w:pPr>
  </w:style>
  <w:style w:type="paragraph" w:styleId="13">
    <w:name w:val="annotation text"/>
    <w:basedOn w:val="1"/>
    <w:link w:val="42"/>
    <w:qFormat/>
    <w:uiPriority w:val="0"/>
    <w:pPr>
      <w:ind w:firstLine="560"/>
      <w:jc w:val="left"/>
    </w:pPr>
    <w:rPr>
      <w:rFonts w:asciiTheme="minorEastAsia" w:hAnsiTheme="minorEastAsia" w:cstheme="minorEastAsia"/>
      <w:sz w:val="28"/>
      <w:szCs w:val="28"/>
    </w:rPr>
  </w:style>
  <w:style w:type="paragraph" w:styleId="14">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5">
    <w:name w:val="Plain Text"/>
    <w:basedOn w:val="1"/>
    <w:qFormat/>
    <w:uiPriority w:val="99"/>
    <w:rPr>
      <w:rFonts w:ascii="宋体" w:hAnsi="Courier New" w:eastAsia="华文宋体" w:cs="Times New Roman"/>
      <w:kern w:val="0"/>
      <w:sz w:val="28"/>
      <w:szCs w:val="28"/>
    </w:rPr>
  </w:style>
  <w:style w:type="paragraph" w:styleId="16">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1">
    <w:name w:val="Normal (Web)"/>
    <w:basedOn w:val="1"/>
    <w:unhideWhenUsed/>
    <w:qFormat/>
    <w:uiPriority w:val="0"/>
    <w:pPr>
      <w:spacing w:beforeAutospacing="1" w:afterAutospacing="1"/>
      <w:jc w:val="left"/>
    </w:pPr>
    <w:rPr>
      <w:rFonts w:cs="Times New Roman"/>
      <w:kern w:val="0"/>
      <w:sz w:val="24"/>
    </w:rPr>
  </w:style>
  <w:style w:type="paragraph" w:styleId="22">
    <w:name w:val="Body Text First Indent"/>
    <w:basedOn w:val="3"/>
    <w:next w:val="23"/>
    <w:unhideWhenUsed/>
    <w:qFormat/>
    <w:uiPriority w:val="99"/>
    <w:pPr>
      <w:ind w:firstLine="420" w:firstLineChars="100"/>
    </w:pPr>
  </w:style>
  <w:style w:type="paragraph" w:styleId="23">
    <w:name w:val="Body Text First Indent 2"/>
    <w:basedOn w:val="14"/>
    <w:next w:val="22"/>
    <w:semiHidden/>
    <w:qFormat/>
    <w:uiPriority w:val="0"/>
    <w:pPr>
      <w:spacing w:before="100" w:beforeAutospacing="1" w:after="120" w:line="360" w:lineRule="auto"/>
      <w:ind w:left="420"/>
    </w:pPr>
    <w:rPr>
      <w:rFonts w:ascii="Calibri" w:hAnsi="Calibri" w:eastAsia="Arial Unicode MS"/>
      <w:color w:val="000000"/>
      <w:sz w:val="20"/>
    </w:rPr>
  </w:style>
  <w:style w:type="table" w:styleId="25">
    <w:name w:val="Table Grid"/>
    <w:basedOn w:val="2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800080"/>
      <w:u w:val="none"/>
    </w:rPr>
  </w:style>
  <w:style w:type="character" w:styleId="29">
    <w:name w:val="Emphasis"/>
    <w:basedOn w:val="26"/>
    <w:qFormat/>
    <w:uiPriority w:val="0"/>
    <w:rPr>
      <w:b/>
    </w:rPr>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0"/>
    <w:pPr>
      <w:ind w:firstLine="420" w:firstLineChars="200"/>
    </w:pPr>
    <w:rPr>
      <w:szCs w:val="21"/>
    </w:rPr>
  </w:style>
  <w:style w:type="paragraph" w:styleId="41">
    <w:name w:val="List Paragraph"/>
    <w:basedOn w:val="1"/>
    <w:unhideWhenUsed/>
    <w:qFormat/>
    <w:uiPriority w:val="99"/>
    <w:pPr>
      <w:ind w:firstLine="420" w:firstLineChars="200"/>
    </w:pPr>
  </w:style>
  <w:style w:type="character" w:customStyle="1" w:styleId="42">
    <w:name w:val="批注文字 字符"/>
    <w:basedOn w:val="26"/>
    <w:link w:val="13"/>
    <w:qFormat/>
    <w:uiPriority w:val="0"/>
    <w:rPr>
      <w:rFonts w:asciiTheme="minorEastAsia" w:hAnsiTheme="minorEastAsia" w:eastAsiaTheme="minorEastAsia" w:cstheme="minorEastAsia"/>
      <w:kern w:val="2"/>
      <w:sz w:val="28"/>
      <w:szCs w:val="28"/>
    </w:rPr>
  </w:style>
  <w:style w:type="character" w:customStyle="1" w:styleId="43">
    <w:name w:val="标题 4 字符"/>
    <w:basedOn w:val="26"/>
    <w:link w:val="6"/>
    <w:qFormat/>
    <w:uiPriority w:val="0"/>
    <w:rPr>
      <w:rFonts w:asciiTheme="majorHAnsi" w:hAnsiTheme="majorHAnsi" w:eastAsiaTheme="majorEastAsia" w:cstheme="majorBidi"/>
      <w:b/>
      <w:bCs/>
      <w:kern w:val="2"/>
      <w:sz w:val="28"/>
      <w:szCs w:val="28"/>
    </w:rPr>
  </w:style>
  <w:style w:type="character" w:customStyle="1" w:styleId="44">
    <w:name w:val="标题 5 字符"/>
    <w:basedOn w:val="26"/>
    <w:link w:val="7"/>
    <w:semiHidden/>
    <w:qFormat/>
    <w:uiPriority w:val="0"/>
    <w:rPr>
      <w:rFonts w:asciiTheme="minorHAnsi" w:hAnsiTheme="minorHAnsi" w:eastAsiaTheme="minorEastAsia" w:cstheme="minorBidi"/>
      <w:b/>
      <w:bCs/>
      <w:kern w:val="2"/>
      <w:sz w:val="28"/>
      <w:szCs w:val="28"/>
    </w:rPr>
  </w:style>
  <w:style w:type="character" w:customStyle="1" w:styleId="45">
    <w:name w:val="标题 1 字符"/>
    <w:basedOn w:val="26"/>
    <w:link w:val="2"/>
    <w:qFormat/>
    <w:uiPriority w:val="0"/>
    <w:rPr>
      <w:rFonts w:eastAsia="黑体" w:asciiTheme="majorHAnsi" w:hAnsiTheme="majorHAnsi" w:cstheme="majorBidi"/>
      <w:color w:val="2E54A1" w:themeColor="accent1" w:themeShade="BF"/>
      <w:kern w:val="2"/>
      <w:sz w:val="32"/>
      <w:szCs w:val="40"/>
      <w:lang w:eastAsia="en-US"/>
    </w:rPr>
  </w:style>
  <w:style w:type="character" w:customStyle="1" w:styleId="46">
    <w:name w:val="标题 6 字符"/>
    <w:basedOn w:val="26"/>
    <w:link w:val="8"/>
    <w:semiHidden/>
    <w:qFormat/>
    <w:uiPriority w:val="0"/>
    <w:rPr>
      <w:rFonts w:ascii="Cambria" w:hAnsi="Cambria"/>
      <w:bCs/>
      <w:kern w:val="2"/>
      <w:sz w:val="24"/>
      <w:szCs w:val="24"/>
    </w:rPr>
  </w:style>
  <w:style w:type="character" w:customStyle="1" w:styleId="47">
    <w:name w:val="标题 7 字符"/>
    <w:basedOn w:val="26"/>
    <w:link w:val="10"/>
    <w:semiHidden/>
    <w:qFormat/>
    <w:uiPriority w:val="0"/>
    <w:rPr>
      <w:rFonts w:asciiTheme="minorEastAsia" w:hAnsiTheme="minorEastAsia" w:eastAsiaTheme="minorEastAsia" w:cstheme="minorEastAsia"/>
      <w:b/>
      <w:kern w:val="2"/>
      <w:sz w:val="24"/>
      <w:szCs w:val="28"/>
    </w:rPr>
  </w:style>
  <w:style w:type="character" w:customStyle="1" w:styleId="48">
    <w:name w:val="标题 8 字符"/>
    <w:basedOn w:val="26"/>
    <w:link w:val="11"/>
    <w:semiHidden/>
    <w:qFormat/>
    <w:uiPriority w:val="0"/>
    <w:rPr>
      <w:rFonts w:asciiTheme="majorHAnsi" w:hAnsiTheme="majorHAnsi" w:eastAsiaTheme="majorEastAsia" w:cstheme="majorBidi"/>
      <w:snapToGrid w:val="0"/>
      <w:color w:val="000000"/>
      <w:kern w:val="2"/>
      <w:sz w:val="28"/>
      <w:szCs w:val="24"/>
      <w:lang w:eastAsia="en-US"/>
    </w:rPr>
  </w:style>
  <w:style w:type="character" w:customStyle="1" w:styleId="49">
    <w:name w:val="标题 9 字符"/>
    <w:basedOn w:val="26"/>
    <w:link w:val="12"/>
    <w:semiHidden/>
    <w:qFormat/>
    <w:uiPriority w:val="0"/>
    <w:rPr>
      <w:rFonts w:ascii="Arial" w:hAnsi="Arial" w:eastAsia="黑体" w:cstheme="minorEastAsia"/>
      <w:kern w:val="2"/>
      <w:sz w:val="21"/>
      <w:szCs w:val="28"/>
    </w:rPr>
  </w:style>
  <w:style w:type="paragraph" w:customStyle="1" w:styleId="50">
    <w:name w:val="Table Text"/>
    <w:basedOn w:val="1"/>
    <w:semiHidden/>
    <w:qFormat/>
    <w:uiPriority w:val="0"/>
    <w:rPr>
      <w:rFonts w:ascii="宋体" w:hAnsi="宋体" w:eastAsia="宋体" w:cs="宋体"/>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hover"/>
    <w:basedOn w:val="26"/>
    <w:qFormat/>
    <w:uiPriority w:val="0"/>
    <w:rPr>
      <w:color w:val="2590EB"/>
    </w:rPr>
  </w:style>
  <w:style w:type="character" w:customStyle="1" w:styleId="53">
    <w:name w:val="hover1"/>
    <w:basedOn w:val="26"/>
    <w:qFormat/>
    <w:uiPriority w:val="0"/>
    <w:rPr>
      <w:color w:val="2590EB"/>
    </w:rPr>
  </w:style>
  <w:style w:type="character" w:customStyle="1" w:styleId="54">
    <w:name w:val="hover2"/>
    <w:basedOn w:val="26"/>
    <w:qFormat/>
    <w:uiPriority w:val="0"/>
  </w:style>
  <w:style w:type="character" w:customStyle="1" w:styleId="55">
    <w:name w:val="mini-outputtext1"/>
    <w:basedOn w:val="26"/>
    <w:qFormat/>
    <w:uiPriority w:val="0"/>
  </w:style>
  <w:style w:type="character" w:customStyle="1" w:styleId="56">
    <w:name w:val="hover3"/>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18595</Words>
  <Characters>19973</Characters>
  <Lines>223</Lines>
  <Paragraphs>63</Paragraphs>
  <TotalTime>9</TotalTime>
  <ScaleCrop>false</ScaleCrop>
  <LinksUpToDate>false</LinksUpToDate>
  <CharactersWithSpaces>20385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2024-12-04T00:50:00Z</dcterms:created>
  <dc:creator>又又</dc:creator>
  <cp:lastModifiedBy>又又</cp:lastModifiedBy>
  <cp:lastPrinted>2025-10-17T08:30:00Z</cp:lastPrinted>
  <dcterms:modified xsi:type="dcterms:W3CDTF">2025-11-26T07:33:50Z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4AA9F83B3B1E42EEB95B46D71D3F9A93_13</vt:lpwstr>
  </property>
  <property fmtid="{D5CDD505-2E9C-101B-9397-08002B2CF9AE}" pid="4" name="KSOTemplateDocerSaveRecord">
    <vt:lpwstr>eyJoZGlkIjoiNmQ2NTM3YzVmZDZkMTVjM2I0MTEyMjhkNTA3ZTQ1ODgiLCJ1c2VySWQiOiIzNDk5MDEzOTAifQ==</vt:lpwstr>
  </property>
</Properties>
</file>