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CD606">
      <w:pPr>
        <w:spacing w:line="24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drawing>
          <wp:inline distT="0" distB="0" distL="114300" distR="114300">
            <wp:extent cx="7107555" cy="5012055"/>
            <wp:effectExtent l="0" t="0" r="4445" b="4445"/>
            <wp:docPr id="1" name="图片 1" descr="监理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监理封皮"/>
                    <pic:cNvPicPr>
                      <a:picLocks noChangeAspect="1"/>
                    </pic:cNvPicPr>
                  </pic:nvPicPr>
                  <pic:blipFill>
                    <a:blip r:embed="rId25"/>
                    <a:stretch>
                      <a:fillRect/>
                    </a:stretch>
                  </pic:blipFill>
                  <pic:spPr>
                    <a:xfrm rot="5400000">
                      <a:off x="0" y="0"/>
                      <a:ext cx="7107555" cy="5012055"/>
                    </a:xfrm>
                    <a:prstGeom prst="rect">
                      <a:avLst/>
                    </a:prstGeom>
                  </pic:spPr>
                </pic:pic>
              </a:graphicData>
            </a:graphic>
          </wp:inline>
        </w:drawing>
      </w:r>
    </w:p>
    <w:p w14:paraId="425771B2">
      <w:pP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br w:type="page"/>
      </w:r>
      <w:bookmarkStart w:id="99" w:name="_GoBack"/>
      <w:bookmarkEnd w:id="99"/>
    </w:p>
    <w:p w14:paraId="7BBD63FB">
      <w:pPr>
        <w:spacing w:line="240" w:lineRule="auto"/>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延津县先进制造业开发区管理委员会化工园区第二污水处理厂改造及配套明管专管、中水回用管网建设项目一期工程</w:t>
      </w:r>
    </w:p>
    <w:p w14:paraId="46C37A7A">
      <w:pPr>
        <w:rPr>
          <w:rFonts w:hint="eastAsia" w:ascii="宋体" w:hAnsi="宋体"/>
          <w:color w:val="auto"/>
          <w:szCs w:val="21"/>
          <w:highlight w:val="none"/>
        </w:rPr>
      </w:pPr>
    </w:p>
    <w:p w14:paraId="659BEDBE">
      <w:pPr>
        <w:pStyle w:val="26"/>
        <w:rPr>
          <w:rFonts w:hint="eastAsia"/>
          <w:color w:val="auto"/>
          <w:highlight w:val="none"/>
        </w:rPr>
      </w:pPr>
    </w:p>
    <w:p w14:paraId="53924F7D">
      <w:pPr>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lang w:val="en-US" w:eastAsia="zh-CN"/>
        </w:rPr>
        <w:t xml:space="preserve">监 理 </w:t>
      </w:r>
      <w:r>
        <w:rPr>
          <w:rFonts w:hint="eastAsia" w:ascii="黑体" w:hAnsi="宋体" w:eastAsia="黑体"/>
          <w:color w:val="auto"/>
          <w:sz w:val="72"/>
          <w:szCs w:val="72"/>
          <w:highlight w:val="none"/>
        </w:rPr>
        <w:t>招 标 文 件</w:t>
      </w:r>
    </w:p>
    <w:p w14:paraId="7ED9F7BB">
      <w:pPr>
        <w:spacing w:line="540" w:lineRule="exact"/>
        <w:ind w:firstLine="3636" w:firstLineChars="1006"/>
        <w:jc w:val="both"/>
        <w:rPr>
          <w:rFonts w:hint="eastAsia" w:ascii="宋体" w:hAnsi="宋体" w:eastAsia="宋体"/>
          <w:b/>
          <w:bCs/>
          <w:color w:val="auto"/>
          <w:sz w:val="36"/>
          <w:szCs w:val="36"/>
          <w:highlight w:val="none"/>
          <w:lang w:eastAsia="zh-CN"/>
        </w:rPr>
      </w:pPr>
    </w:p>
    <w:p w14:paraId="5D3A2074">
      <w:pPr>
        <w:spacing w:line="540" w:lineRule="exact"/>
        <w:ind w:firstLine="3636" w:firstLineChars="1006"/>
        <w:jc w:val="both"/>
        <w:rPr>
          <w:rFonts w:hint="eastAsia" w:ascii="宋体" w:hAnsi="宋体" w:eastAsia="宋体"/>
          <w:b/>
          <w:bCs/>
          <w:color w:val="auto"/>
          <w:sz w:val="36"/>
          <w:szCs w:val="36"/>
          <w:highlight w:val="none"/>
          <w:lang w:eastAsia="zh-CN"/>
        </w:rPr>
      </w:pPr>
    </w:p>
    <w:p w14:paraId="37515247">
      <w:pPr>
        <w:spacing w:line="540" w:lineRule="exact"/>
        <w:jc w:val="center"/>
        <w:rPr>
          <w:rFonts w:hint="default" w:ascii="宋体" w:hAnsi="宋体" w:eastAsia="宋体"/>
          <w:b/>
          <w:bCs/>
          <w:color w:val="auto"/>
          <w:sz w:val="36"/>
          <w:szCs w:val="36"/>
          <w:highlight w:val="none"/>
          <w:lang w:val="en-US" w:eastAsia="zh-CN"/>
        </w:rPr>
      </w:pPr>
      <w:r>
        <w:rPr>
          <w:rFonts w:hint="eastAsia" w:ascii="宋体" w:hAnsi="宋体" w:eastAsia="宋体"/>
          <w:b/>
          <w:bCs/>
          <w:color w:val="auto"/>
          <w:sz w:val="36"/>
          <w:szCs w:val="36"/>
          <w:highlight w:val="none"/>
          <w:lang w:eastAsia="zh-CN"/>
        </w:rPr>
        <w:t>项目编号：延交财招标采购【2025】</w:t>
      </w:r>
      <w:r>
        <w:rPr>
          <w:rFonts w:hint="eastAsia" w:ascii="宋体" w:hAnsi="宋体" w:eastAsia="宋体"/>
          <w:b/>
          <w:bCs/>
          <w:color w:val="auto"/>
          <w:sz w:val="36"/>
          <w:szCs w:val="36"/>
          <w:highlight w:val="none"/>
          <w:lang w:val="en-US" w:eastAsia="zh-CN"/>
        </w:rPr>
        <w:t>052</w:t>
      </w:r>
      <w:r>
        <w:rPr>
          <w:rFonts w:hint="eastAsia" w:ascii="宋体" w:hAnsi="宋体" w:eastAsia="宋体"/>
          <w:b/>
          <w:bCs/>
          <w:color w:val="auto"/>
          <w:sz w:val="36"/>
          <w:szCs w:val="36"/>
          <w:highlight w:val="none"/>
          <w:lang w:eastAsia="zh-CN"/>
        </w:rPr>
        <w:t>号</w:t>
      </w:r>
    </w:p>
    <w:p w14:paraId="253B466D">
      <w:pPr>
        <w:spacing w:line="540" w:lineRule="exact"/>
        <w:ind w:firstLine="437"/>
        <w:jc w:val="center"/>
        <w:rPr>
          <w:rFonts w:hint="eastAsia" w:ascii="宋体" w:hAnsi="宋体" w:eastAsia="宋体"/>
          <w:color w:val="auto"/>
          <w:szCs w:val="21"/>
          <w:highlight w:val="none"/>
          <w:lang w:eastAsia="zh-CN"/>
        </w:rPr>
      </w:pPr>
    </w:p>
    <w:p w14:paraId="02912F9F">
      <w:pPr>
        <w:spacing w:line="540" w:lineRule="exact"/>
        <w:ind w:firstLine="437"/>
        <w:rPr>
          <w:rFonts w:hint="eastAsia" w:ascii="宋体" w:hAnsi="宋体"/>
          <w:color w:val="auto"/>
          <w:szCs w:val="21"/>
          <w:highlight w:val="none"/>
        </w:rPr>
      </w:pPr>
    </w:p>
    <w:p w14:paraId="04A6F2BB">
      <w:pPr>
        <w:spacing w:line="540" w:lineRule="exact"/>
        <w:ind w:firstLine="437"/>
        <w:rPr>
          <w:rFonts w:hint="eastAsia" w:ascii="宋体" w:hAnsi="宋体"/>
          <w:color w:val="auto"/>
          <w:szCs w:val="21"/>
          <w:highlight w:val="none"/>
        </w:rPr>
      </w:pPr>
    </w:p>
    <w:p w14:paraId="5B177306">
      <w:pPr>
        <w:spacing w:line="540" w:lineRule="exact"/>
        <w:ind w:firstLine="437"/>
        <w:rPr>
          <w:rFonts w:hint="eastAsia" w:ascii="宋体" w:hAnsi="宋体"/>
          <w:color w:val="auto"/>
          <w:szCs w:val="21"/>
          <w:highlight w:val="none"/>
        </w:rPr>
      </w:pPr>
    </w:p>
    <w:p w14:paraId="51829D4C">
      <w:pPr>
        <w:spacing w:line="540" w:lineRule="exact"/>
        <w:ind w:firstLine="437"/>
        <w:rPr>
          <w:rFonts w:hint="eastAsia" w:ascii="宋体" w:hAnsi="宋体"/>
          <w:color w:val="auto"/>
          <w:szCs w:val="21"/>
          <w:highlight w:val="none"/>
        </w:rPr>
      </w:pPr>
    </w:p>
    <w:p w14:paraId="528AF765">
      <w:pPr>
        <w:spacing w:line="540" w:lineRule="exact"/>
        <w:ind w:firstLine="437"/>
        <w:rPr>
          <w:rFonts w:hint="eastAsia" w:ascii="宋体" w:hAnsi="宋体"/>
          <w:color w:val="auto"/>
          <w:szCs w:val="21"/>
          <w:highlight w:val="none"/>
        </w:rPr>
      </w:pPr>
    </w:p>
    <w:p w14:paraId="76A0485B">
      <w:pPr>
        <w:spacing w:line="540" w:lineRule="exact"/>
        <w:ind w:firstLine="437"/>
        <w:rPr>
          <w:rFonts w:hint="eastAsia" w:ascii="宋体" w:hAnsi="宋体"/>
          <w:color w:val="auto"/>
          <w:szCs w:val="21"/>
          <w:highlight w:val="none"/>
        </w:rPr>
      </w:pPr>
    </w:p>
    <w:p w14:paraId="331C593C">
      <w:pPr>
        <w:spacing w:line="540" w:lineRule="exact"/>
        <w:ind w:firstLine="437"/>
        <w:rPr>
          <w:rFonts w:hint="eastAsia" w:ascii="宋体" w:hAnsi="宋体"/>
          <w:color w:val="auto"/>
          <w:szCs w:val="21"/>
          <w:highlight w:val="none"/>
        </w:rPr>
      </w:pPr>
    </w:p>
    <w:p w14:paraId="4EBFA868">
      <w:pPr>
        <w:spacing w:line="360" w:lineRule="auto"/>
        <w:ind w:firstLine="437"/>
        <w:rPr>
          <w:rFonts w:hint="eastAsia" w:ascii="黑体" w:hAnsi="宋体" w:eastAsia="黑体"/>
          <w:color w:val="auto"/>
          <w:sz w:val="32"/>
          <w:szCs w:val="32"/>
          <w:highlight w:val="none"/>
          <w:u w:val="none"/>
        </w:rPr>
      </w:pPr>
    </w:p>
    <w:p w14:paraId="3CFAFC5D">
      <w:pPr>
        <w:spacing w:line="360" w:lineRule="auto"/>
        <w:ind w:firstLine="437"/>
        <w:rPr>
          <w:rFonts w:hint="eastAsia" w:ascii="黑体" w:hAnsi="宋体" w:eastAsia="黑体"/>
          <w:color w:val="auto"/>
          <w:sz w:val="32"/>
          <w:szCs w:val="32"/>
          <w:highlight w:val="none"/>
          <w:u w:val="none"/>
        </w:rPr>
      </w:pPr>
    </w:p>
    <w:p w14:paraId="3A1370BE">
      <w:pPr>
        <w:spacing w:line="360" w:lineRule="auto"/>
        <w:ind w:firstLine="437"/>
        <w:rPr>
          <w:rFonts w:hint="eastAsia" w:ascii="黑体" w:hAnsi="宋体" w:eastAsia="黑体"/>
          <w:color w:val="auto"/>
          <w:sz w:val="32"/>
          <w:szCs w:val="32"/>
          <w:highlight w:val="none"/>
          <w:u w:val="none"/>
        </w:rPr>
      </w:pPr>
    </w:p>
    <w:p w14:paraId="62B949A1">
      <w:pPr>
        <w:spacing w:line="360" w:lineRule="auto"/>
        <w:ind w:firstLine="437"/>
        <w:rPr>
          <w:rFonts w:hint="eastAsia" w:ascii="黑体" w:hAnsi="宋体" w:eastAsia="黑体"/>
          <w:color w:val="auto"/>
          <w:sz w:val="32"/>
          <w:szCs w:val="32"/>
          <w:highlight w:val="none"/>
          <w:u w:val="none"/>
        </w:rPr>
      </w:pPr>
    </w:p>
    <w:p w14:paraId="1FEC128C">
      <w:pPr>
        <w:spacing w:line="360" w:lineRule="auto"/>
        <w:ind w:firstLine="437"/>
        <w:rPr>
          <w:rFonts w:hint="eastAsia" w:ascii="黑体" w:hAnsi="宋体" w:eastAsia="黑体"/>
          <w:color w:val="auto"/>
          <w:sz w:val="36"/>
          <w:szCs w:val="36"/>
          <w:highlight w:val="none"/>
          <w:u w:val="none"/>
        </w:rPr>
      </w:pPr>
      <w:r>
        <w:rPr>
          <w:rFonts w:hint="eastAsia" w:ascii="黑体" w:hAnsi="宋体" w:eastAsia="黑体"/>
          <w:color w:val="auto"/>
          <w:sz w:val="36"/>
          <w:szCs w:val="36"/>
          <w:highlight w:val="none"/>
          <w:u w:val="none"/>
        </w:rPr>
        <w:t>招 标 人</w:t>
      </w:r>
      <w:r>
        <w:rPr>
          <w:rFonts w:hint="eastAsia" w:ascii="黑体" w:hAnsi="宋体" w:eastAsia="黑体"/>
          <w:color w:val="auto"/>
          <w:sz w:val="36"/>
          <w:szCs w:val="36"/>
          <w:highlight w:val="none"/>
          <w:u w:val="none"/>
          <w:lang w:val="en-US" w:eastAsia="zh-CN"/>
        </w:rPr>
        <w:t xml:space="preserve"> </w:t>
      </w:r>
      <w:r>
        <w:rPr>
          <w:rFonts w:hint="eastAsia" w:ascii="黑体" w:hAnsi="宋体" w:eastAsia="黑体"/>
          <w:color w:val="auto"/>
          <w:sz w:val="36"/>
          <w:szCs w:val="36"/>
          <w:highlight w:val="none"/>
          <w:u w:val="none"/>
        </w:rPr>
        <w:t>：</w:t>
      </w:r>
      <w:r>
        <w:rPr>
          <w:rFonts w:hint="eastAsia" w:ascii="黑体" w:hAnsi="黑体" w:eastAsia="黑体" w:cs="黑体"/>
          <w:color w:val="auto"/>
          <w:sz w:val="36"/>
          <w:szCs w:val="36"/>
          <w:highlight w:val="none"/>
          <w:u w:val="none"/>
          <w:lang w:eastAsia="zh-CN"/>
        </w:rPr>
        <w:t xml:space="preserve">延津县先进制造业开发区管理委员会 </w:t>
      </w:r>
      <w:r>
        <w:rPr>
          <w:rFonts w:hint="eastAsia" w:ascii="黑体" w:hAnsi="黑体" w:eastAsia="黑体" w:cs="黑体"/>
          <w:color w:val="auto"/>
          <w:sz w:val="36"/>
          <w:szCs w:val="36"/>
          <w:highlight w:val="none"/>
          <w:u w:val="none"/>
        </w:rPr>
        <w:t xml:space="preserve"> </w:t>
      </w:r>
      <w:r>
        <w:rPr>
          <w:rFonts w:hint="eastAsia" w:ascii="黑体" w:hAnsi="宋体" w:eastAsia="黑体"/>
          <w:color w:val="auto"/>
          <w:sz w:val="36"/>
          <w:szCs w:val="36"/>
          <w:highlight w:val="none"/>
          <w:u w:val="none"/>
        </w:rPr>
        <w:t xml:space="preserve"> </w:t>
      </w:r>
    </w:p>
    <w:p w14:paraId="1BF958BA">
      <w:pPr>
        <w:spacing w:line="360" w:lineRule="auto"/>
        <w:ind w:firstLine="437"/>
        <w:rPr>
          <w:rFonts w:hint="eastAsia" w:ascii="宋体" w:hAnsi="宋体"/>
          <w:color w:val="auto"/>
          <w:sz w:val="36"/>
          <w:szCs w:val="36"/>
          <w:highlight w:val="none"/>
          <w:u w:val="none"/>
        </w:rPr>
      </w:pPr>
      <w:r>
        <w:rPr>
          <w:rFonts w:hint="eastAsia" w:ascii="黑体" w:hAnsi="宋体" w:eastAsia="黑体"/>
          <w:color w:val="auto"/>
          <w:sz w:val="36"/>
          <w:szCs w:val="36"/>
          <w:highlight w:val="none"/>
          <w:u w:val="none"/>
        </w:rPr>
        <w:t>代理机构</w:t>
      </w:r>
      <w:r>
        <w:rPr>
          <w:rFonts w:hint="eastAsia" w:ascii="黑体" w:hAnsi="宋体" w:eastAsia="黑体"/>
          <w:color w:val="auto"/>
          <w:sz w:val="36"/>
          <w:szCs w:val="36"/>
          <w:highlight w:val="none"/>
          <w:u w:val="none"/>
          <w:lang w:val="en-US" w:eastAsia="zh-CN"/>
        </w:rPr>
        <w:t xml:space="preserve"> </w:t>
      </w:r>
      <w:r>
        <w:rPr>
          <w:rFonts w:hint="eastAsia" w:ascii="黑体" w:hAnsi="宋体" w:eastAsia="黑体"/>
          <w:color w:val="auto"/>
          <w:sz w:val="36"/>
          <w:szCs w:val="36"/>
          <w:highlight w:val="none"/>
          <w:u w:val="none"/>
        </w:rPr>
        <w:t>：</w:t>
      </w:r>
      <w:r>
        <w:rPr>
          <w:rFonts w:hint="eastAsia" w:ascii="黑体" w:hAnsi="黑体" w:eastAsia="黑体" w:cs="黑体"/>
          <w:color w:val="auto"/>
          <w:sz w:val="36"/>
          <w:szCs w:val="36"/>
          <w:highlight w:val="none"/>
          <w:u w:val="none"/>
          <w:lang w:eastAsia="zh-CN"/>
        </w:rPr>
        <w:t xml:space="preserve">河南鸿轩工程管理有限公司 </w:t>
      </w:r>
    </w:p>
    <w:p w14:paraId="3B2694DD">
      <w:pPr>
        <w:spacing w:line="540" w:lineRule="exact"/>
        <w:ind w:firstLine="437"/>
        <w:rPr>
          <w:rFonts w:hint="eastAsia" w:ascii="宋体" w:hAnsi="宋体" w:eastAsia="黑体"/>
          <w:color w:val="auto"/>
          <w:sz w:val="32"/>
          <w:szCs w:val="32"/>
          <w:highlight w:val="none"/>
          <w:u w:val="none"/>
          <w:lang w:eastAsia="zh-CN"/>
        </w:rPr>
      </w:pPr>
      <w:r>
        <w:rPr>
          <w:rFonts w:hint="eastAsia" w:ascii="黑体" w:hAnsi="黑体" w:eastAsia="黑体" w:cs="黑体"/>
          <w:color w:val="auto"/>
          <w:sz w:val="36"/>
          <w:szCs w:val="36"/>
          <w:highlight w:val="none"/>
          <w:u w:val="none"/>
        </w:rPr>
        <w:t xml:space="preserve">日  </w:t>
      </w:r>
      <w:r>
        <w:rPr>
          <w:rFonts w:hint="eastAsia" w:ascii="黑体" w:hAnsi="黑体" w:eastAsia="黑体" w:cs="黑体"/>
          <w:color w:val="auto"/>
          <w:sz w:val="36"/>
          <w:szCs w:val="36"/>
          <w:highlight w:val="none"/>
          <w:u w:val="none"/>
          <w:lang w:val="en-US" w:eastAsia="zh-CN"/>
        </w:rPr>
        <w:t xml:space="preserve">   </w:t>
      </w:r>
      <w:r>
        <w:rPr>
          <w:rFonts w:hint="eastAsia" w:ascii="黑体" w:hAnsi="黑体" w:eastAsia="黑体" w:cs="黑体"/>
          <w:color w:val="auto"/>
          <w:sz w:val="36"/>
          <w:szCs w:val="36"/>
          <w:highlight w:val="none"/>
          <w:u w:val="none"/>
        </w:rPr>
        <w:t>期：</w:t>
      </w:r>
      <w:r>
        <w:rPr>
          <w:rFonts w:hint="eastAsia" w:ascii="黑体" w:hAnsi="黑体" w:eastAsia="黑体" w:cs="黑体"/>
          <w:color w:val="auto"/>
          <w:sz w:val="36"/>
          <w:szCs w:val="36"/>
          <w:highlight w:val="none"/>
          <w:u w:val="none"/>
          <w:lang w:eastAsia="zh-CN"/>
        </w:rPr>
        <w:t>二零二</w:t>
      </w:r>
      <w:r>
        <w:rPr>
          <w:rFonts w:hint="eastAsia" w:ascii="黑体" w:hAnsi="黑体" w:eastAsia="黑体" w:cs="黑体"/>
          <w:color w:val="auto"/>
          <w:sz w:val="36"/>
          <w:szCs w:val="36"/>
          <w:highlight w:val="none"/>
          <w:u w:val="none"/>
          <w:lang w:val="en-US" w:eastAsia="zh-CN"/>
        </w:rPr>
        <w:t>五</w:t>
      </w:r>
      <w:r>
        <w:rPr>
          <w:rFonts w:hint="eastAsia" w:ascii="黑体" w:hAnsi="黑体" w:eastAsia="黑体" w:cs="黑体"/>
          <w:color w:val="auto"/>
          <w:sz w:val="36"/>
          <w:szCs w:val="36"/>
          <w:highlight w:val="none"/>
          <w:u w:val="none"/>
          <w:lang w:eastAsia="zh-CN"/>
        </w:rPr>
        <w:t>年</w:t>
      </w:r>
      <w:r>
        <w:rPr>
          <w:rFonts w:hint="eastAsia" w:ascii="黑体" w:hAnsi="黑体" w:eastAsia="黑体" w:cs="黑体"/>
          <w:color w:val="auto"/>
          <w:sz w:val="36"/>
          <w:szCs w:val="36"/>
          <w:highlight w:val="none"/>
          <w:u w:val="none"/>
          <w:lang w:val="en-US" w:eastAsia="zh-CN"/>
        </w:rPr>
        <w:t>九</w:t>
      </w:r>
      <w:r>
        <w:rPr>
          <w:rFonts w:hint="eastAsia" w:ascii="黑体" w:hAnsi="黑体" w:eastAsia="黑体" w:cs="黑体"/>
          <w:color w:val="auto"/>
          <w:sz w:val="36"/>
          <w:szCs w:val="36"/>
          <w:highlight w:val="none"/>
          <w:u w:val="none"/>
          <w:lang w:eastAsia="zh-CN"/>
        </w:rPr>
        <w:t>月</w:t>
      </w:r>
      <w:r>
        <w:rPr>
          <w:rFonts w:hint="eastAsia" w:ascii="黑体" w:hAnsi="黑体" w:eastAsia="黑体" w:cs="黑体"/>
          <w:color w:val="auto"/>
          <w:sz w:val="36"/>
          <w:szCs w:val="36"/>
          <w:highlight w:val="none"/>
          <w:u w:val="none"/>
          <w:lang w:val="en-US" w:eastAsia="zh-CN"/>
        </w:rPr>
        <w:t xml:space="preserve"> </w:t>
      </w:r>
      <w:r>
        <w:rPr>
          <w:rFonts w:hint="eastAsia" w:ascii="黑体" w:hAnsi="黑体" w:eastAsia="黑体" w:cs="黑体"/>
          <w:color w:val="auto"/>
          <w:sz w:val="32"/>
          <w:szCs w:val="32"/>
          <w:highlight w:val="none"/>
          <w:u w:val="none"/>
          <w:lang w:val="en-US" w:eastAsia="zh-CN"/>
        </w:rPr>
        <w:t xml:space="preserve">  </w:t>
      </w:r>
    </w:p>
    <w:p w14:paraId="2190D0B2">
      <w:pPr>
        <w:spacing w:line="314" w:lineRule="auto"/>
        <w:rPr>
          <w:rFonts w:hint="eastAsia" w:ascii="Arial" w:eastAsia="宋体"/>
          <w:color w:val="auto"/>
          <w:sz w:val="21"/>
          <w:highlight w:val="none"/>
          <w:lang w:eastAsia="zh-CN"/>
        </w:rPr>
      </w:pPr>
    </w:p>
    <w:p w14:paraId="3D526588">
      <w:pPr>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3D5AA287">
      <w:pPr>
        <w:spacing w:line="314" w:lineRule="auto"/>
        <w:rPr>
          <w:rFonts w:hint="eastAsia" w:ascii="Arial" w:eastAsia="宋体"/>
          <w:color w:val="auto"/>
          <w:sz w:val="21"/>
          <w:highlight w:val="none"/>
          <w:lang w:eastAsia="zh-CN"/>
        </w:rPr>
      </w:pPr>
    </w:p>
    <w:p w14:paraId="18589B15">
      <w:pPr>
        <w:spacing w:line="315" w:lineRule="auto"/>
        <w:rPr>
          <w:rFonts w:ascii="Arial"/>
          <w:color w:val="auto"/>
          <w:sz w:val="21"/>
          <w:highlight w:val="none"/>
        </w:rPr>
      </w:pPr>
    </w:p>
    <w:sdt>
      <w:sdtPr>
        <w:rPr>
          <w:rFonts w:ascii="宋体" w:hAnsi="宋体" w:eastAsia="宋体" w:cs="Arial"/>
          <w:b/>
          <w:bCs/>
          <w:snapToGrid w:val="0"/>
          <w:color w:val="auto"/>
          <w:kern w:val="0"/>
          <w:sz w:val="40"/>
          <w:szCs w:val="40"/>
          <w:highlight w:val="none"/>
          <w:lang w:val="en-US" w:eastAsia="en-US" w:bidi="ar-SA"/>
        </w:rPr>
        <w:id w:val="147463869"/>
        <w15:color w:val="DBDBDB"/>
        <w:docPartObj>
          <w:docPartGallery w:val="Table of Contents"/>
          <w:docPartUnique/>
        </w:docPartObj>
      </w:sdtPr>
      <w:sdtEndPr>
        <w:rPr>
          <w:rFonts w:ascii="Arial" w:hAnsi="Arial" w:eastAsia="Arial" w:cs="Arial"/>
          <w:b/>
          <w:bCs/>
          <w:snapToGrid w:val="0"/>
          <w:color w:val="auto"/>
          <w:kern w:val="0"/>
          <w:sz w:val="21"/>
          <w:szCs w:val="22"/>
          <w:highlight w:val="none"/>
          <w:lang w:val="en-US" w:eastAsia="en-US" w:bidi="ar-SA"/>
        </w:rPr>
      </w:sdtEndPr>
      <w:sdtContent>
        <w:p w14:paraId="6A0039AA">
          <w:pPr>
            <w:spacing w:before="0" w:beforeLines="0" w:after="0" w:afterLines="0" w:line="240" w:lineRule="auto"/>
            <w:ind w:left="0" w:leftChars="0" w:right="0" w:rightChars="0" w:firstLine="0" w:firstLineChars="0"/>
            <w:jc w:val="center"/>
            <w:rPr>
              <w:b/>
              <w:bCs/>
              <w:color w:val="auto"/>
              <w:sz w:val="40"/>
              <w:szCs w:val="40"/>
              <w:highlight w:val="none"/>
            </w:rPr>
          </w:pP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630DC02A">
          <w:pPr>
            <w:pStyle w:val="27"/>
            <w:tabs>
              <w:tab w:val="right" w:leader="dot" w:pos="8846"/>
            </w:tabs>
            <w:rPr>
              <w:rFonts w:hint="eastAsia" w:ascii="微软雅黑" w:hAnsi="微软雅黑" w:eastAsia="微软雅黑" w:cs="微软雅黑"/>
              <w:snapToGrid w:val="0"/>
              <w:color w:val="auto"/>
              <w:kern w:val="0"/>
              <w:sz w:val="22"/>
              <w:szCs w:val="22"/>
              <w:highlight w:val="none"/>
              <w:lang w:val="en-US" w:eastAsia="en-US" w:bidi="ar-SA"/>
            </w:rPr>
          </w:pPr>
          <w:r>
            <w:rPr>
              <w:color w:val="auto"/>
              <w:sz w:val="22"/>
              <w:szCs w:val="22"/>
              <w:highlight w:val="none"/>
            </w:rPr>
            <w:fldChar w:fldCharType="begin"/>
          </w:r>
          <w:r>
            <w:rPr>
              <w:color w:val="auto"/>
              <w:sz w:val="22"/>
              <w:szCs w:val="22"/>
              <w:highlight w:val="none"/>
            </w:rPr>
            <w:instrText xml:space="preserve">TOC \o "1-3" \h \u </w:instrText>
          </w:r>
          <w:r>
            <w:rPr>
              <w:color w:val="auto"/>
              <w:sz w:val="22"/>
              <w:szCs w:val="22"/>
              <w:highlight w:val="none"/>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HYPERLINK \l _Toc644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第一章 招标公告</w:t>
          </w:r>
          <w:r>
            <w:rPr>
              <w:rFonts w:hint="eastAsia" w:ascii="微软雅黑" w:hAnsi="微软雅黑" w:eastAsia="微软雅黑" w:cs="微软雅黑"/>
              <w:snapToGrid w:val="0"/>
              <w:color w:val="auto"/>
              <w:kern w:val="0"/>
              <w:sz w:val="22"/>
              <w:szCs w:val="22"/>
              <w:highlight w:val="none"/>
              <w:lang w:val="en-US" w:eastAsia="en-US" w:bidi="ar-SA"/>
            </w:rPr>
            <w:tab/>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PAGEREF _Toc644 \h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4</w:t>
          </w:r>
          <w:r>
            <w:rPr>
              <w:rFonts w:hint="eastAsia" w:ascii="微软雅黑" w:hAnsi="微软雅黑" w:eastAsia="微软雅黑" w:cs="微软雅黑"/>
              <w:snapToGrid w:val="0"/>
              <w:color w:val="auto"/>
              <w:kern w:val="0"/>
              <w:sz w:val="22"/>
              <w:szCs w:val="22"/>
              <w:highlight w:val="none"/>
              <w:lang w:val="en-US" w:eastAsia="en-US" w:bidi="ar-SA"/>
            </w:rPr>
            <w:fldChar w:fldCharType="end"/>
          </w:r>
          <w:r>
            <w:rPr>
              <w:rFonts w:hint="eastAsia" w:ascii="微软雅黑" w:hAnsi="微软雅黑" w:eastAsia="微软雅黑" w:cs="微软雅黑"/>
              <w:snapToGrid w:val="0"/>
              <w:color w:val="auto"/>
              <w:kern w:val="0"/>
              <w:sz w:val="22"/>
              <w:szCs w:val="22"/>
              <w:highlight w:val="none"/>
              <w:lang w:val="en-US" w:eastAsia="en-US" w:bidi="ar-SA"/>
            </w:rPr>
            <w:fldChar w:fldCharType="end"/>
          </w:r>
        </w:p>
        <w:p w14:paraId="0A7ADF08">
          <w:pPr>
            <w:pStyle w:val="27"/>
            <w:tabs>
              <w:tab w:val="right" w:leader="dot" w:pos="8846"/>
            </w:tabs>
            <w:rPr>
              <w:rFonts w:hint="eastAsia" w:ascii="微软雅黑" w:hAnsi="微软雅黑" w:eastAsia="微软雅黑" w:cs="微软雅黑"/>
              <w:snapToGrid w:val="0"/>
              <w:color w:val="auto"/>
              <w:kern w:val="0"/>
              <w:sz w:val="22"/>
              <w:szCs w:val="22"/>
              <w:highlight w:val="none"/>
              <w:lang w:val="en-US" w:eastAsia="en-US" w:bidi="ar-SA"/>
            </w:rPr>
          </w:pP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HYPERLINK \l _Toc28759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第二章 投标人须知</w:t>
          </w:r>
          <w:r>
            <w:rPr>
              <w:rFonts w:hint="eastAsia" w:ascii="微软雅黑" w:hAnsi="微软雅黑" w:eastAsia="微软雅黑" w:cs="微软雅黑"/>
              <w:snapToGrid w:val="0"/>
              <w:color w:val="auto"/>
              <w:kern w:val="0"/>
              <w:sz w:val="22"/>
              <w:szCs w:val="22"/>
              <w:highlight w:val="none"/>
              <w:lang w:val="en-US" w:eastAsia="en-US" w:bidi="ar-SA"/>
            </w:rPr>
            <w:tab/>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PAGEREF _Toc28759 \h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9</w:t>
          </w:r>
          <w:r>
            <w:rPr>
              <w:rFonts w:hint="eastAsia" w:ascii="微软雅黑" w:hAnsi="微软雅黑" w:eastAsia="微软雅黑" w:cs="微软雅黑"/>
              <w:snapToGrid w:val="0"/>
              <w:color w:val="auto"/>
              <w:kern w:val="0"/>
              <w:sz w:val="22"/>
              <w:szCs w:val="22"/>
              <w:highlight w:val="none"/>
              <w:lang w:val="en-US" w:eastAsia="en-US" w:bidi="ar-SA"/>
            </w:rPr>
            <w:fldChar w:fldCharType="end"/>
          </w:r>
          <w:r>
            <w:rPr>
              <w:rFonts w:hint="eastAsia" w:ascii="微软雅黑" w:hAnsi="微软雅黑" w:eastAsia="微软雅黑" w:cs="微软雅黑"/>
              <w:snapToGrid w:val="0"/>
              <w:color w:val="auto"/>
              <w:kern w:val="0"/>
              <w:sz w:val="22"/>
              <w:szCs w:val="22"/>
              <w:highlight w:val="none"/>
              <w:lang w:val="en-US" w:eastAsia="en-US" w:bidi="ar-SA"/>
            </w:rPr>
            <w:fldChar w:fldCharType="end"/>
          </w:r>
        </w:p>
        <w:p w14:paraId="15DEAEBE">
          <w:pPr>
            <w:pStyle w:val="27"/>
            <w:tabs>
              <w:tab w:val="right" w:leader="dot" w:pos="8846"/>
            </w:tabs>
            <w:rPr>
              <w:rFonts w:hint="eastAsia" w:ascii="微软雅黑" w:hAnsi="微软雅黑" w:eastAsia="微软雅黑" w:cs="微软雅黑"/>
              <w:snapToGrid w:val="0"/>
              <w:color w:val="auto"/>
              <w:kern w:val="0"/>
              <w:sz w:val="22"/>
              <w:szCs w:val="22"/>
              <w:highlight w:val="none"/>
              <w:lang w:val="en-US" w:eastAsia="en-US" w:bidi="ar-SA"/>
            </w:rPr>
          </w:pP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HYPERLINK \l _Toc3559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第三章 评标办法（综合评估法）</w:t>
          </w:r>
          <w:r>
            <w:rPr>
              <w:rFonts w:hint="eastAsia" w:ascii="微软雅黑" w:hAnsi="微软雅黑" w:eastAsia="微软雅黑" w:cs="微软雅黑"/>
              <w:snapToGrid w:val="0"/>
              <w:color w:val="auto"/>
              <w:kern w:val="0"/>
              <w:sz w:val="22"/>
              <w:szCs w:val="22"/>
              <w:highlight w:val="none"/>
              <w:lang w:val="en-US" w:eastAsia="en-US" w:bidi="ar-SA"/>
            </w:rPr>
            <w:tab/>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PAGEREF _Toc3559 \h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25</w:t>
          </w:r>
          <w:r>
            <w:rPr>
              <w:rFonts w:hint="eastAsia" w:ascii="微软雅黑" w:hAnsi="微软雅黑" w:eastAsia="微软雅黑" w:cs="微软雅黑"/>
              <w:snapToGrid w:val="0"/>
              <w:color w:val="auto"/>
              <w:kern w:val="0"/>
              <w:sz w:val="22"/>
              <w:szCs w:val="22"/>
              <w:highlight w:val="none"/>
              <w:lang w:val="en-US" w:eastAsia="en-US" w:bidi="ar-SA"/>
            </w:rPr>
            <w:fldChar w:fldCharType="end"/>
          </w:r>
          <w:r>
            <w:rPr>
              <w:rFonts w:hint="eastAsia" w:ascii="微软雅黑" w:hAnsi="微软雅黑" w:eastAsia="微软雅黑" w:cs="微软雅黑"/>
              <w:snapToGrid w:val="0"/>
              <w:color w:val="auto"/>
              <w:kern w:val="0"/>
              <w:sz w:val="22"/>
              <w:szCs w:val="22"/>
              <w:highlight w:val="none"/>
              <w:lang w:val="en-US" w:eastAsia="en-US" w:bidi="ar-SA"/>
            </w:rPr>
            <w:fldChar w:fldCharType="end"/>
          </w:r>
        </w:p>
        <w:p w14:paraId="2A072543">
          <w:pPr>
            <w:pStyle w:val="27"/>
            <w:tabs>
              <w:tab w:val="right" w:leader="dot" w:pos="8846"/>
            </w:tabs>
            <w:rPr>
              <w:rFonts w:hint="eastAsia" w:ascii="微软雅黑" w:hAnsi="微软雅黑" w:eastAsia="微软雅黑" w:cs="微软雅黑"/>
              <w:snapToGrid w:val="0"/>
              <w:color w:val="auto"/>
              <w:kern w:val="0"/>
              <w:sz w:val="22"/>
              <w:szCs w:val="22"/>
              <w:highlight w:val="none"/>
              <w:lang w:val="en-US" w:eastAsia="en-US" w:bidi="ar-SA"/>
            </w:rPr>
          </w:pP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HYPERLINK \l _Toc5278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第四章 合同条款</w:t>
          </w:r>
          <w:r>
            <w:rPr>
              <w:rFonts w:hint="eastAsia" w:ascii="微软雅黑" w:hAnsi="微软雅黑" w:eastAsia="微软雅黑" w:cs="微软雅黑"/>
              <w:snapToGrid w:val="0"/>
              <w:color w:val="auto"/>
              <w:kern w:val="0"/>
              <w:sz w:val="22"/>
              <w:szCs w:val="22"/>
              <w:highlight w:val="none"/>
              <w:lang w:val="en-US" w:eastAsia="en-US" w:bidi="ar-SA"/>
            </w:rPr>
            <w:tab/>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PAGEREF _Toc5278 \h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29</w:t>
          </w:r>
          <w:r>
            <w:rPr>
              <w:rFonts w:hint="eastAsia" w:ascii="微软雅黑" w:hAnsi="微软雅黑" w:eastAsia="微软雅黑" w:cs="微软雅黑"/>
              <w:snapToGrid w:val="0"/>
              <w:color w:val="auto"/>
              <w:kern w:val="0"/>
              <w:sz w:val="22"/>
              <w:szCs w:val="22"/>
              <w:highlight w:val="none"/>
              <w:lang w:val="en-US" w:eastAsia="en-US" w:bidi="ar-SA"/>
            </w:rPr>
            <w:fldChar w:fldCharType="end"/>
          </w:r>
          <w:r>
            <w:rPr>
              <w:rFonts w:hint="eastAsia" w:ascii="微软雅黑" w:hAnsi="微软雅黑" w:eastAsia="微软雅黑" w:cs="微软雅黑"/>
              <w:snapToGrid w:val="0"/>
              <w:color w:val="auto"/>
              <w:kern w:val="0"/>
              <w:sz w:val="22"/>
              <w:szCs w:val="22"/>
              <w:highlight w:val="none"/>
              <w:lang w:val="en-US" w:eastAsia="en-US" w:bidi="ar-SA"/>
            </w:rPr>
            <w:fldChar w:fldCharType="end"/>
          </w:r>
        </w:p>
        <w:p w14:paraId="2F57C063">
          <w:pPr>
            <w:pStyle w:val="27"/>
            <w:tabs>
              <w:tab w:val="right" w:leader="dot" w:pos="8846"/>
            </w:tabs>
            <w:rPr>
              <w:rFonts w:hint="eastAsia" w:ascii="微软雅黑" w:hAnsi="微软雅黑" w:eastAsia="微软雅黑" w:cs="微软雅黑"/>
              <w:snapToGrid w:val="0"/>
              <w:color w:val="auto"/>
              <w:kern w:val="0"/>
              <w:sz w:val="22"/>
              <w:szCs w:val="22"/>
              <w:highlight w:val="none"/>
              <w:lang w:val="en-US" w:eastAsia="en-US" w:bidi="ar-SA"/>
            </w:rPr>
          </w:pP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HYPERLINK \l _Toc6353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第五章 监理规范</w:t>
          </w:r>
          <w:r>
            <w:rPr>
              <w:rFonts w:hint="eastAsia" w:ascii="微软雅黑" w:hAnsi="微软雅黑" w:eastAsia="微软雅黑" w:cs="微软雅黑"/>
              <w:snapToGrid w:val="0"/>
              <w:color w:val="auto"/>
              <w:kern w:val="0"/>
              <w:sz w:val="22"/>
              <w:szCs w:val="22"/>
              <w:highlight w:val="none"/>
              <w:lang w:val="en-US" w:eastAsia="en-US" w:bidi="ar-SA"/>
            </w:rPr>
            <w:tab/>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PAGEREF _Toc6353 \h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57</w:t>
          </w:r>
          <w:r>
            <w:rPr>
              <w:rFonts w:hint="eastAsia" w:ascii="微软雅黑" w:hAnsi="微软雅黑" w:eastAsia="微软雅黑" w:cs="微软雅黑"/>
              <w:snapToGrid w:val="0"/>
              <w:color w:val="auto"/>
              <w:kern w:val="0"/>
              <w:sz w:val="22"/>
              <w:szCs w:val="22"/>
              <w:highlight w:val="none"/>
              <w:lang w:val="en-US" w:eastAsia="en-US" w:bidi="ar-SA"/>
            </w:rPr>
            <w:fldChar w:fldCharType="end"/>
          </w:r>
          <w:r>
            <w:rPr>
              <w:rFonts w:hint="eastAsia" w:ascii="微软雅黑" w:hAnsi="微软雅黑" w:eastAsia="微软雅黑" w:cs="微软雅黑"/>
              <w:snapToGrid w:val="0"/>
              <w:color w:val="auto"/>
              <w:kern w:val="0"/>
              <w:sz w:val="22"/>
              <w:szCs w:val="22"/>
              <w:highlight w:val="none"/>
              <w:lang w:val="en-US" w:eastAsia="en-US" w:bidi="ar-SA"/>
            </w:rPr>
            <w:fldChar w:fldCharType="end"/>
          </w:r>
        </w:p>
        <w:p w14:paraId="25D59EE8">
          <w:pPr>
            <w:pStyle w:val="27"/>
            <w:tabs>
              <w:tab w:val="right" w:leader="dot" w:pos="8846"/>
            </w:tabs>
            <w:rPr>
              <w:rFonts w:hint="eastAsia" w:asciiTheme="minorEastAsia" w:hAnsiTheme="minorEastAsia" w:eastAsiaTheme="minorEastAsia" w:cstheme="minorEastAsia"/>
              <w:b w:val="0"/>
              <w:bCs w:val="0"/>
              <w:color w:val="auto"/>
              <w:sz w:val="28"/>
              <w:szCs w:val="28"/>
              <w:highlight w:val="none"/>
            </w:rPr>
          </w:pP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HYPERLINK \l _Toc30096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第六章 投标文件格式</w:t>
          </w:r>
          <w:r>
            <w:rPr>
              <w:rFonts w:hint="eastAsia" w:ascii="微软雅黑" w:hAnsi="微软雅黑" w:eastAsia="微软雅黑" w:cs="微软雅黑"/>
              <w:snapToGrid w:val="0"/>
              <w:color w:val="auto"/>
              <w:kern w:val="0"/>
              <w:sz w:val="22"/>
              <w:szCs w:val="22"/>
              <w:highlight w:val="none"/>
              <w:lang w:val="en-US" w:eastAsia="en-US" w:bidi="ar-SA"/>
            </w:rPr>
            <w:tab/>
          </w:r>
          <w:r>
            <w:rPr>
              <w:rFonts w:hint="eastAsia" w:ascii="微软雅黑" w:hAnsi="微软雅黑" w:eastAsia="微软雅黑" w:cs="微软雅黑"/>
              <w:snapToGrid w:val="0"/>
              <w:color w:val="auto"/>
              <w:kern w:val="0"/>
              <w:sz w:val="22"/>
              <w:szCs w:val="22"/>
              <w:highlight w:val="none"/>
              <w:lang w:val="en-US" w:eastAsia="en-US" w:bidi="ar-SA"/>
            </w:rPr>
            <w:fldChar w:fldCharType="begin"/>
          </w:r>
          <w:r>
            <w:rPr>
              <w:rFonts w:hint="eastAsia" w:ascii="微软雅黑" w:hAnsi="微软雅黑" w:eastAsia="微软雅黑" w:cs="微软雅黑"/>
              <w:snapToGrid w:val="0"/>
              <w:color w:val="auto"/>
              <w:kern w:val="0"/>
              <w:sz w:val="22"/>
              <w:szCs w:val="22"/>
              <w:highlight w:val="none"/>
              <w:lang w:val="en-US" w:eastAsia="en-US" w:bidi="ar-SA"/>
            </w:rPr>
            <w:instrText xml:space="preserve"> PAGEREF _Toc30096 \h </w:instrText>
          </w:r>
          <w:r>
            <w:rPr>
              <w:rFonts w:hint="eastAsia" w:ascii="微软雅黑" w:hAnsi="微软雅黑" w:eastAsia="微软雅黑" w:cs="微软雅黑"/>
              <w:snapToGrid w:val="0"/>
              <w:color w:val="auto"/>
              <w:kern w:val="0"/>
              <w:sz w:val="22"/>
              <w:szCs w:val="22"/>
              <w:highlight w:val="none"/>
              <w:lang w:val="en-US" w:eastAsia="en-US" w:bidi="ar-SA"/>
            </w:rPr>
            <w:fldChar w:fldCharType="separate"/>
          </w:r>
          <w:r>
            <w:rPr>
              <w:rFonts w:hint="eastAsia" w:ascii="微软雅黑" w:hAnsi="微软雅黑" w:eastAsia="微软雅黑" w:cs="微软雅黑"/>
              <w:snapToGrid w:val="0"/>
              <w:color w:val="auto"/>
              <w:kern w:val="0"/>
              <w:sz w:val="22"/>
              <w:szCs w:val="22"/>
              <w:highlight w:val="none"/>
              <w:lang w:val="en-US" w:eastAsia="en-US" w:bidi="ar-SA"/>
            </w:rPr>
            <w:t>58</w:t>
          </w:r>
          <w:r>
            <w:rPr>
              <w:rFonts w:hint="eastAsia" w:ascii="微软雅黑" w:hAnsi="微软雅黑" w:eastAsia="微软雅黑" w:cs="微软雅黑"/>
              <w:snapToGrid w:val="0"/>
              <w:color w:val="auto"/>
              <w:kern w:val="0"/>
              <w:sz w:val="22"/>
              <w:szCs w:val="22"/>
              <w:highlight w:val="none"/>
              <w:lang w:val="en-US" w:eastAsia="en-US" w:bidi="ar-SA"/>
            </w:rPr>
            <w:fldChar w:fldCharType="end"/>
          </w:r>
          <w:r>
            <w:rPr>
              <w:rFonts w:hint="eastAsia" w:ascii="微软雅黑" w:hAnsi="微软雅黑" w:eastAsia="微软雅黑" w:cs="微软雅黑"/>
              <w:snapToGrid w:val="0"/>
              <w:color w:val="auto"/>
              <w:kern w:val="0"/>
              <w:sz w:val="22"/>
              <w:szCs w:val="22"/>
              <w:highlight w:val="none"/>
              <w:lang w:val="en-US" w:eastAsia="en-US" w:bidi="ar-SA"/>
            </w:rPr>
            <w:fldChar w:fldCharType="end"/>
          </w:r>
        </w:p>
        <w:p w14:paraId="3EB3DBC6">
          <w:pPr>
            <w:pStyle w:val="28"/>
            <w:tabs>
              <w:tab w:val="right" w:leader="dot" w:pos="8846"/>
            </w:tabs>
            <w:rPr>
              <w:color w:val="auto"/>
              <w:highlight w:val="none"/>
            </w:rPr>
          </w:pPr>
        </w:p>
        <w:p w14:paraId="45D5630A">
          <w:pPr>
            <w:spacing w:line="224" w:lineRule="auto"/>
            <w:rPr>
              <w:color w:val="auto"/>
              <w:sz w:val="22"/>
              <w:szCs w:val="22"/>
              <w:highlight w:val="none"/>
            </w:rPr>
            <w:sectPr>
              <w:footerReference r:id="rId5" w:type="default"/>
              <w:pgSz w:w="11910" w:h="16845"/>
              <w:pgMar w:top="1431" w:right="1314" w:bottom="0" w:left="1750" w:header="0" w:footer="0" w:gutter="0"/>
              <w:pgNumType w:fmt="decimal"/>
              <w:cols w:space="720" w:num="1"/>
            </w:sectPr>
          </w:pPr>
          <w:r>
            <w:rPr>
              <w:color w:val="auto"/>
              <w:szCs w:val="22"/>
              <w:highlight w:val="none"/>
            </w:rPr>
            <w:fldChar w:fldCharType="end"/>
          </w:r>
        </w:p>
      </w:sdtContent>
    </w:sdt>
    <w:p w14:paraId="41A998FF">
      <w:pPr>
        <w:pStyle w:val="4"/>
        <w:numPr>
          <w:ilvl w:val="0"/>
          <w:numId w:val="1"/>
        </w:numPr>
        <w:spacing w:before="72" w:line="218" w:lineRule="auto"/>
        <w:ind w:left="3166"/>
        <w:outlineLvl w:val="0"/>
        <w:rPr>
          <w:color w:val="auto"/>
          <w:sz w:val="36"/>
          <w:szCs w:val="36"/>
          <w:highlight w:val="none"/>
          <w14:textOutline w14:w="6540" w14:cap="flat" w14:cmpd="sng">
            <w14:solidFill>
              <w14:srgbClr w14:val="000000"/>
            </w14:solidFill>
            <w14:prstDash w14:val="solid"/>
            <w14:miter w14:val="0"/>
          </w14:textOutline>
        </w:rPr>
      </w:pPr>
      <w:bookmarkStart w:id="0" w:name="_Toc644"/>
      <w:r>
        <w:rPr>
          <w:color w:val="auto"/>
          <w:sz w:val="36"/>
          <w:szCs w:val="36"/>
          <w:highlight w:val="none"/>
          <w14:textOutline w14:w="6540" w14:cap="flat" w14:cmpd="sng">
            <w14:solidFill>
              <w14:srgbClr w14:val="000000"/>
            </w14:solidFill>
            <w14:prstDash w14:val="solid"/>
            <w14:miter w14:val="0"/>
          </w14:textOutline>
        </w:rPr>
        <w:t>招标公告</w:t>
      </w:r>
      <w:bookmarkEnd w:id="0"/>
    </w:p>
    <w:p w14:paraId="095643ED">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eastAsia="zh-CN"/>
        </w:rPr>
        <w:t>延津县先进制造业开发区管理委员会化工园区第二污水处理厂改造及配套明管专管、中水回用管网建设项目一期工程</w:t>
      </w:r>
      <w:r>
        <w:rPr>
          <w:rFonts w:hint="eastAsia" w:ascii="微软雅黑" w:hAnsi="微软雅黑" w:eastAsia="微软雅黑" w:cs="微软雅黑"/>
          <w:b/>
          <w:bCs/>
          <w:color w:val="auto"/>
          <w:sz w:val="28"/>
          <w:szCs w:val="28"/>
          <w:highlight w:val="none"/>
        </w:rPr>
        <w:t>招标公告</w:t>
      </w:r>
    </w:p>
    <w:p w14:paraId="26F4B4D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1" w:name="_Toc12398"/>
      <w:r>
        <w:rPr>
          <w:rFonts w:hint="eastAsia" w:ascii="微软雅黑" w:hAnsi="微软雅黑" w:eastAsia="微软雅黑" w:cs="微软雅黑"/>
          <w:color w:val="auto"/>
          <w:sz w:val="22"/>
          <w:szCs w:val="22"/>
          <w:highlight w:val="none"/>
        </w:rPr>
        <w:t>1.招标条件</w:t>
      </w:r>
      <w:bookmarkEnd w:id="1"/>
    </w:p>
    <w:p w14:paraId="2B35D25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u w:val="none"/>
          <w:lang w:eastAsia="zh-CN"/>
        </w:rPr>
      </w:pPr>
      <w:r>
        <w:rPr>
          <w:rFonts w:hint="eastAsia" w:ascii="微软雅黑" w:hAnsi="微软雅黑" w:eastAsia="微软雅黑" w:cs="微软雅黑"/>
          <w:color w:val="auto"/>
          <w:sz w:val="22"/>
          <w:szCs w:val="22"/>
          <w:highlight w:val="none"/>
          <w:u w:val="none"/>
          <w:lang w:eastAsia="zh-CN"/>
        </w:rPr>
        <w:t>本招标项目延津县先进制造业开发区管理委员会化工园区第二污水处理厂改造及配套明管专管、中水回用管网建设项目一期工程已由相关行政审批部门批准建设，招标人为延津县先进制造业开发区管理委员会，建设资金来自</w:t>
      </w:r>
      <w:r>
        <w:rPr>
          <w:rFonts w:hint="eastAsia" w:ascii="微软雅黑" w:hAnsi="微软雅黑" w:eastAsia="微软雅黑" w:cs="微软雅黑"/>
          <w:color w:val="auto"/>
          <w:sz w:val="22"/>
          <w:szCs w:val="22"/>
          <w:highlight w:val="none"/>
          <w:u w:val="none"/>
          <w:lang w:val="en-US" w:eastAsia="zh-CN"/>
        </w:rPr>
        <w:t>财政</w:t>
      </w:r>
      <w:r>
        <w:rPr>
          <w:rFonts w:hint="eastAsia" w:ascii="微软雅黑" w:hAnsi="微软雅黑" w:eastAsia="微软雅黑" w:cs="微软雅黑"/>
          <w:color w:val="auto"/>
          <w:sz w:val="22"/>
          <w:szCs w:val="22"/>
          <w:highlight w:val="none"/>
          <w:u w:val="none"/>
          <w:lang w:eastAsia="zh-CN"/>
        </w:rPr>
        <w:t>资金，项目已具备招标条件，现对该项目进行公开招标。</w:t>
      </w:r>
    </w:p>
    <w:p w14:paraId="33AE838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u w:val="none"/>
          <w:lang w:eastAsia="zh-CN"/>
        </w:rPr>
      </w:pPr>
      <w:bookmarkStart w:id="2" w:name="_Toc9726"/>
      <w:r>
        <w:rPr>
          <w:rFonts w:hint="eastAsia" w:ascii="微软雅黑" w:hAnsi="微软雅黑" w:eastAsia="微软雅黑" w:cs="微软雅黑"/>
          <w:color w:val="auto"/>
          <w:sz w:val="22"/>
          <w:szCs w:val="22"/>
          <w:highlight w:val="none"/>
          <w:u w:val="none"/>
          <w:lang w:val="en-US" w:eastAsia="zh-CN"/>
        </w:rPr>
        <w:t>2.</w:t>
      </w:r>
      <w:r>
        <w:rPr>
          <w:rFonts w:hint="eastAsia" w:ascii="微软雅黑" w:hAnsi="微软雅黑" w:eastAsia="微软雅黑" w:cs="微软雅黑"/>
          <w:color w:val="auto"/>
          <w:sz w:val="22"/>
          <w:szCs w:val="22"/>
          <w:highlight w:val="none"/>
          <w:u w:val="none"/>
          <w:lang w:eastAsia="zh-CN"/>
        </w:rPr>
        <w:t>项目概况与招标范围</w:t>
      </w:r>
      <w:bookmarkEnd w:id="2"/>
    </w:p>
    <w:p w14:paraId="2D68C32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u w:val="none"/>
          <w:lang w:eastAsia="zh-CN"/>
        </w:rPr>
      </w:pPr>
      <w:r>
        <w:rPr>
          <w:rFonts w:hint="eastAsia" w:ascii="微软雅黑" w:hAnsi="微软雅黑" w:eastAsia="微软雅黑" w:cs="微软雅黑"/>
          <w:color w:val="auto"/>
          <w:sz w:val="22"/>
          <w:szCs w:val="22"/>
          <w:highlight w:val="none"/>
          <w:lang w:val="en-US" w:eastAsia="zh-CN"/>
        </w:rPr>
        <w:t>2.1</w:t>
      </w:r>
      <w:r>
        <w:rPr>
          <w:rFonts w:hint="eastAsia" w:ascii="微软雅黑" w:hAnsi="微软雅黑" w:eastAsia="微软雅黑" w:cs="微软雅黑"/>
          <w:color w:val="auto"/>
          <w:sz w:val="22"/>
          <w:szCs w:val="22"/>
          <w:highlight w:val="none"/>
          <w:u w:val="none"/>
          <w:lang w:val="en-US" w:eastAsia="zh-CN"/>
        </w:rPr>
        <w:t>项目名称：</w:t>
      </w:r>
      <w:r>
        <w:rPr>
          <w:rFonts w:hint="eastAsia" w:ascii="微软雅黑" w:hAnsi="微软雅黑" w:eastAsia="微软雅黑" w:cs="微软雅黑"/>
          <w:color w:val="auto"/>
          <w:sz w:val="22"/>
          <w:szCs w:val="22"/>
          <w:highlight w:val="none"/>
          <w:u w:val="none"/>
          <w:lang w:eastAsia="zh-CN"/>
        </w:rPr>
        <w:t>延津县先进制造业开发区管理委员会化工园区第二污水处理厂改造及配套明管专管、中水回用管网建设项目一期工程</w:t>
      </w:r>
    </w:p>
    <w:p w14:paraId="767E8736">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2.2</w:t>
      </w:r>
      <w:r>
        <w:rPr>
          <w:rFonts w:hint="eastAsia" w:ascii="微软雅黑" w:hAnsi="微软雅黑" w:eastAsia="微软雅黑" w:cs="微软雅黑"/>
          <w:color w:val="auto"/>
          <w:sz w:val="22"/>
          <w:szCs w:val="22"/>
          <w:highlight w:val="none"/>
          <w:u w:val="none"/>
          <w:lang w:val="en-US" w:eastAsia="zh-CN"/>
        </w:rPr>
        <w:t>项目编号：延交财招标采购【2025】052号</w:t>
      </w:r>
    </w:p>
    <w:p w14:paraId="184A933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2.3项目建设规模：本项目主要为化工废水排放明管专管系统建设废水排放管道长度约20km。其中明管系统包括晋开延化专用废水排放管网系统与公共废水排放管网系统，并配套建设调节池与附属用房。</w:t>
      </w:r>
    </w:p>
    <w:p w14:paraId="6046AA59">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2.4建设地点：新乡市延津县。</w:t>
      </w:r>
    </w:p>
    <w:p w14:paraId="284E6C6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2.5</w:t>
      </w:r>
      <w:r>
        <w:rPr>
          <w:rFonts w:hint="eastAsia" w:ascii="微软雅黑" w:hAnsi="微软雅黑" w:eastAsia="微软雅黑" w:cs="微软雅黑"/>
          <w:color w:val="auto"/>
          <w:sz w:val="22"/>
          <w:szCs w:val="22"/>
          <w:highlight w:val="none"/>
          <w:lang w:eastAsia="zh-CN"/>
        </w:rPr>
        <w:t>项目预算金额：</w:t>
      </w:r>
      <w:r>
        <w:rPr>
          <w:rFonts w:hint="eastAsia" w:ascii="微软雅黑" w:hAnsi="微软雅黑" w:eastAsia="微软雅黑" w:cs="微软雅黑"/>
          <w:color w:val="auto"/>
          <w:sz w:val="22"/>
          <w:szCs w:val="22"/>
          <w:highlight w:val="none"/>
          <w:lang w:val="en-US" w:eastAsia="zh-CN"/>
        </w:rPr>
        <w:t>23063466.00元</w:t>
      </w:r>
    </w:p>
    <w:p w14:paraId="1766B80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2.6招标范围：施工标段：施工图纸及工程量清单范围内全部内容。</w:t>
      </w:r>
    </w:p>
    <w:p w14:paraId="05CFF66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监理标段：施工阶段及保修阶段监理服务。</w:t>
      </w:r>
    </w:p>
    <w:p w14:paraId="53DD9769">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2.7资金来源和落实情况：财政资金，已落实；</w:t>
      </w:r>
    </w:p>
    <w:p w14:paraId="1ED134AD">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2.8计划工期：施工标段：130日历天，如非施工方原因造成工期延后，经甲方认可后工期顺延。监理标段：随施工工期及工程保修期；</w:t>
      </w:r>
    </w:p>
    <w:p w14:paraId="20696CCF">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2.9标段划分：二个标段。</w:t>
      </w:r>
    </w:p>
    <w:p w14:paraId="0DA99CC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2.10质量要求：合格；</w:t>
      </w:r>
    </w:p>
    <w:p w14:paraId="218D627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3" w:name="_Toc6612"/>
      <w:r>
        <w:rPr>
          <w:rFonts w:hint="eastAsia" w:ascii="微软雅黑" w:hAnsi="微软雅黑" w:eastAsia="微软雅黑" w:cs="微软雅黑"/>
          <w:color w:val="auto"/>
          <w:sz w:val="22"/>
          <w:szCs w:val="22"/>
          <w:highlight w:val="none"/>
        </w:rPr>
        <w:t>3.投标人资格要求</w:t>
      </w:r>
      <w:bookmarkEnd w:id="3"/>
    </w:p>
    <w:p w14:paraId="6D66125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3.1资质要求：</w:t>
      </w:r>
    </w:p>
    <w:p w14:paraId="27FEDA3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施工</w:t>
      </w:r>
      <w:r>
        <w:rPr>
          <w:rFonts w:hint="eastAsia" w:ascii="微软雅黑" w:hAnsi="微软雅黑" w:eastAsia="微软雅黑" w:cs="微软雅黑"/>
          <w:color w:val="auto"/>
          <w:sz w:val="22"/>
          <w:szCs w:val="22"/>
          <w:highlight w:val="none"/>
        </w:rPr>
        <w:t>标段：投标人应具有有效的企业营业执照或事业单位法人证书或其他有效登记证书，具有市政公用工程施工总承包</w:t>
      </w:r>
      <w:r>
        <w:rPr>
          <w:rFonts w:hint="eastAsia" w:ascii="微软雅黑" w:hAnsi="微软雅黑" w:eastAsia="微软雅黑" w:cs="微软雅黑"/>
          <w:color w:val="auto"/>
          <w:sz w:val="22"/>
          <w:szCs w:val="22"/>
          <w:highlight w:val="none"/>
          <w:lang w:val="en-US" w:eastAsia="zh-CN"/>
        </w:rPr>
        <w:t>贰</w:t>
      </w:r>
      <w:r>
        <w:rPr>
          <w:rFonts w:hint="eastAsia" w:ascii="微软雅黑" w:hAnsi="微软雅黑" w:eastAsia="微软雅黑" w:cs="微软雅黑"/>
          <w:color w:val="auto"/>
          <w:sz w:val="22"/>
          <w:szCs w:val="22"/>
          <w:highlight w:val="none"/>
        </w:rPr>
        <w:t>级（含</w:t>
      </w:r>
      <w:r>
        <w:rPr>
          <w:rFonts w:hint="eastAsia" w:ascii="微软雅黑" w:hAnsi="微软雅黑" w:eastAsia="微软雅黑" w:cs="微软雅黑"/>
          <w:color w:val="auto"/>
          <w:sz w:val="22"/>
          <w:szCs w:val="22"/>
          <w:highlight w:val="none"/>
          <w:lang w:val="en-US" w:eastAsia="zh-CN"/>
        </w:rPr>
        <w:t>贰</w:t>
      </w:r>
      <w:r>
        <w:rPr>
          <w:rFonts w:hint="eastAsia" w:ascii="微软雅黑" w:hAnsi="微软雅黑" w:eastAsia="微软雅黑" w:cs="微软雅黑"/>
          <w:color w:val="auto"/>
          <w:sz w:val="22"/>
          <w:szCs w:val="22"/>
          <w:highlight w:val="none"/>
        </w:rPr>
        <w:t>级）及以上资质，具有有效的安全生产许可证</w:t>
      </w:r>
      <w:r>
        <w:rPr>
          <w:rFonts w:hint="eastAsia" w:ascii="微软雅黑" w:hAnsi="微软雅黑" w:eastAsia="微软雅黑" w:cs="微软雅黑"/>
          <w:color w:val="auto"/>
          <w:sz w:val="22"/>
          <w:szCs w:val="22"/>
          <w:highlight w:val="none"/>
          <w:lang w:eastAsia="zh-CN"/>
        </w:rPr>
        <w:t>，并在人员、设备、资金等方面具有相应的施工能力。</w:t>
      </w:r>
    </w:p>
    <w:p w14:paraId="1DA367E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监理</w:t>
      </w:r>
      <w:r>
        <w:rPr>
          <w:rFonts w:hint="eastAsia" w:ascii="微软雅黑" w:hAnsi="微软雅黑" w:eastAsia="微软雅黑" w:cs="微软雅黑"/>
          <w:color w:val="auto"/>
          <w:sz w:val="22"/>
          <w:szCs w:val="22"/>
          <w:highlight w:val="none"/>
        </w:rPr>
        <w:t>标段：投标人须具有有效的企业营业执照或事业单位法人证书或其他有效登记证书，具有工程监理市政公用工程专业</w:t>
      </w:r>
      <w:r>
        <w:rPr>
          <w:rFonts w:hint="eastAsia" w:ascii="微软雅黑" w:hAnsi="微软雅黑" w:eastAsia="微软雅黑" w:cs="微软雅黑"/>
          <w:color w:val="auto"/>
          <w:sz w:val="22"/>
          <w:szCs w:val="22"/>
          <w:highlight w:val="none"/>
          <w:lang w:val="en-US" w:eastAsia="zh-CN"/>
        </w:rPr>
        <w:t>乙</w:t>
      </w:r>
      <w:r>
        <w:rPr>
          <w:rFonts w:hint="eastAsia" w:ascii="微软雅黑" w:hAnsi="微软雅黑" w:eastAsia="微软雅黑" w:cs="微软雅黑"/>
          <w:color w:val="auto"/>
          <w:sz w:val="22"/>
          <w:szCs w:val="22"/>
          <w:highlight w:val="none"/>
        </w:rPr>
        <w:t>级（含</w:t>
      </w:r>
      <w:r>
        <w:rPr>
          <w:rFonts w:hint="eastAsia" w:ascii="微软雅黑" w:hAnsi="微软雅黑" w:eastAsia="微软雅黑" w:cs="微软雅黑"/>
          <w:color w:val="auto"/>
          <w:sz w:val="22"/>
          <w:szCs w:val="22"/>
          <w:highlight w:val="none"/>
          <w:lang w:val="en-US" w:eastAsia="zh-CN"/>
        </w:rPr>
        <w:t>乙</w:t>
      </w:r>
      <w:r>
        <w:rPr>
          <w:rFonts w:hint="eastAsia" w:ascii="微软雅黑" w:hAnsi="微软雅黑" w:eastAsia="微软雅黑" w:cs="微软雅黑"/>
          <w:color w:val="auto"/>
          <w:sz w:val="22"/>
          <w:szCs w:val="22"/>
          <w:highlight w:val="none"/>
        </w:rPr>
        <w:t>级）及以上资质或工程监理综合资质</w:t>
      </w:r>
      <w:r>
        <w:rPr>
          <w:rFonts w:hint="eastAsia" w:ascii="微软雅黑" w:hAnsi="微软雅黑" w:eastAsia="微软雅黑" w:cs="微软雅黑"/>
          <w:color w:val="auto"/>
          <w:sz w:val="22"/>
          <w:szCs w:val="22"/>
          <w:highlight w:val="none"/>
          <w:lang w:eastAsia="zh-CN"/>
        </w:rPr>
        <w:t>。</w:t>
      </w:r>
    </w:p>
    <w:p w14:paraId="76527736">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3.2人员要求：</w:t>
      </w:r>
    </w:p>
    <w:p w14:paraId="2B262B4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施工</w:t>
      </w:r>
      <w:r>
        <w:rPr>
          <w:rFonts w:hint="eastAsia" w:ascii="微软雅黑" w:hAnsi="微软雅黑" w:eastAsia="微软雅黑" w:cs="微软雅黑"/>
          <w:color w:val="auto"/>
          <w:sz w:val="22"/>
          <w:szCs w:val="22"/>
          <w:highlight w:val="none"/>
        </w:rPr>
        <w:t>标段：投标人拟派项目经理须具备在本单位注册的市政公用工程</w:t>
      </w:r>
      <w:r>
        <w:rPr>
          <w:rFonts w:hint="eastAsia" w:ascii="微软雅黑" w:hAnsi="微软雅黑" w:eastAsia="微软雅黑" w:cs="微软雅黑"/>
          <w:color w:val="auto"/>
          <w:sz w:val="22"/>
          <w:szCs w:val="22"/>
          <w:highlight w:val="none"/>
          <w:lang w:val="en-US" w:eastAsia="zh-CN"/>
        </w:rPr>
        <w:t>贰</w:t>
      </w:r>
      <w:r>
        <w:rPr>
          <w:rFonts w:hint="eastAsia" w:ascii="微软雅黑" w:hAnsi="微软雅黑" w:eastAsia="微软雅黑" w:cs="微软雅黑"/>
          <w:color w:val="auto"/>
          <w:sz w:val="22"/>
          <w:szCs w:val="22"/>
          <w:highlight w:val="none"/>
        </w:rPr>
        <w:t>级注册建造师执业资格，具备有效的安全生产考核合格证书，且未担任其他在施建设工程项目的项目经理；（提供项目经理无在建工程承诺书及在投标及施工过程中不更换承诺书，须加盖投标人电子签章）；</w:t>
      </w:r>
    </w:p>
    <w:p w14:paraId="47AF121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监理</w:t>
      </w:r>
      <w:r>
        <w:rPr>
          <w:rFonts w:hint="eastAsia" w:ascii="微软雅黑" w:hAnsi="微软雅黑" w:eastAsia="微软雅黑" w:cs="微软雅黑"/>
          <w:color w:val="auto"/>
          <w:sz w:val="22"/>
          <w:szCs w:val="22"/>
          <w:highlight w:val="none"/>
        </w:rPr>
        <w:t>标段：投标人拟派项目总监理工程师应具市政公用工程专业注册监理工程师证书；</w:t>
      </w:r>
    </w:p>
    <w:p w14:paraId="0E0CBE9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3.3财务要求：财务运行状况良好，没有财务被接管、冻结、破产状态，投标时提供202</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年度至202</w:t>
      </w: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rPr>
        <w:t>年度财务审计报告（如果投标人成立不足三年，须提供自企业成立之日起至今的财务状况报告）。</w:t>
      </w:r>
    </w:p>
    <w:p w14:paraId="0D72AA48">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3.4信誉要求：</w:t>
      </w:r>
    </w:p>
    <w:p w14:paraId="796E6DC4">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施工</w:t>
      </w:r>
      <w:r>
        <w:rPr>
          <w:rFonts w:hint="eastAsia" w:ascii="微软雅黑" w:hAnsi="微软雅黑" w:eastAsia="微软雅黑" w:cs="微软雅黑"/>
          <w:color w:val="auto"/>
          <w:sz w:val="22"/>
          <w:szCs w:val="22"/>
          <w:highlight w:val="none"/>
        </w:rPr>
        <w:t>标段：投标人不得存在以下情形之一：</w:t>
      </w:r>
    </w:p>
    <w:p w14:paraId="3D3B2525">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被列入全国建筑市场监管公共服务平台“黑名单”且在管理期限内的；</w:t>
      </w:r>
    </w:p>
    <w:p w14:paraId="3121AF7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被列入国家企业信用信息公示系统“严重违法失信名单”且在管理期限内的；</w:t>
      </w:r>
    </w:p>
    <w:p w14:paraId="0F233A8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被列入信用中国（中国执行信息公开网）网站“失信被执行人”且在管理期限内的</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需查询投标人、</w:t>
      </w:r>
      <w:r>
        <w:rPr>
          <w:rFonts w:hint="eastAsia" w:ascii="微软雅黑" w:hAnsi="微软雅黑" w:eastAsia="微软雅黑" w:cs="微软雅黑"/>
          <w:color w:val="auto"/>
          <w:sz w:val="22"/>
          <w:szCs w:val="22"/>
          <w:highlight w:val="none"/>
        </w:rPr>
        <w:t>法定代表人和拟派项目经理</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w:t>
      </w:r>
    </w:p>
    <w:p w14:paraId="644AFF3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被列入信用中国重大税收违法失信主体”和“中国政府采购网”查询“政府采购严重违法失信行为记录”</w:t>
      </w:r>
      <w:r>
        <w:rPr>
          <w:rFonts w:hint="eastAsia" w:ascii="微软雅黑" w:hAnsi="微软雅黑" w:eastAsia="微软雅黑" w:cs="微软雅黑"/>
          <w:color w:val="auto"/>
          <w:sz w:val="22"/>
          <w:szCs w:val="22"/>
          <w:highlight w:val="none"/>
          <w:lang w:val="en-US" w:eastAsia="zh-CN"/>
        </w:rPr>
        <w:t>名单；</w:t>
      </w:r>
    </w:p>
    <w:p w14:paraId="655CE2F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投标人在省级建筑市场监管公共服务平台资质状况（本项目所需资质）被标注“注册人员不足”的异常情况的；</w:t>
      </w:r>
    </w:p>
    <w:p w14:paraId="497B4A9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投标人通过全国建筑市场监管公共服务平台、国家企业信用信息公示系统、“信用中国”网站、省级建筑市场监管公共服务平台等渠道查询，提供查询截图（查询时间为获取文件之日至投标截止时间之间）。</w:t>
      </w:r>
    </w:p>
    <w:p w14:paraId="04885C88">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监理</w:t>
      </w:r>
      <w:r>
        <w:rPr>
          <w:rFonts w:hint="eastAsia" w:ascii="微软雅黑" w:hAnsi="微软雅黑" w:eastAsia="微软雅黑" w:cs="微软雅黑"/>
          <w:color w:val="auto"/>
          <w:sz w:val="22"/>
          <w:szCs w:val="22"/>
          <w:highlight w:val="none"/>
        </w:rPr>
        <w:t xml:space="preserve">标段：投标人应通过“信用中国（中国执行信息公开网）”查询“失信被执行人、重大税收违法失信主体”和“中国政府采购网”查询“政府采购严重违法失信行为记录”进行信用查询，并提供网页截图，截图需包括查询日期，对在投标截止时间前列入上述名单的投标人将被拒绝参加投标活动，查询时间须在本公告发布日期后；  </w:t>
      </w:r>
    </w:p>
    <w:p w14:paraId="4EC67C4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3.5本次招标不接受联合体投标。</w:t>
      </w:r>
    </w:p>
    <w:p w14:paraId="3EB38949">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 本项目实行资格后审 。</w:t>
      </w:r>
    </w:p>
    <w:p w14:paraId="2CA6E6FA">
      <w:pPr>
        <w:pStyle w:val="26"/>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3.7</w:t>
      </w:r>
      <w:r>
        <w:rPr>
          <w:rFonts w:hint="eastAsia" w:ascii="微软雅黑" w:hAnsi="微软雅黑" w:eastAsia="微软雅黑" w:cs="微软雅黑"/>
          <w:color w:val="auto"/>
          <w:sz w:val="22"/>
          <w:szCs w:val="22"/>
          <w:highlight w:val="none"/>
        </w:rPr>
        <w:t>其他要求：</w:t>
      </w:r>
    </w:p>
    <w:p w14:paraId="1FBC3CB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单位负责人为同一人或者存在控股、管理关系的不同单位，不得参加同一标段投标或者未划分标段的同一招标项目投标【提供在“国家企业信用信息公示系统”中查询的相关材料并电子签章（需包含公司基本信息、股东信息及股权变更信息）】。</w:t>
      </w:r>
    </w:p>
    <w:p w14:paraId="478662C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4" w:name="_Toc24691"/>
      <w:r>
        <w:rPr>
          <w:rFonts w:hint="eastAsia" w:ascii="微软雅黑" w:hAnsi="微软雅黑" w:eastAsia="微软雅黑" w:cs="微软雅黑"/>
          <w:color w:val="auto"/>
          <w:sz w:val="22"/>
          <w:szCs w:val="22"/>
          <w:highlight w:val="none"/>
        </w:rPr>
        <w:t>4.招标文件的获取</w:t>
      </w:r>
      <w:bookmarkEnd w:id="4"/>
    </w:p>
    <w:p w14:paraId="2CE342FE">
      <w:pPr>
        <w:pStyle w:val="3"/>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4.1凡有意参加的投标人</w:t>
      </w:r>
      <w:r>
        <w:rPr>
          <w:rFonts w:hint="eastAsia" w:ascii="微软雅黑" w:hAnsi="微软雅黑" w:eastAsia="微软雅黑" w:cs="微软雅黑"/>
          <w:color w:val="auto"/>
          <w:sz w:val="22"/>
          <w:szCs w:val="22"/>
          <w:highlight w:val="none"/>
          <w:u w:val="none"/>
        </w:rPr>
        <w:t>，于</w:t>
      </w:r>
      <w:r>
        <w:rPr>
          <w:rFonts w:hint="eastAsia" w:ascii="微软雅黑" w:hAnsi="微软雅黑" w:eastAsia="微软雅黑" w:cs="微软雅黑"/>
          <w:color w:val="auto"/>
          <w:sz w:val="22"/>
          <w:szCs w:val="22"/>
          <w:highlight w:val="none"/>
          <w:u w:val="none"/>
          <w:lang w:val="en-US" w:eastAsia="zh-CN"/>
        </w:rPr>
        <w:t>2025</w:t>
      </w:r>
      <w:r>
        <w:rPr>
          <w:rFonts w:hint="eastAsia" w:ascii="微软雅黑" w:hAnsi="微软雅黑" w:eastAsia="微软雅黑" w:cs="微软雅黑"/>
          <w:color w:val="auto"/>
          <w:sz w:val="22"/>
          <w:szCs w:val="22"/>
          <w:highlight w:val="none"/>
          <w:u w:val="none"/>
        </w:rPr>
        <w:t>年</w:t>
      </w:r>
      <w:r>
        <w:rPr>
          <w:rFonts w:hint="eastAsia" w:ascii="微软雅黑" w:hAnsi="微软雅黑" w:eastAsia="微软雅黑" w:cs="微软雅黑"/>
          <w:color w:val="auto"/>
          <w:sz w:val="22"/>
          <w:szCs w:val="22"/>
          <w:highlight w:val="none"/>
          <w:u w:val="none"/>
          <w:lang w:val="en-US" w:eastAsia="zh-CN"/>
        </w:rPr>
        <w:t>09</w:t>
      </w:r>
      <w:r>
        <w:rPr>
          <w:rFonts w:hint="eastAsia" w:ascii="微软雅黑" w:hAnsi="微软雅黑" w:eastAsia="微软雅黑" w:cs="微软雅黑"/>
          <w:color w:val="auto"/>
          <w:sz w:val="22"/>
          <w:szCs w:val="22"/>
          <w:highlight w:val="none"/>
          <w:u w:val="none"/>
        </w:rPr>
        <w:t>月</w:t>
      </w:r>
      <w:r>
        <w:rPr>
          <w:rFonts w:hint="eastAsia" w:ascii="微软雅黑" w:hAnsi="微软雅黑" w:eastAsia="微软雅黑" w:cs="微软雅黑"/>
          <w:color w:val="auto"/>
          <w:sz w:val="22"/>
          <w:szCs w:val="22"/>
          <w:highlight w:val="none"/>
          <w:u w:val="none"/>
          <w:lang w:val="en-US" w:eastAsia="zh-CN"/>
        </w:rPr>
        <w:t>29</w:t>
      </w:r>
      <w:r>
        <w:rPr>
          <w:rFonts w:hint="eastAsia" w:ascii="微软雅黑" w:hAnsi="微软雅黑" w:eastAsia="微软雅黑" w:cs="微软雅黑"/>
          <w:color w:val="auto"/>
          <w:sz w:val="22"/>
          <w:szCs w:val="22"/>
          <w:highlight w:val="none"/>
          <w:u w:val="none"/>
        </w:rPr>
        <w:t>日8:30至</w:t>
      </w:r>
      <w:r>
        <w:rPr>
          <w:rFonts w:hint="eastAsia" w:ascii="微软雅黑" w:hAnsi="微软雅黑" w:eastAsia="微软雅黑" w:cs="微软雅黑"/>
          <w:color w:val="auto"/>
          <w:sz w:val="22"/>
          <w:szCs w:val="22"/>
          <w:highlight w:val="none"/>
          <w:u w:val="none"/>
          <w:lang w:val="en-US" w:eastAsia="zh-CN"/>
        </w:rPr>
        <w:t>2025</w:t>
      </w:r>
      <w:r>
        <w:rPr>
          <w:rFonts w:hint="eastAsia" w:ascii="微软雅黑" w:hAnsi="微软雅黑" w:eastAsia="微软雅黑" w:cs="微软雅黑"/>
          <w:color w:val="auto"/>
          <w:sz w:val="22"/>
          <w:szCs w:val="22"/>
          <w:highlight w:val="none"/>
          <w:u w:val="none"/>
        </w:rPr>
        <w:t>年</w:t>
      </w:r>
      <w:r>
        <w:rPr>
          <w:rFonts w:hint="eastAsia" w:ascii="微软雅黑" w:hAnsi="微软雅黑" w:eastAsia="微软雅黑" w:cs="微软雅黑"/>
          <w:color w:val="auto"/>
          <w:sz w:val="22"/>
          <w:szCs w:val="22"/>
          <w:highlight w:val="none"/>
          <w:u w:val="none"/>
          <w:lang w:val="en-US" w:eastAsia="zh-CN"/>
        </w:rPr>
        <w:t>10</w:t>
      </w:r>
      <w:r>
        <w:rPr>
          <w:rFonts w:hint="eastAsia" w:ascii="微软雅黑" w:hAnsi="微软雅黑" w:eastAsia="微软雅黑" w:cs="微软雅黑"/>
          <w:color w:val="auto"/>
          <w:sz w:val="22"/>
          <w:szCs w:val="22"/>
          <w:highlight w:val="none"/>
          <w:u w:val="none"/>
        </w:rPr>
        <w:t>月</w:t>
      </w:r>
      <w:r>
        <w:rPr>
          <w:rFonts w:hint="eastAsia" w:ascii="微软雅黑" w:hAnsi="微软雅黑" w:eastAsia="微软雅黑" w:cs="微软雅黑"/>
          <w:color w:val="auto"/>
          <w:sz w:val="22"/>
          <w:szCs w:val="22"/>
          <w:highlight w:val="none"/>
          <w:u w:val="none"/>
          <w:lang w:val="en-US" w:eastAsia="zh-CN"/>
        </w:rPr>
        <w:t>11</w:t>
      </w:r>
      <w:r>
        <w:rPr>
          <w:rFonts w:hint="eastAsia" w:ascii="微软雅黑" w:hAnsi="微软雅黑" w:eastAsia="微软雅黑" w:cs="微软雅黑"/>
          <w:color w:val="auto"/>
          <w:sz w:val="22"/>
          <w:szCs w:val="22"/>
          <w:highlight w:val="none"/>
          <w:u w:val="none"/>
        </w:rPr>
        <w:t>日18:00，登录“新乡市公共资源交易中心网站”，凭企业CA锁或标证通扫码登录交易系统下载招标文件。</w:t>
      </w:r>
    </w:p>
    <w:p w14:paraId="44CF7F98">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尚未办理企业CA数字证书或标证通的，请登录新乡市公共资源交易中心网站，查阅网站首页“重要通知”中《标证通和CA数字认证证书办理流程》，及时办理标证通及CA数字证书。</w:t>
      </w:r>
    </w:p>
    <w:p w14:paraId="35DA184E">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4.2请投标人下载招标文件后，及时关注系统业务菜单（“答疑澄清文件”</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“控制价文件”，“异议回复”）内该项目。如有请直接下载，不再另行通知。</w:t>
      </w:r>
    </w:p>
    <w:p w14:paraId="2359E2ED">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4.3招标文件售价：0元。</w:t>
      </w:r>
    </w:p>
    <w:p w14:paraId="0D79FF1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5" w:name="_Toc1820"/>
      <w:r>
        <w:rPr>
          <w:rFonts w:hint="eastAsia" w:ascii="微软雅黑" w:hAnsi="微软雅黑" w:eastAsia="微软雅黑" w:cs="微软雅黑"/>
          <w:color w:val="auto"/>
          <w:sz w:val="22"/>
          <w:szCs w:val="22"/>
          <w:highlight w:val="none"/>
        </w:rPr>
        <w:t>5.投标文件的递交</w:t>
      </w:r>
      <w:bookmarkEnd w:id="5"/>
    </w:p>
    <w:p w14:paraId="2060BF6C">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5.1投标文件递交截止时间：</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u w:val="none"/>
        </w:rPr>
        <w:t>年</w:t>
      </w:r>
      <w:r>
        <w:rPr>
          <w:rFonts w:hint="eastAsia" w:ascii="微软雅黑" w:hAnsi="微软雅黑" w:eastAsia="微软雅黑" w:cs="微软雅黑"/>
          <w:color w:val="auto"/>
          <w:sz w:val="22"/>
          <w:szCs w:val="22"/>
          <w:highlight w:val="none"/>
          <w:u w:val="none"/>
          <w:lang w:val="en-US" w:eastAsia="zh-CN"/>
        </w:rPr>
        <w:t>10</w:t>
      </w:r>
      <w:r>
        <w:rPr>
          <w:rFonts w:hint="eastAsia" w:ascii="微软雅黑" w:hAnsi="微软雅黑" w:eastAsia="微软雅黑" w:cs="微软雅黑"/>
          <w:color w:val="auto"/>
          <w:sz w:val="22"/>
          <w:szCs w:val="22"/>
          <w:highlight w:val="none"/>
          <w:u w:val="none"/>
        </w:rPr>
        <w:t>月</w:t>
      </w:r>
      <w:r>
        <w:rPr>
          <w:rFonts w:hint="eastAsia" w:ascii="微软雅黑" w:hAnsi="微软雅黑" w:eastAsia="微软雅黑" w:cs="微软雅黑"/>
          <w:color w:val="auto"/>
          <w:sz w:val="22"/>
          <w:szCs w:val="22"/>
          <w:highlight w:val="none"/>
          <w:u w:val="none"/>
          <w:lang w:val="en-US" w:eastAsia="zh-CN"/>
        </w:rPr>
        <w:t>20</w:t>
      </w:r>
      <w:r>
        <w:rPr>
          <w:rFonts w:hint="eastAsia" w:ascii="微软雅黑" w:hAnsi="微软雅黑" w:eastAsia="微软雅黑" w:cs="微软雅黑"/>
          <w:color w:val="auto"/>
          <w:sz w:val="22"/>
          <w:szCs w:val="22"/>
          <w:highlight w:val="none"/>
          <w:u w:val="none"/>
        </w:rPr>
        <w:t>日</w:t>
      </w:r>
      <w:r>
        <w:rPr>
          <w:rFonts w:hint="eastAsia" w:ascii="微软雅黑" w:hAnsi="微软雅黑" w:eastAsia="微软雅黑" w:cs="微软雅黑"/>
          <w:color w:val="auto"/>
          <w:sz w:val="22"/>
          <w:szCs w:val="22"/>
          <w:highlight w:val="none"/>
          <w:u w:val="none"/>
          <w:lang w:val="en-US" w:eastAsia="zh-CN"/>
        </w:rPr>
        <w:t>10</w:t>
      </w:r>
      <w:r>
        <w:rPr>
          <w:rFonts w:hint="eastAsia" w:ascii="微软雅黑" w:hAnsi="微软雅黑" w:eastAsia="微软雅黑" w:cs="微软雅黑"/>
          <w:color w:val="auto"/>
          <w:sz w:val="22"/>
          <w:szCs w:val="22"/>
          <w:highlight w:val="none"/>
          <w:u w:val="none"/>
        </w:rPr>
        <w:t>时</w:t>
      </w:r>
      <w:r>
        <w:rPr>
          <w:rFonts w:hint="eastAsia" w:ascii="微软雅黑" w:hAnsi="微软雅黑" w:eastAsia="微软雅黑" w:cs="微软雅黑"/>
          <w:color w:val="auto"/>
          <w:sz w:val="22"/>
          <w:szCs w:val="22"/>
          <w:highlight w:val="none"/>
          <w:u w:val="none"/>
          <w:lang w:val="en-US" w:eastAsia="zh-CN"/>
        </w:rPr>
        <w:t>00</w:t>
      </w:r>
      <w:r>
        <w:rPr>
          <w:rFonts w:hint="eastAsia" w:ascii="微软雅黑" w:hAnsi="微软雅黑" w:eastAsia="微软雅黑" w:cs="微软雅黑"/>
          <w:color w:val="auto"/>
          <w:sz w:val="22"/>
          <w:szCs w:val="22"/>
          <w:highlight w:val="none"/>
          <w:u w:val="none"/>
        </w:rPr>
        <w:t>分</w:t>
      </w:r>
      <w:r>
        <w:rPr>
          <w:rFonts w:hint="eastAsia" w:ascii="微软雅黑" w:hAnsi="微软雅黑" w:eastAsia="微软雅黑" w:cs="微软雅黑"/>
          <w:color w:val="auto"/>
          <w:sz w:val="22"/>
          <w:szCs w:val="22"/>
          <w:highlight w:val="none"/>
        </w:rPr>
        <w:t>（北京时间）。</w:t>
      </w:r>
    </w:p>
    <w:p w14:paraId="23AD2978">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5.2开标地点：</w:t>
      </w:r>
      <w:r>
        <w:rPr>
          <w:rFonts w:hint="eastAsia" w:ascii="微软雅黑" w:hAnsi="微软雅黑" w:eastAsia="微软雅黑" w:cs="微软雅黑"/>
          <w:color w:val="auto"/>
          <w:sz w:val="22"/>
          <w:szCs w:val="22"/>
          <w:highlight w:val="none"/>
          <w:lang w:eastAsia="zh-CN"/>
        </w:rPr>
        <w:t>延津县公共资源交易中心第</w:t>
      </w:r>
      <w:r>
        <w:rPr>
          <w:rFonts w:hint="eastAsia" w:ascii="微软雅黑" w:hAnsi="微软雅黑" w:eastAsia="微软雅黑" w:cs="微软雅黑"/>
          <w:color w:val="auto"/>
          <w:sz w:val="22"/>
          <w:szCs w:val="22"/>
          <w:highlight w:val="none"/>
          <w:lang w:val="en-US" w:eastAsia="zh-CN"/>
        </w:rPr>
        <w:t>一</w:t>
      </w:r>
      <w:r>
        <w:rPr>
          <w:rFonts w:hint="eastAsia" w:ascii="微软雅黑" w:hAnsi="微软雅黑" w:eastAsia="微软雅黑" w:cs="微软雅黑"/>
          <w:color w:val="auto"/>
          <w:sz w:val="22"/>
          <w:szCs w:val="22"/>
          <w:highlight w:val="none"/>
          <w:lang w:eastAsia="zh-CN"/>
        </w:rPr>
        <w:t>开标室。</w:t>
      </w:r>
    </w:p>
    <w:p w14:paraId="1C0CA988">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5.3投标文件的上传：加密投标文件应于投标文件递交截止时间前上传到新乡市公共资源交易中心电子交易平台上传投标文件菜单。</w:t>
      </w:r>
    </w:p>
    <w:p w14:paraId="7D2AD00E">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5.4投标人须使用电子交易系统提供的投标文件制作工具进行电子投标文件的制作，并按要求上传经标证通或CA锁签章和加密的电子投标文件，加密电子投标文件逾期上传的，招标人不予受理。</w:t>
      </w:r>
    </w:p>
    <w:p w14:paraId="134D0D97">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5.5投标人编辑电子投标文件时，须用标证通和企业CA锁（包括法人CA锁）进行签章制作。</w:t>
      </w:r>
    </w:p>
    <w:p w14:paraId="733150F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5.6本项目采用远程开标，投标人应登陆远程开标大厅远程解密，无需到开标现场。请投标人务必按照《智能开标大厅操作手册及视频》的要求设置参与不见面开标的电脑环境，否则由此可能引起的签到失败、解密失败或无法解密等问题由投标人自行承担；投标人可在开标时间之后系统内观看开标过程，并进行文件解密，答疑澄清；使用标证通的，投标人应在解密时间内扫描二维码进行解密；使用CA证书的，投标人应在解密时间内插入CA锁，输入密码进行解密；如果在解密时间内解密失败，可再次解密。投标人应在开标当天及时关注本项目的情况，如遇问题，请拨打技术服务单位（国泰新点）电话：4009980000。</w:t>
      </w:r>
      <w:r>
        <w:rPr>
          <w:rFonts w:hint="eastAsia" w:ascii="微软雅黑" w:hAnsi="微软雅黑" w:eastAsia="微软雅黑" w:cs="微软雅黑"/>
          <w:b w:val="0"/>
          <w:bCs w:val="0"/>
          <w:color w:val="auto"/>
          <w:sz w:val="22"/>
          <w:szCs w:val="22"/>
          <w:highlight w:val="none"/>
        </w:rPr>
        <w:t>投标人需在开标截止时间后30分钟内完成解密，否则造成的一切后果由投标人自行负责。具体事宜请查阅“智能开标大厅”首页右上角“操作指南”。</w:t>
      </w:r>
    </w:p>
    <w:p w14:paraId="6B51F70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1.投标人须进行网上招标文件下载。选择标证通或CA证书登录方式进入电子招投标交易系统，进行网上招标文件下载等操作。2.本项目将实行电子开标，请投标人前往新乡市公共资源交易中心网站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548FFC1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评标与定标</w:t>
      </w:r>
    </w:p>
    <w:p w14:paraId="3F84E2E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6.1</w:t>
      </w:r>
      <w:r>
        <w:rPr>
          <w:rFonts w:hint="eastAsia" w:ascii="微软雅黑" w:hAnsi="微软雅黑" w:eastAsia="微软雅黑" w:cs="微软雅黑"/>
          <w:color w:val="auto"/>
          <w:sz w:val="22"/>
          <w:szCs w:val="22"/>
          <w:highlight w:val="none"/>
        </w:rPr>
        <w:t>评标和定标方法：本项目采用“评定分离”模式。评标方法：一标段施工采用“综合评估法”；二标段监理采用“综合评估法”，定标方法均采用“票决法”。</w:t>
      </w:r>
    </w:p>
    <w:p w14:paraId="46F1ECF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6.2</w:t>
      </w:r>
      <w:r>
        <w:rPr>
          <w:rFonts w:hint="eastAsia" w:ascii="微软雅黑" w:hAnsi="微软雅黑" w:eastAsia="微软雅黑" w:cs="微软雅黑"/>
          <w:color w:val="auto"/>
          <w:sz w:val="22"/>
          <w:szCs w:val="22"/>
          <w:highlight w:val="none"/>
        </w:rPr>
        <w:t xml:space="preserve"> 评定分离：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p w14:paraId="2114B87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6.3</w:t>
      </w:r>
      <w:r>
        <w:rPr>
          <w:rFonts w:hint="eastAsia" w:ascii="微软雅黑" w:hAnsi="微软雅黑" w:eastAsia="微软雅黑" w:cs="微软雅黑"/>
          <w:color w:val="auto"/>
          <w:sz w:val="22"/>
          <w:szCs w:val="22"/>
          <w:highlight w:val="none"/>
        </w:rPr>
        <w:t xml:space="preserve"> 定标时间：招标人应当在收到评标报告10日内完成定标工作。</w:t>
      </w:r>
    </w:p>
    <w:p w14:paraId="1A7C1F19">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6.4</w:t>
      </w:r>
      <w:r>
        <w:rPr>
          <w:rFonts w:hint="eastAsia" w:ascii="微软雅黑" w:hAnsi="微软雅黑" w:eastAsia="微软雅黑" w:cs="微软雅黑"/>
          <w:color w:val="auto"/>
          <w:sz w:val="22"/>
          <w:szCs w:val="22"/>
          <w:highlight w:val="none"/>
        </w:rPr>
        <w:t>定标地点：定标会议应在</w:t>
      </w:r>
      <w:r>
        <w:rPr>
          <w:rFonts w:hint="eastAsia" w:ascii="微软雅黑" w:hAnsi="微软雅黑" w:eastAsia="微软雅黑" w:cs="微软雅黑"/>
          <w:color w:val="auto"/>
          <w:sz w:val="22"/>
          <w:szCs w:val="22"/>
          <w:highlight w:val="none"/>
          <w:lang w:val="en-US" w:eastAsia="zh-CN"/>
        </w:rPr>
        <w:t>延津县</w:t>
      </w:r>
      <w:r>
        <w:rPr>
          <w:rFonts w:hint="eastAsia" w:ascii="微软雅黑" w:hAnsi="微软雅黑" w:eastAsia="微软雅黑" w:cs="微软雅黑"/>
          <w:color w:val="auto"/>
          <w:sz w:val="22"/>
          <w:szCs w:val="22"/>
          <w:highlight w:val="none"/>
        </w:rPr>
        <w:t>公共资源交易中心按流程进行，全程录音录像，并存档备查。不能按时完成定标工作的，应当通过公共资源交易平台发布延期原因和最终定标时间。</w:t>
      </w:r>
    </w:p>
    <w:p w14:paraId="1F13610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6.5</w:t>
      </w:r>
      <w:r>
        <w:rPr>
          <w:rFonts w:hint="eastAsia" w:ascii="微软雅黑" w:hAnsi="微软雅黑" w:eastAsia="微软雅黑" w:cs="微软雅黑"/>
          <w:color w:val="auto"/>
          <w:sz w:val="22"/>
          <w:szCs w:val="22"/>
          <w:highlight w:val="none"/>
        </w:rPr>
        <w:t>定标会议具体时间及地点以中标候选人公示为准。</w:t>
      </w:r>
    </w:p>
    <w:p w14:paraId="6170DFD9">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6" w:name="_Toc16577"/>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.发布公告的媒介</w:t>
      </w:r>
      <w:bookmarkEnd w:id="6"/>
    </w:p>
    <w:p w14:paraId="3D2C77B8">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本次招标公告同时在《</w:t>
      </w:r>
      <w:r>
        <w:rPr>
          <w:rFonts w:hint="eastAsia" w:ascii="微软雅黑" w:hAnsi="微软雅黑" w:eastAsia="微软雅黑" w:cs="微软雅黑"/>
          <w:color w:val="auto"/>
          <w:sz w:val="22"/>
          <w:szCs w:val="22"/>
          <w:highlight w:val="none"/>
          <w:lang w:val="en-US" w:eastAsia="zh-CN"/>
        </w:rPr>
        <w:t>中国</w:t>
      </w:r>
      <w:r>
        <w:rPr>
          <w:rFonts w:hint="eastAsia" w:ascii="微软雅黑" w:hAnsi="微软雅黑" w:eastAsia="微软雅黑" w:cs="微软雅黑"/>
          <w:color w:val="auto"/>
          <w:sz w:val="22"/>
          <w:szCs w:val="22"/>
          <w:highlight w:val="none"/>
        </w:rPr>
        <w:t>招标投标公共服务平台》、《河南省政府采购网》</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《新乡市政府采购网》和《</w:t>
      </w:r>
      <w:r>
        <w:rPr>
          <w:rFonts w:hint="eastAsia" w:ascii="微软雅黑" w:hAnsi="微软雅黑" w:eastAsia="微软雅黑" w:cs="微软雅黑"/>
          <w:color w:val="auto"/>
          <w:sz w:val="22"/>
          <w:szCs w:val="22"/>
          <w:highlight w:val="none"/>
          <w:lang w:eastAsia="zh-CN"/>
        </w:rPr>
        <w:t>新乡市公共资源交易中心</w:t>
      </w:r>
      <w:r>
        <w:rPr>
          <w:rFonts w:hint="eastAsia" w:ascii="微软雅黑" w:hAnsi="微软雅黑" w:eastAsia="微软雅黑" w:cs="微软雅黑"/>
          <w:color w:val="auto"/>
          <w:sz w:val="22"/>
          <w:szCs w:val="22"/>
          <w:highlight w:val="none"/>
        </w:rPr>
        <w:t>网》上发布。</w:t>
      </w:r>
    </w:p>
    <w:p w14:paraId="5C02680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b/>
          <w:bCs/>
          <w:color w:val="auto"/>
          <w:sz w:val="22"/>
          <w:szCs w:val="22"/>
          <w:highlight w:val="none"/>
        </w:rPr>
      </w:pPr>
      <w:bookmarkStart w:id="7" w:name="_Toc29540"/>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本次招标联系事项（受理</w:t>
      </w:r>
      <w:r>
        <w:rPr>
          <w:rFonts w:hint="eastAsia" w:ascii="微软雅黑" w:hAnsi="微软雅黑" w:eastAsia="微软雅黑" w:cs="微软雅黑"/>
          <w:color w:val="auto"/>
          <w:sz w:val="22"/>
          <w:szCs w:val="22"/>
          <w:highlight w:val="none"/>
          <w:lang w:val="en-US" w:eastAsia="zh-CN"/>
        </w:rPr>
        <w:t>异议</w:t>
      </w:r>
      <w:r>
        <w:rPr>
          <w:rFonts w:hint="eastAsia" w:ascii="微软雅黑" w:hAnsi="微软雅黑" w:eastAsia="微软雅黑" w:cs="微软雅黑"/>
          <w:color w:val="auto"/>
          <w:sz w:val="22"/>
          <w:szCs w:val="22"/>
          <w:highlight w:val="none"/>
        </w:rPr>
        <w:t>的联系人及联系电话）</w:t>
      </w:r>
      <w:bookmarkEnd w:id="7"/>
    </w:p>
    <w:p w14:paraId="6D1C442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招标人：延津县先进制造业开发区管理委员会 </w:t>
      </w:r>
    </w:p>
    <w:p w14:paraId="6101E38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地址：河南省新乡市延津县新长南线</w:t>
      </w:r>
    </w:p>
    <w:p w14:paraId="71A4634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联系人：赵宁 </w:t>
      </w:r>
    </w:p>
    <w:p w14:paraId="6092CAB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联系方式：18637330718  </w:t>
      </w:r>
    </w:p>
    <w:p w14:paraId="501BE09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代理机构：河南鸿轩工程管理有限公司　</w:t>
      </w:r>
    </w:p>
    <w:p w14:paraId="1782FD6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地址：河南省郑州市中原区桐柏南路238号凯旋门大厦B座3楼301室</w:t>
      </w:r>
    </w:p>
    <w:p w14:paraId="79BBD4A5">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联系人：何笑延</w:t>
      </w:r>
    </w:p>
    <w:p w14:paraId="064E400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电话：13419871139</w:t>
      </w:r>
    </w:p>
    <w:p w14:paraId="29F71C7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9.监督单位及联系电话：</w:t>
      </w:r>
    </w:p>
    <w:p w14:paraId="43DD33C9">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监督单位：延津县住房建设和城市管理局 </w:t>
      </w:r>
    </w:p>
    <w:p w14:paraId="1CC4CBD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联系方式：</w:t>
      </w:r>
      <w:r>
        <w:rPr>
          <w:rFonts w:hint="eastAsia" w:ascii="微软雅黑" w:hAnsi="微软雅黑" w:eastAsia="微软雅黑" w:cs="微软雅黑"/>
          <w:color w:val="auto"/>
          <w:sz w:val="22"/>
          <w:szCs w:val="22"/>
          <w:highlight w:val="none"/>
          <w:lang w:val="en-US" w:eastAsia="zh-CN"/>
        </w:rPr>
        <w:t>李先生 13503437446</w:t>
      </w:r>
    </w:p>
    <w:p w14:paraId="0F6A1C97">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jc w:val="both"/>
        <w:textAlignment w:val="auto"/>
        <w:rPr>
          <w:rFonts w:hint="eastAsia" w:ascii="微软雅黑" w:hAnsi="微软雅黑" w:eastAsia="微软雅黑" w:cs="微软雅黑"/>
          <w:color w:val="auto"/>
          <w:sz w:val="22"/>
          <w:szCs w:val="22"/>
          <w:highlight w:val="none"/>
        </w:rPr>
      </w:pPr>
    </w:p>
    <w:p w14:paraId="0659D10C">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jc w:val="righ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河南鸿轩工程管理有限公司　</w:t>
      </w:r>
    </w:p>
    <w:p w14:paraId="73E8BC26">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leftChars="8" w:firstLine="440" w:firstLineChars="200"/>
        <w:jc w:val="righ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09</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28</w:t>
      </w:r>
      <w:r>
        <w:rPr>
          <w:rFonts w:hint="eastAsia" w:ascii="微软雅黑" w:hAnsi="微软雅黑" w:eastAsia="微软雅黑" w:cs="微软雅黑"/>
          <w:color w:val="auto"/>
          <w:sz w:val="22"/>
          <w:szCs w:val="22"/>
          <w:highlight w:val="none"/>
        </w:rPr>
        <w:t xml:space="preserve">日 </w:t>
      </w:r>
    </w:p>
    <w:p w14:paraId="51C33C5A">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40" w:firstLineChars="200"/>
        <w:jc w:val="righ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14:paraId="763DE995">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40" w:firstLineChars="200"/>
        <w:jc w:val="right"/>
        <w:textAlignment w:val="auto"/>
        <w:rPr>
          <w:rFonts w:hint="eastAsia" w:ascii="微软雅黑" w:hAnsi="微软雅黑" w:eastAsia="微软雅黑" w:cs="微软雅黑"/>
          <w:color w:val="auto"/>
          <w:sz w:val="22"/>
          <w:szCs w:val="22"/>
          <w:highlight w:val="none"/>
        </w:rPr>
      </w:pPr>
    </w:p>
    <w:p w14:paraId="45BFE7DB">
      <w:pPr>
        <w:pStyle w:val="4"/>
        <w:spacing w:before="72" w:line="219" w:lineRule="auto"/>
        <w:ind w:left="3122"/>
        <w:outlineLvl w:val="0"/>
        <w:rPr>
          <w:color w:val="auto"/>
          <w:sz w:val="36"/>
          <w:szCs w:val="36"/>
          <w:highlight w:val="none"/>
        </w:rPr>
      </w:pPr>
      <w:r>
        <w:rPr>
          <w:rFonts w:ascii="黑体" w:eastAsia="黑体"/>
          <w:color w:val="auto"/>
          <w:sz w:val="28"/>
          <w:szCs w:val="28"/>
          <w:highlight w:val="none"/>
        </w:rPr>
        <w:br w:type="page"/>
      </w:r>
      <w:bookmarkStart w:id="8" w:name="_Toc28759"/>
      <w:r>
        <w:rPr>
          <w:color w:val="auto"/>
          <w:sz w:val="36"/>
          <w:szCs w:val="36"/>
          <w:highlight w:val="none"/>
          <w14:textOutline w14:w="6540" w14:cap="flat" w14:cmpd="sng">
            <w14:solidFill>
              <w14:srgbClr w14:val="000000"/>
            </w14:solidFill>
            <w14:prstDash w14:val="solid"/>
            <w14:miter w14:val="0"/>
          </w14:textOutline>
        </w:rPr>
        <w:t>第二章</w:t>
      </w:r>
      <w:r>
        <w:rPr>
          <w:color w:val="auto"/>
          <w:sz w:val="36"/>
          <w:szCs w:val="36"/>
          <w:highlight w:val="none"/>
        </w:rPr>
        <w:t xml:space="preserve"> </w:t>
      </w:r>
      <w:r>
        <w:rPr>
          <w:color w:val="auto"/>
          <w:sz w:val="36"/>
          <w:szCs w:val="36"/>
          <w:highlight w:val="none"/>
          <w14:textOutline w14:w="6540" w14:cap="flat" w14:cmpd="sng">
            <w14:solidFill>
              <w14:srgbClr w14:val="000000"/>
            </w14:solidFill>
            <w14:prstDash w14:val="solid"/>
            <w14:miter w14:val="0"/>
          </w14:textOutline>
        </w:rPr>
        <w:t>投标人须知</w:t>
      </w:r>
      <w:bookmarkEnd w:id="8"/>
    </w:p>
    <w:p w14:paraId="0B4414FA">
      <w:pPr>
        <w:pStyle w:val="4"/>
        <w:spacing w:before="287" w:line="222" w:lineRule="auto"/>
        <w:ind w:left="3380"/>
        <w:outlineLvl w:val="1"/>
        <w:rPr>
          <w:color w:val="auto"/>
          <w:sz w:val="31"/>
          <w:szCs w:val="31"/>
          <w:highlight w:val="none"/>
        </w:rPr>
      </w:pPr>
      <w:bookmarkStart w:id="9" w:name="_Toc26875"/>
      <w:r>
        <w:rPr>
          <w:color w:val="auto"/>
          <w:spacing w:val="9"/>
          <w:sz w:val="31"/>
          <w:szCs w:val="31"/>
          <w:highlight w:val="none"/>
          <w14:textOutline w14:w="5724" w14:cap="flat" w14:cmpd="sng">
            <w14:solidFill>
              <w14:srgbClr w14:val="000000"/>
            </w14:solidFill>
            <w14:prstDash w14:val="solid"/>
            <w14:miter w14:val="0"/>
          </w14:textOutline>
        </w:rPr>
        <w:t>投标人须知前附表</w:t>
      </w:r>
      <w:bookmarkEnd w:id="9"/>
    </w:p>
    <w:p w14:paraId="1EF0C89E">
      <w:pPr>
        <w:spacing w:line="213" w:lineRule="exact"/>
        <w:rPr>
          <w:color w:val="auto"/>
          <w:highlight w:val="none"/>
        </w:rPr>
      </w:pPr>
    </w:p>
    <w:tbl>
      <w:tblPr>
        <w:tblStyle w:val="30"/>
        <w:tblW w:w="9269" w:type="dxa"/>
        <w:tblInd w:w="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750"/>
        <w:gridCol w:w="1395"/>
        <w:gridCol w:w="6157"/>
      </w:tblGrid>
      <w:tr w14:paraId="7890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967" w:type="dxa"/>
            <w:tcBorders>
              <w:left w:val="single" w:color="000000" w:sz="4" w:space="0"/>
            </w:tcBorders>
            <w:vAlign w:val="top"/>
          </w:tcPr>
          <w:p w14:paraId="4C28E0B8">
            <w:pPr>
              <w:pStyle w:val="29"/>
              <w:spacing w:before="209" w:line="220" w:lineRule="auto"/>
              <w:ind w:left="180"/>
              <w:rPr>
                <w:color w:val="auto"/>
                <w:highlight w:val="none"/>
              </w:rPr>
            </w:pPr>
            <w:r>
              <w:rPr>
                <w:color w:val="auto"/>
                <w:spacing w:val="-2"/>
                <w:highlight w:val="none"/>
                <w14:textOutline w14:w="3810" w14:cap="flat" w14:cmpd="sng">
                  <w14:solidFill>
                    <w14:srgbClr w14:val="000000"/>
                  </w14:solidFill>
                  <w14:prstDash w14:val="solid"/>
                  <w14:miter w14:val="0"/>
                </w14:textOutline>
              </w:rPr>
              <w:t>条款号</w:t>
            </w:r>
          </w:p>
        </w:tc>
        <w:tc>
          <w:tcPr>
            <w:tcW w:w="2145" w:type="dxa"/>
            <w:gridSpan w:val="2"/>
            <w:vAlign w:val="top"/>
          </w:tcPr>
          <w:p w14:paraId="1057EC50">
            <w:pPr>
              <w:pStyle w:val="29"/>
              <w:spacing w:before="209" w:line="220" w:lineRule="auto"/>
              <w:ind w:left="667"/>
              <w:rPr>
                <w:color w:val="auto"/>
                <w:highlight w:val="none"/>
              </w:rPr>
            </w:pPr>
            <w:r>
              <w:rPr>
                <w:color w:val="auto"/>
                <w:spacing w:val="-2"/>
                <w:highlight w:val="none"/>
                <w14:textOutline w14:w="3810" w14:cap="flat" w14:cmpd="sng">
                  <w14:solidFill>
                    <w14:srgbClr w14:val="000000"/>
                  </w14:solidFill>
                  <w14:prstDash w14:val="solid"/>
                  <w14:miter w14:val="0"/>
                </w14:textOutline>
              </w:rPr>
              <w:t>条款名称</w:t>
            </w:r>
          </w:p>
        </w:tc>
        <w:tc>
          <w:tcPr>
            <w:tcW w:w="6157" w:type="dxa"/>
            <w:vAlign w:val="top"/>
          </w:tcPr>
          <w:p w14:paraId="527744AD">
            <w:pPr>
              <w:pStyle w:val="29"/>
              <w:spacing w:before="209" w:line="220" w:lineRule="auto"/>
              <w:ind w:left="2667"/>
              <w:rPr>
                <w:color w:val="auto"/>
                <w:highlight w:val="none"/>
              </w:rPr>
            </w:pPr>
            <w:r>
              <w:rPr>
                <w:color w:val="auto"/>
                <w:spacing w:val="-2"/>
                <w:highlight w:val="none"/>
                <w14:textOutline w14:w="3810" w14:cap="flat" w14:cmpd="sng">
                  <w14:solidFill>
                    <w14:srgbClr w14:val="000000"/>
                  </w14:solidFill>
                  <w14:prstDash w14:val="solid"/>
                  <w14:miter w14:val="0"/>
                </w14:textOutline>
              </w:rPr>
              <w:t>编列内容</w:t>
            </w:r>
          </w:p>
        </w:tc>
      </w:tr>
      <w:tr w14:paraId="523A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4" w:hRule="atLeast"/>
        </w:trPr>
        <w:tc>
          <w:tcPr>
            <w:tcW w:w="967" w:type="dxa"/>
            <w:tcBorders>
              <w:left w:val="single" w:color="000000" w:sz="4" w:space="0"/>
            </w:tcBorders>
            <w:vAlign w:val="top"/>
          </w:tcPr>
          <w:p w14:paraId="32A1BEF4">
            <w:pPr>
              <w:spacing w:line="251" w:lineRule="auto"/>
              <w:rPr>
                <w:rFonts w:ascii="Arial"/>
                <w:color w:val="auto"/>
                <w:sz w:val="21"/>
                <w:highlight w:val="none"/>
              </w:rPr>
            </w:pPr>
          </w:p>
          <w:p w14:paraId="1887890B">
            <w:pPr>
              <w:spacing w:line="251" w:lineRule="auto"/>
              <w:rPr>
                <w:rFonts w:ascii="Arial"/>
                <w:color w:val="auto"/>
                <w:sz w:val="21"/>
                <w:highlight w:val="none"/>
              </w:rPr>
            </w:pPr>
          </w:p>
          <w:p w14:paraId="178D3165">
            <w:pPr>
              <w:spacing w:line="251" w:lineRule="auto"/>
              <w:rPr>
                <w:rFonts w:ascii="Arial"/>
                <w:color w:val="auto"/>
                <w:sz w:val="21"/>
                <w:highlight w:val="none"/>
              </w:rPr>
            </w:pPr>
          </w:p>
          <w:p w14:paraId="2B53A94E">
            <w:pPr>
              <w:spacing w:line="251" w:lineRule="auto"/>
              <w:rPr>
                <w:rFonts w:ascii="Arial"/>
                <w:color w:val="auto"/>
                <w:sz w:val="21"/>
                <w:highlight w:val="none"/>
              </w:rPr>
            </w:pPr>
          </w:p>
          <w:p w14:paraId="3AAC7AE1">
            <w:pPr>
              <w:pStyle w:val="29"/>
              <w:spacing w:before="68" w:line="182" w:lineRule="auto"/>
              <w:ind w:left="239"/>
              <w:rPr>
                <w:color w:val="auto"/>
                <w:highlight w:val="none"/>
              </w:rPr>
            </w:pPr>
            <w:r>
              <w:rPr>
                <w:color w:val="auto"/>
                <w:spacing w:val="-4"/>
                <w:highlight w:val="none"/>
              </w:rPr>
              <w:t>1.1.2</w:t>
            </w:r>
          </w:p>
        </w:tc>
        <w:tc>
          <w:tcPr>
            <w:tcW w:w="2145" w:type="dxa"/>
            <w:gridSpan w:val="2"/>
            <w:vAlign w:val="top"/>
          </w:tcPr>
          <w:p w14:paraId="7A8186AF">
            <w:pPr>
              <w:spacing w:line="242" w:lineRule="auto"/>
              <w:rPr>
                <w:rFonts w:ascii="Arial"/>
                <w:color w:val="auto"/>
                <w:sz w:val="21"/>
                <w:highlight w:val="none"/>
              </w:rPr>
            </w:pPr>
          </w:p>
          <w:p w14:paraId="4F86D32B">
            <w:pPr>
              <w:spacing w:line="242" w:lineRule="auto"/>
              <w:rPr>
                <w:rFonts w:ascii="Arial"/>
                <w:color w:val="auto"/>
                <w:sz w:val="21"/>
                <w:highlight w:val="none"/>
              </w:rPr>
            </w:pPr>
          </w:p>
          <w:p w14:paraId="0008D348">
            <w:pPr>
              <w:spacing w:line="243" w:lineRule="auto"/>
              <w:rPr>
                <w:rFonts w:ascii="Arial"/>
                <w:color w:val="auto"/>
                <w:sz w:val="21"/>
                <w:highlight w:val="none"/>
              </w:rPr>
            </w:pPr>
          </w:p>
          <w:p w14:paraId="7FF0773F">
            <w:pPr>
              <w:spacing w:line="243" w:lineRule="auto"/>
              <w:rPr>
                <w:rFonts w:ascii="Arial"/>
                <w:color w:val="auto"/>
                <w:sz w:val="21"/>
                <w:highlight w:val="none"/>
              </w:rPr>
            </w:pPr>
          </w:p>
          <w:p w14:paraId="413E6318">
            <w:pPr>
              <w:pStyle w:val="29"/>
              <w:spacing w:before="68" w:line="220" w:lineRule="auto"/>
              <w:ind w:left="772"/>
              <w:rPr>
                <w:color w:val="auto"/>
                <w:highlight w:val="none"/>
              </w:rPr>
            </w:pPr>
            <w:r>
              <w:rPr>
                <w:color w:val="auto"/>
                <w:spacing w:val="-2"/>
                <w:highlight w:val="none"/>
              </w:rPr>
              <w:t>招标人</w:t>
            </w:r>
          </w:p>
        </w:tc>
        <w:tc>
          <w:tcPr>
            <w:tcW w:w="6157" w:type="dxa"/>
            <w:vAlign w:val="top"/>
          </w:tcPr>
          <w:p w14:paraId="6482470F">
            <w:pPr>
              <w:pStyle w:val="29"/>
              <w:spacing w:before="200" w:line="219" w:lineRule="auto"/>
              <w:ind w:left="137"/>
              <w:rPr>
                <w:rFonts w:hint="eastAsia"/>
                <w:color w:val="auto"/>
                <w:highlight w:val="none"/>
              </w:rPr>
            </w:pPr>
            <w:r>
              <w:rPr>
                <w:rFonts w:hint="eastAsia"/>
                <w:color w:val="auto"/>
                <w:highlight w:val="none"/>
              </w:rPr>
              <w:t>招标人：</w:t>
            </w:r>
            <w:r>
              <w:rPr>
                <w:rFonts w:hint="eastAsia"/>
                <w:color w:val="auto"/>
                <w:highlight w:val="none"/>
                <w:lang w:eastAsia="zh-CN"/>
              </w:rPr>
              <w:t>延津县先进制造业开发区管理委员会</w:t>
            </w:r>
            <w:r>
              <w:rPr>
                <w:rFonts w:hint="eastAsia"/>
                <w:color w:val="auto"/>
                <w:highlight w:val="none"/>
              </w:rPr>
              <w:t xml:space="preserve"> </w:t>
            </w:r>
          </w:p>
          <w:p w14:paraId="358FA9D1">
            <w:pPr>
              <w:pStyle w:val="29"/>
              <w:spacing w:before="200" w:line="219" w:lineRule="auto"/>
              <w:ind w:left="137"/>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河南省新乡市延津县新长南线</w:t>
            </w:r>
          </w:p>
          <w:p w14:paraId="23A8A52F">
            <w:pPr>
              <w:pStyle w:val="29"/>
              <w:spacing w:before="200" w:line="219" w:lineRule="auto"/>
              <w:ind w:left="137"/>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 xml:space="preserve"> 赵宁</w:t>
            </w:r>
          </w:p>
          <w:p w14:paraId="4B2218AF">
            <w:pPr>
              <w:pStyle w:val="29"/>
              <w:spacing w:before="200" w:line="219" w:lineRule="auto"/>
              <w:ind w:left="137"/>
              <w:rPr>
                <w:rFonts w:hint="eastAsia" w:eastAsia="宋体"/>
                <w:color w:val="auto"/>
                <w:highlight w:val="none"/>
                <w:lang w:eastAsia="zh-CN"/>
              </w:rPr>
            </w:pPr>
            <w:r>
              <w:rPr>
                <w:rFonts w:hint="eastAsia"/>
                <w:color w:val="auto"/>
                <w:highlight w:val="none"/>
              </w:rPr>
              <w:t>联系方式：18637330718</w:t>
            </w:r>
            <w:r>
              <w:rPr>
                <w:rFonts w:hint="eastAsia"/>
                <w:color w:val="auto"/>
                <w:highlight w:val="none"/>
                <w:lang w:val="en-US" w:eastAsia="zh-CN"/>
              </w:rPr>
              <w:t xml:space="preserve"> </w:t>
            </w:r>
          </w:p>
        </w:tc>
      </w:tr>
      <w:tr w14:paraId="28A2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4" w:hRule="atLeast"/>
        </w:trPr>
        <w:tc>
          <w:tcPr>
            <w:tcW w:w="967" w:type="dxa"/>
            <w:tcBorders>
              <w:left w:val="single" w:color="000000" w:sz="4" w:space="0"/>
            </w:tcBorders>
            <w:vAlign w:val="top"/>
          </w:tcPr>
          <w:p w14:paraId="3007B225">
            <w:pPr>
              <w:spacing w:line="266" w:lineRule="auto"/>
              <w:rPr>
                <w:rFonts w:ascii="Arial"/>
                <w:color w:val="auto"/>
                <w:sz w:val="21"/>
                <w:highlight w:val="none"/>
              </w:rPr>
            </w:pPr>
          </w:p>
          <w:p w14:paraId="75884762">
            <w:pPr>
              <w:spacing w:line="266" w:lineRule="auto"/>
              <w:rPr>
                <w:rFonts w:ascii="Arial"/>
                <w:color w:val="auto"/>
                <w:sz w:val="21"/>
                <w:highlight w:val="none"/>
              </w:rPr>
            </w:pPr>
          </w:p>
          <w:p w14:paraId="5F77375F">
            <w:pPr>
              <w:spacing w:line="266" w:lineRule="auto"/>
              <w:rPr>
                <w:rFonts w:ascii="Arial"/>
                <w:color w:val="auto"/>
                <w:sz w:val="21"/>
                <w:highlight w:val="none"/>
              </w:rPr>
            </w:pPr>
          </w:p>
          <w:p w14:paraId="1E6BF575">
            <w:pPr>
              <w:pStyle w:val="29"/>
              <w:spacing w:before="68" w:line="182" w:lineRule="auto"/>
              <w:ind w:left="239"/>
              <w:rPr>
                <w:color w:val="auto"/>
                <w:highlight w:val="none"/>
              </w:rPr>
            </w:pPr>
            <w:r>
              <w:rPr>
                <w:color w:val="auto"/>
                <w:spacing w:val="-4"/>
                <w:highlight w:val="none"/>
              </w:rPr>
              <w:t>1.1.3</w:t>
            </w:r>
          </w:p>
        </w:tc>
        <w:tc>
          <w:tcPr>
            <w:tcW w:w="2145" w:type="dxa"/>
            <w:gridSpan w:val="2"/>
            <w:vAlign w:val="top"/>
          </w:tcPr>
          <w:p w14:paraId="0FF4C19A">
            <w:pPr>
              <w:spacing w:line="254" w:lineRule="auto"/>
              <w:rPr>
                <w:rFonts w:ascii="Arial"/>
                <w:color w:val="auto"/>
                <w:sz w:val="21"/>
                <w:highlight w:val="none"/>
              </w:rPr>
            </w:pPr>
          </w:p>
          <w:p w14:paraId="782BF864">
            <w:pPr>
              <w:spacing w:line="254" w:lineRule="auto"/>
              <w:rPr>
                <w:rFonts w:ascii="Arial"/>
                <w:color w:val="auto"/>
                <w:sz w:val="21"/>
                <w:highlight w:val="none"/>
              </w:rPr>
            </w:pPr>
          </w:p>
          <w:p w14:paraId="5DA544CE">
            <w:pPr>
              <w:spacing w:line="255" w:lineRule="auto"/>
              <w:rPr>
                <w:rFonts w:ascii="Arial"/>
                <w:color w:val="auto"/>
                <w:sz w:val="21"/>
                <w:highlight w:val="none"/>
              </w:rPr>
            </w:pPr>
          </w:p>
          <w:p w14:paraId="11395178">
            <w:pPr>
              <w:pStyle w:val="29"/>
              <w:spacing w:before="68" w:line="219" w:lineRule="auto"/>
              <w:ind w:left="456"/>
              <w:rPr>
                <w:color w:val="auto"/>
                <w:highlight w:val="none"/>
              </w:rPr>
            </w:pPr>
            <w:r>
              <w:rPr>
                <w:color w:val="auto"/>
                <w:spacing w:val="-1"/>
                <w:highlight w:val="none"/>
              </w:rPr>
              <w:t>招标代理机构</w:t>
            </w:r>
          </w:p>
        </w:tc>
        <w:tc>
          <w:tcPr>
            <w:tcW w:w="6157" w:type="dxa"/>
            <w:vAlign w:val="top"/>
          </w:tcPr>
          <w:p w14:paraId="50E2A832">
            <w:pPr>
              <w:pStyle w:val="29"/>
              <w:spacing w:before="202" w:line="216" w:lineRule="auto"/>
              <w:ind w:left="113"/>
              <w:rPr>
                <w:rFonts w:hint="eastAsia" w:eastAsia="宋体"/>
                <w:color w:val="auto"/>
                <w:highlight w:val="none"/>
                <w:lang w:eastAsia="zh-CN"/>
              </w:rPr>
            </w:pPr>
            <w:r>
              <w:rPr>
                <w:rFonts w:hint="eastAsia"/>
                <w:color w:val="auto"/>
                <w:highlight w:val="none"/>
              </w:rPr>
              <w:t>代理机构：</w:t>
            </w:r>
            <w:r>
              <w:rPr>
                <w:rFonts w:hint="eastAsia"/>
                <w:color w:val="auto"/>
                <w:highlight w:val="none"/>
                <w:lang w:eastAsia="zh-CN"/>
              </w:rPr>
              <w:t>河南鸿轩工程管理有限公司</w:t>
            </w:r>
          </w:p>
          <w:p w14:paraId="150A17D5">
            <w:pPr>
              <w:pStyle w:val="29"/>
              <w:spacing w:before="202" w:line="216" w:lineRule="auto"/>
              <w:ind w:left="113"/>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河南省郑州市中原区桐柏南路238号凯旋门大厦B座3楼301室</w:t>
            </w:r>
          </w:p>
          <w:p w14:paraId="25CCBE85">
            <w:pPr>
              <w:pStyle w:val="29"/>
              <w:spacing w:before="202" w:line="216" w:lineRule="auto"/>
              <w:ind w:left="113"/>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何笑延</w:t>
            </w:r>
          </w:p>
          <w:p w14:paraId="2F2A2B95">
            <w:pPr>
              <w:pStyle w:val="29"/>
              <w:spacing w:before="202" w:line="216" w:lineRule="auto"/>
              <w:ind w:left="113"/>
              <w:rPr>
                <w:rFonts w:hint="eastAsia" w:eastAsia="宋体"/>
                <w:color w:val="auto"/>
                <w:highlight w:val="none"/>
                <w:lang w:eastAsia="zh-CN"/>
              </w:rPr>
            </w:pPr>
            <w:r>
              <w:rPr>
                <w:rFonts w:hint="eastAsia"/>
                <w:color w:val="auto"/>
                <w:highlight w:val="none"/>
              </w:rPr>
              <w:t>电话：</w:t>
            </w:r>
            <w:r>
              <w:rPr>
                <w:rFonts w:hint="eastAsia"/>
                <w:color w:val="auto"/>
                <w:highlight w:val="none"/>
                <w:lang w:eastAsia="zh-CN"/>
              </w:rPr>
              <w:t>13419871139</w:t>
            </w:r>
          </w:p>
        </w:tc>
      </w:tr>
      <w:tr w14:paraId="2922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54698D48">
            <w:pPr>
              <w:pStyle w:val="29"/>
              <w:spacing w:before="243" w:line="182" w:lineRule="auto"/>
              <w:ind w:left="239"/>
              <w:rPr>
                <w:color w:val="auto"/>
                <w:highlight w:val="none"/>
              </w:rPr>
            </w:pPr>
            <w:r>
              <w:rPr>
                <w:color w:val="auto"/>
                <w:spacing w:val="-4"/>
                <w:highlight w:val="none"/>
              </w:rPr>
              <w:t>1.1.4</w:t>
            </w:r>
          </w:p>
        </w:tc>
        <w:tc>
          <w:tcPr>
            <w:tcW w:w="2145" w:type="dxa"/>
            <w:gridSpan w:val="2"/>
            <w:vAlign w:val="top"/>
          </w:tcPr>
          <w:p w14:paraId="1C5F0C33">
            <w:pPr>
              <w:pStyle w:val="29"/>
              <w:spacing w:before="209" w:line="220" w:lineRule="auto"/>
              <w:ind w:left="669"/>
              <w:rPr>
                <w:rFonts w:hint="default" w:eastAsia="宋体"/>
                <w:color w:val="auto"/>
                <w:highlight w:val="none"/>
                <w:lang w:val="en-US" w:eastAsia="zh-CN"/>
              </w:rPr>
            </w:pPr>
            <w:r>
              <w:rPr>
                <w:color w:val="auto"/>
                <w:spacing w:val="-2"/>
                <w:highlight w:val="none"/>
              </w:rPr>
              <w:t>项目名称</w:t>
            </w:r>
            <w:r>
              <w:rPr>
                <w:rFonts w:hint="eastAsia"/>
                <w:color w:val="auto"/>
                <w:spacing w:val="-2"/>
                <w:highlight w:val="none"/>
                <w:lang w:val="en-US" w:eastAsia="zh-CN"/>
              </w:rPr>
              <w:t>及标段</w:t>
            </w:r>
          </w:p>
        </w:tc>
        <w:tc>
          <w:tcPr>
            <w:tcW w:w="6157" w:type="dxa"/>
            <w:vAlign w:val="top"/>
          </w:tcPr>
          <w:p w14:paraId="712A3563">
            <w:pPr>
              <w:pStyle w:val="29"/>
              <w:spacing w:before="208" w:line="219" w:lineRule="auto"/>
              <w:ind w:left="115"/>
              <w:rPr>
                <w:rFonts w:hint="eastAsia"/>
                <w:color w:val="auto"/>
                <w:highlight w:val="none"/>
                <w:lang w:eastAsia="zh-CN"/>
              </w:rPr>
            </w:pPr>
            <w:r>
              <w:rPr>
                <w:rFonts w:hint="eastAsia"/>
                <w:color w:val="auto"/>
                <w:highlight w:val="none"/>
                <w:lang w:val="en-US" w:eastAsia="zh-CN"/>
              </w:rPr>
              <w:t>项目名称：</w:t>
            </w:r>
            <w:r>
              <w:rPr>
                <w:rFonts w:hint="eastAsia"/>
                <w:color w:val="auto"/>
                <w:highlight w:val="none"/>
                <w:lang w:eastAsia="zh-CN"/>
              </w:rPr>
              <w:t>延津县先进制造业开发区管理委员会化工园区第二污水处理厂改造及配套明管专管、中水回用管网建设项目一期工程</w:t>
            </w:r>
          </w:p>
          <w:p w14:paraId="373A7AD2">
            <w:pPr>
              <w:pStyle w:val="29"/>
              <w:spacing w:before="208" w:line="219" w:lineRule="auto"/>
              <w:ind w:left="115"/>
              <w:rPr>
                <w:rFonts w:hint="default" w:eastAsia="宋体"/>
                <w:color w:val="auto"/>
                <w:spacing w:val="-1"/>
                <w:highlight w:val="none"/>
                <w:lang w:val="en-US" w:eastAsia="zh-CN"/>
              </w:rPr>
            </w:pPr>
            <w:r>
              <w:rPr>
                <w:rFonts w:hint="eastAsia"/>
                <w:color w:val="auto"/>
                <w:spacing w:val="-1"/>
                <w:highlight w:val="none"/>
                <w:lang w:val="en-US" w:eastAsia="zh-CN"/>
              </w:rPr>
              <w:t>标段：监理标段</w:t>
            </w:r>
          </w:p>
        </w:tc>
      </w:tr>
      <w:tr w14:paraId="4AE23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67" w:type="dxa"/>
            <w:tcBorders>
              <w:left w:val="single" w:color="000000" w:sz="4" w:space="0"/>
            </w:tcBorders>
            <w:vAlign w:val="top"/>
          </w:tcPr>
          <w:p w14:paraId="1BFF9EE1">
            <w:pPr>
              <w:pStyle w:val="29"/>
              <w:spacing w:before="243" w:line="182" w:lineRule="auto"/>
              <w:ind w:left="239"/>
              <w:rPr>
                <w:color w:val="auto"/>
                <w:highlight w:val="none"/>
              </w:rPr>
            </w:pPr>
            <w:r>
              <w:rPr>
                <w:color w:val="auto"/>
                <w:spacing w:val="-4"/>
                <w:highlight w:val="none"/>
              </w:rPr>
              <w:t>1.1.5</w:t>
            </w:r>
          </w:p>
        </w:tc>
        <w:tc>
          <w:tcPr>
            <w:tcW w:w="2145" w:type="dxa"/>
            <w:gridSpan w:val="2"/>
            <w:vAlign w:val="top"/>
          </w:tcPr>
          <w:p w14:paraId="7870F997">
            <w:pPr>
              <w:pStyle w:val="29"/>
              <w:spacing w:before="209" w:line="220" w:lineRule="auto"/>
              <w:ind w:left="459"/>
              <w:rPr>
                <w:color w:val="auto"/>
                <w:highlight w:val="none"/>
              </w:rPr>
            </w:pPr>
            <w:r>
              <w:rPr>
                <w:color w:val="auto"/>
                <w:spacing w:val="-2"/>
                <w:highlight w:val="none"/>
              </w:rPr>
              <w:t>项目建设地点</w:t>
            </w:r>
          </w:p>
        </w:tc>
        <w:tc>
          <w:tcPr>
            <w:tcW w:w="6157" w:type="dxa"/>
            <w:vAlign w:val="top"/>
          </w:tcPr>
          <w:p w14:paraId="5C58C6C1">
            <w:pPr>
              <w:pStyle w:val="29"/>
              <w:spacing w:before="208" w:line="220" w:lineRule="auto"/>
              <w:ind w:left="113"/>
              <w:rPr>
                <w:rFonts w:hint="eastAsia" w:eastAsia="宋体"/>
                <w:color w:val="auto"/>
                <w:highlight w:val="none"/>
                <w:lang w:val="en-US" w:eastAsia="zh-CN"/>
              </w:rPr>
            </w:pPr>
            <w:r>
              <w:rPr>
                <w:color w:val="auto"/>
                <w:spacing w:val="-1"/>
                <w:highlight w:val="none"/>
              </w:rPr>
              <w:t>新乡市</w:t>
            </w:r>
            <w:r>
              <w:rPr>
                <w:rFonts w:hint="eastAsia"/>
                <w:color w:val="auto"/>
                <w:spacing w:val="-1"/>
                <w:highlight w:val="none"/>
                <w:lang w:val="en-US" w:eastAsia="zh-CN"/>
              </w:rPr>
              <w:t>延津县</w:t>
            </w:r>
          </w:p>
        </w:tc>
      </w:tr>
      <w:tr w14:paraId="40D1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3D354128">
            <w:pPr>
              <w:pStyle w:val="29"/>
              <w:spacing w:before="243" w:line="182" w:lineRule="auto"/>
              <w:ind w:left="239"/>
              <w:rPr>
                <w:color w:val="auto"/>
                <w:highlight w:val="none"/>
              </w:rPr>
            </w:pPr>
            <w:r>
              <w:rPr>
                <w:color w:val="auto"/>
                <w:spacing w:val="-4"/>
                <w:highlight w:val="none"/>
              </w:rPr>
              <w:t>1.2.1</w:t>
            </w:r>
          </w:p>
        </w:tc>
        <w:tc>
          <w:tcPr>
            <w:tcW w:w="2145" w:type="dxa"/>
            <w:gridSpan w:val="2"/>
            <w:vAlign w:val="top"/>
          </w:tcPr>
          <w:p w14:paraId="6A315CCE">
            <w:pPr>
              <w:pStyle w:val="29"/>
              <w:spacing w:before="209" w:line="220" w:lineRule="auto"/>
              <w:ind w:left="674"/>
              <w:rPr>
                <w:color w:val="auto"/>
                <w:highlight w:val="none"/>
              </w:rPr>
            </w:pPr>
            <w:r>
              <w:rPr>
                <w:color w:val="auto"/>
                <w:spacing w:val="-3"/>
                <w:highlight w:val="none"/>
              </w:rPr>
              <w:t>资金来源</w:t>
            </w:r>
          </w:p>
        </w:tc>
        <w:tc>
          <w:tcPr>
            <w:tcW w:w="6157" w:type="dxa"/>
            <w:vAlign w:val="top"/>
          </w:tcPr>
          <w:p w14:paraId="04B936D2">
            <w:pPr>
              <w:pStyle w:val="29"/>
              <w:spacing w:before="209" w:line="221" w:lineRule="auto"/>
              <w:ind w:left="113"/>
              <w:rPr>
                <w:color w:val="auto"/>
                <w:highlight w:val="none"/>
              </w:rPr>
            </w:pPr>
            <w:r>
              <w:rPr>
                <w:color w:val="auto"/>
                <w:spacing w:val="-2"/>
                <w:highlight w:val="none"/>
              </w:rPr>
              <w:t>财政资金</w:t>
            </w:r>
          </w:p>
        </w:tc>
      </w:tr>
      <w:tr w14:paraId="0911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136E0CB4">
            <w:pPr>
              <w:pStyle w:val="29"/>
              <w:spacing w:before="244" w:line="182" w:lineRule="auto"/>
              <w:ind w:left="239"/>
              <w:rPr>
                <w:color w:val="auto"/>
                <w:highlight w:val="none"/>
              </w:rPr>
            </w:pPr>
            <w:r>
              <w:rPr>
                <w:color w:val="auto"/>
                <w:spacing w:val="-4"/>
                <w:highlight w:val="none"/>
              </w:rPr>
              <w:t>1.2.2</w:t>
            </w:r>
          </w:p>
        </w:tc>
        <w:tc>
          <w:tcPr>
            <w:tcW w:w="2145" w:type="dxa"/>
            <w:gridSpan w:val="2"/>
            <w:vAlign w:val="top"/>
          </w:tcPr>
          <w:p w14:paraId="73AB968E">
            <w:pPr>
              <w:pStyle w:val="29"/>
              <w:spacing w:before="210" w:line="221" w:lineRule="auto"/>
              <w:ind w:left="683"/>
              <w:rPr>
                <w:color w:val="auto"/>
                <w:highlight w:val="none"/>
              </w:rPr>
            </w:pPr>
            <w:r>
              <w:rPr>
                <w:color w:val="auto"/>
                <w:spacing w:val="-5"/>
                <w:highlight w:val="none"/>
              </w:rPr>
              <w:t>出资比例</w:t>
            </w:r>
          </w:p>
        </w:tc>
        <w:tc>
          <w:tcPr>
            <w:tcW w:w="6157" w:type="dxa"/>
            <w:vAlign w:val="top"/>
          </w:tcPr>
          <w:p w14:paraId="655C7E8A">
            <w:pPr>
              <w:pStyle w:val="29"/>
              <w:spacing w:before="244" w:line="182" w:lineRule="auto"/>
              <w:ind w:left="128"/>
              <w:rPr>
                <w:color w:val="auto"/>
                <w:highlight w:val="none"/>
              </w:rPr>
            </w:pPr>
            <w:r>
              <w:rPr>
                <w:color w:val="auto"/>
                <w:spacing w:val="-5"/>
                <w:highlight w:val="none"/>
              </w:rPr>
              <w:t>100%</w:t>
            </w:r>
          </w:p>
        </w:tc>
      </w:tr>
      <w:tr w14:paraId="0878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67" w:type="dxa"/>
            <w:tcBorders>
              <w:left w:val="single" w:color="000000" w:sz="4" w:space="0"/>
            </w:tcBorders>
            <w:vAlign w:val="top"/>
          </w:tcPr>
          <w:p w14:paraId="1B23AD4A">
            <w:pPr>
              <w:pStyle w:val="29"/>
              <w:spacing w:before="244" w:line="182" w:lineRule="auto"/>
              <w:ind w:left="239"/>
              <w:rPr>
                <w:color w:val="auto"/>
                <w:highlight w:val="none"/>
              </w:rPr>
            </w:pPr>
            <w:r>
              <w:rPr>
                <w:color w:val="auto"/>
                <w:spacing w:val="-4"/>
                <w:highlight w:val="none"/>
              </w:rPr>
              <w:t>1.2.3</w:t>
            </w:r>
          </w:p>
        </w:tc>
        <w:tc>
          <w:tcPr>
            <w:tcW w:w="2145" w:type="dxa"/>
            <w:gridSpan w:val="2"/>
            <w:vAlign w:val="top"/>
          </w:tcPr>
          <w:p w14:paraId="5A57E37D">
            <w:pPr>
              <w:pStyle w:val="29"/>
              <w:spacing w:before="210" w:line="220" w:lineRule="auto"/>
              <w:ind w:left="464"/>
              <w:rPr>
                <w:color w:val="auto"/>
                <w:highlight w:val="none"/>
              </w:rPr>
            </w:pPr>
            <w:r>
              <w:rPr>
                <w:color w:val="auto"/>
                <w:spacing w:val="-3"/>
                <w:highlight w:val="none"/>
              </w:rPr>
              <w:t>资金落实情况</w:t>
            </w:r>
          </w:p>
        </w:tc>
        <w:tc>
          <w:tcPr>
            <w:tcW w:w="6157" w:type="dxa"/>
            <w:vAlign w:val="top"/>
          </w:tcPr>
          <w:p w14:paraId="3C6FA9FC">
            <w:pPr>
              <w:pStyle w:val="29"/>
              <w:spacing w:before="210" w:line="220" w:lineRule="auto"/>
              <w:ind w:left="135"/>
              <w:rPr>
                <w:color w:val="auto"/>
                <w:highlight w:val="none"/>
              </w:rPr>
            </w:pPr>
            <w:r>
              <w:rPr>
                <w:color w:val="auto"/>
                <w:spacing w:val="-7"/>
                <w:highlight w:val="none"/>
              </w:rPr>
              <w:t>已落实</w:t>
            </w:r>
          </w:p>
        </w:tc>
      </w:tr>
      <w:tr w14:paraId="717AF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63193751">
            <w:pPr>
              <w:pStyle w:val="29"/>
              <w:spacing w:before="245" w:line="182" w:lineRule="auto"/>
              <w:ind w:left="239"/>
              <w:rPr>
                <w:color w:val="auto"/>
                <w:highlight w:val="none"/>
              </w:rPr>
            </w:pPr>
            <w:r>
              <w:rPr>
                <w:color w:val="auto"/>
                <w:spacing w:val="-4"/>
                <w:highlight w:val="none"/>
              </w:rPr>
              <w:t>1.3.1</w:t>
            </w:r>
          </w:p>
        </w:tc>
        <w:tc>
          <w:tcPr>
            <w:tcW w:w="2145" w:type="dxa"/>
            <w:gridSpan w:val="2"/>
            <w:vAlign w:val="top"/>
          </w:tcPr>
          <w:p w14:paraId="2CFE4742">
            <w:pPr>
              <w:pStyle w:val="29"/>
              <w:spacing w:before="211" w:line="220" w:lineRule="auto"/>
              <w:ind w:left="666"/>
              <w:rPr>
                <w:color w:val="auto"/>
                <w:highlight w:val="none"/>
              </w:rPr>
            </w:pPr>
            <w:r>
              <w:rPr>
                <w:color w:val="auto"/>
                <w:spacing w:val="-2"/>
                <w:highlight w:val="none"/>
              </w:rPr>
              <w:t>招标范围</w:t>
            </w:r>
          </w:p>
        </w:tc>
        <w:tc>
          <w:tcPr>
            <w:tcW w:w="6157" w:type="dxa"/>
            <w:vAlign w:val="top"/>
          </w:tcPr>
          <w:p w14:paraId="51E75FF3">
            <w:pPr>
              <w:pStyle w:val="29"/>
              <w:spacing w:before="210" w:line="220" w:lineRule="auto"/>
              <w:ind w:left="111"/>
              <w:rPr>
                <w:color w:val="auto"/>
                <w:highlight w:val="none"/>
              </w:rPr>
            </w:pPr>
            <w:r>
              <w:rPr>
                <w:rFonts w:hint="eastAsia"/>
                <w:color w:val="auto"/>
                <w:highlight w:val="none"/>
              </w:rPr>
              <w:t>施工阶段及保修阶段监理服务。</w:t>
            </w:r>
          </w:p>
        </w:tc>
      </w:tr>
      <w:tr w14:paraId="2E75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10431A10">
            <w:pPr>
              <w:pStyle w:val="29"/>
              <w:spacing w:before="245" w:line="182" w:lineRule="auto"/>
              <w:ind w:left="239"/>
              <w:rPr>
                <w:color w:val="auto"/>
                <w:highlight w:val="none"/>
              </w:rPr>
            </w:pPr>
            <w:r>
              <w:rPr>
                <w:color w:val="auto"/>
                <w:spacing w:val="-4"/>
                <w:highlight w:val="none"/>
              </w:rPr>
              <w:t>1.3.2</w:t>
            </w:r>
          </w:p>
        </w:tc>
        <w:tc>
          <w:tcPr>
            <w:tcW w:w="2145" w:type="dxa"/>
            <w:gridSpan w:val="2"/>
            <w:vAlign w:val="top"/>
          </w:tcPr>
          <w:p w14:paraId="0BBAF2BD">
            <w:pPr>
              <w:pStyle w:val="29"/>
              <w:spacing w:before="211" w:line="220" w:lineRule="auto"/>
              <w:jc w:val="right"/>
              <w:rPr>
                <w:color w:val="auto"/>
                <w:highlight w:val="none"/>
              </w:rPr>
            </w:pPr>
            <w:r>
              <w:rPr>
                <w:color w:val="auto"/>
                <w:spacing w:val="-10"/>
                <w:highlight w:val="none"/>
              </w:rPr>
              <w:t>工期（监理服务期限）</w:t>
            </w:r>
          </w:p>
        </w:tc>
        <w:tc>
          <w:tcPr>
            <w:tcW w:w="6157" w:type="dxa"/>
            <w:vAlign w:val="top"/>
          </w:tcPr>
          <w:p w14:paraId="18344DC0">
            <w:pPr>
              <w:pStyle w:val="29"/>
              <w:spacing w:before="211" w:line="220" w:lineRule="auto"/>
              <w:ind w:left="124"/>
              <w:rPr>
                <w:color w:val="auto"/>
                <w:highlight w:val="none"/>
              </w:rPr>
            </w:pPr>
            <w:r>
              <w:rPr>
                <w:rFonts w:hint="eastAsia"/>
                <w:color w:val="auto"/>
                <w:highlight w:val="none"/>
              </w:rPr>
              <w:t>随施工工期及工程保修期；</w:t>
            </w:r>
          </w:p>
        </w:tc>
      </w:tr>
      <w:tr w14:paraId="1A14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67" w:type="dxa"/>
            <w:tcBorders>
              <w:left w:val="single" w:color="000000" w:sz="4" w:space="0"/>
            </w:tcBorders>
            <w:vAlign w:val="top"/>
          </w:tcPr>
          <w:p w14:paraId="48414EE1">
            <w:pPr>
              <w:pStyle w:val="29"/>
              <w:spacing w:before="246" w:line="182" w:lineRule="auto"/>
              <w:ind w:left="239"/>
              <w:rPr>
                <w:color w:val="auto"/>
                <w:highlight w:val="none"/>
              </w:rPr>
            </w:pPr>
            <w:r>
              <w:rPr>
                <w:color w:val="auto"/>
                <w:spacing w:val="-4"/>
                <w:highlight w:val="none"/>
              </w:rPr>
              <w:t>1.3.3</w:t>
            </w:r>
          </w:p>
        </w:tc>
        <w:tc>
          <w:tcPr>
            <w:tcW w:w="2145" w:type="dxa"/>
            <w:gridSpan w:val="2"/>
            <w:vAlign w:val="top"/>
          </w:tcPr>
          <w:p w14:paraId="5CCF8926">
            <w:pPr>
              <w:pStyle w:val="29"/>
              <w:spacing w:before="212" w:line="220" w:lineRule="auto"/>
              <w:ind w:left="666"/>
              <w:rPr>
                <w:color w:val="auto"/>
                <w:highlight w:val="none"/>
              </w:rPr>
            </w:pPr>
            <w:r>
              <w:rPr>
                <w:color w:val="auto"/>
                <w:spacing w:val="-2"/>
                <w:highlight w:val="none"/>
              </w:rPr>
              <w:t>质量标准</w:t>
            </w:r>
          </w:p>
        </w:tc>
        <w:tc>
          <w:tcPr>
            <w:tcW w:w="6157" w:type="dxa"/>
            <w:vAlign w:val="top"/>
          </w:tcPr>
          <w:p w14:paraId="45C67681">
            <w:pPr>
              <w:pStyle w:val="29"/>
              <w:spacing w:before="211" w:line="220" w:lineRule="auto"/>
              <w:ind w:left="113"/>
              <w:rPr>
                <w:color w:val="auto"/>
                <w:highlight w:val="none"/>
              </w:rPr>
            </w:pPr>
            <w:r>
              <w:rPr>
                <w:color w:val="auto"/>
                <w:spacing w:val="-3"/>
                <w:highlight w:val="none"/>
              </w:rPr>
              <w:t>合格</w:t>
            </w:r>
          </w:p>
        </w:tc>
      </w:tr>
      <w:tr w14:paraId="23BD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967" w:type="dxa"/>
            <w:tcBorders>
              <w:left w:val="single" w:color="000000" w:sz="4" w:space="0"/>
            </w:tcBorders>
            <w:vAlign w:val="top"/>
          </w:tcPr>
          <w:p w14:paraId="0435EFCB">
            <w:pPr>
              <w:spacing w:line="371" w:lineRule="auto"/>
              <w:rPr>
                <w:rFonts w:ascii="Arial"/>
                <w:color w:val="auto"/>
                <w:sz w:val="21"/>
                <w:highlight w:val="none"/>
              </w:rPr>
            </w:pPr>
          </w:p>
          <w:p w14:paraId="4B46794D">
            <w:pPr>
              <w:pStyle w:val="29"/>
              <w:spacing w:before="68" w:line="182" w:lineRule="auto"/>
              <w:ind w:left="239"/>
              <w:rPr>
                <w:color w:val="auto"/>
                <w:highlight w:val="none"/>
              </w:rPr>
            </w:pPr>
            <w:r>
              <w:rPr>
                <w:color w:val="auto"/>
                <w:spacing w:val="-4"/>
                <w:highlight w:val="none"/>
              </w:rPr>
              <w:t>1.4.1</w:t>
            </w:r>
          </w:p>
        </w:tc>
        <w:tc>
          <w:tcPr>
            <w:tcW w:w="2145" w:type="dxa"/>
            <w:gridSpan w:val="2"/>
            <w:vAlign w:val="top"/>
          </w:tcPr>
          <w:p w14:paraId="789ECA36">
            <w:pPr>
              <w:pStyle w:val="29"/>
              <w:spacing w:before="182" w:line="435" w:lineRule="exact"/>
              <w:ind w:left="142"/>
              <w:rPr>
                <w:color w:val="auto"/>
                <w:highlight w:val="none"/>
              </w:rPr>
            </w:pPr>
            <w:r>
              <w:rPr>
                <w:color w:val="auto"/>
                <w:spacing w:val="-1"/>
                <w:position w:val="17"/>
                <w:highlight w:val="none"/>
              </w:rPr>
              <w:t>投标人资格条件、能</w:t>
            </w:r>
          </w:p>
          <w:p w14:paraId="4B981DAD">
            <w:pPr>
              <w:pStyle w:val="29"/>
              <w:spacing w:line="218" w:lineRule="auto"/>
              <w:ind w:left="669"/>
              <w:rPr>
                <w:color w:val="auto"/>
                <w:highlight w:val="none"/>
              </w:rPr>
            </w:pPr>
            <w:r>
              <w:rPr>
                <w:color w:val="auto"/>
                <w:spacing w:val="-2"/>
                <w:highlight w:val="none"/>
              </w:rPr>
              <w:t>力和信誉</w:t>
            </w:r>
          </w:p>
        </w:tc>
        <w:tc>
          <w:tcPr>
            <w:tcW w:w="6157" w:type="dxa"/>
            <w:vAlign w:val="top"/>
          </w:tcPr>
          <w:p w14:paraId="41079021">
            <w:pPr>
              <w:spacing w:line="337" w:lineRule="auto"/>
              <w:rPr>
                <w:rFonts w:ascii="Arial"/>
                <w:color w:val="auto"/>
                <w:sz w:val="21"/>
                <w:highlight w:val="none"/>
              </w:rPr>
            </w:pPr>
          </w:p>
          <w:p w14:paraId="5C56D007">
            <w:pPr>
              <w:pStyle w:val="29"/>
              <w:spacing w:before="68" w:line="218" w:lineRule="auto"/>
              <w:ind w:left="115"/>
              <w:rPr>
                <w:color w:val="auto"/>
                <w:highlight w:val="none"/>
              </w:rPr>
            </w:pPr>
            <w:r>
              <w:rPr>
                <w:rFonts w:hint="eastAsia"/>
                <w:color w:val="auto"/>
                <w:highlight w:val="none"/>
              </w:rPr>
              <w:t>同第一章 招标公告“3.投标人资格要求”</w:t>
            </w:r>
          </w:p>
        </w:tc>
      </w:tr>
      <w:tr w14:paraId="7686B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67" w:type="dxa"/>
            <w:tcBorders>
              <w:left w:val="single" w:color="000000" w:sz="4" w:space="0"/>
            </w:tcBorders>
            <w:vAlign w:val="top"/>
          </w:tcPr>
          <w:p w14:paraId="60205D85">
            <w:pPr>
              <w:pStyle w:val="29"/>
              <w:spacing w:before="247" w:line="182" w:lineRule="auto"/>
              <w:ind w:left="239"/>
              <w:rPr>
                <w:color w:val="auto"/>
                <w:highlight w:val="none"/>
              </w:rPr>
            </w:pPr>
            <w:r>
              <w:rPr>
                <w:color w:val="auto"/>
                <w:spacing w:val="-5"/>
                <w:highlight w:val="none"/>
              </w:rPr>
              <w:t>1.4.2</w:t>
            </w:r>
          </w:p>
        </w:tc>
        <w:tc>
          <w:tcPr>
            <w:tcW w:w="2145" w:type="dxa"/>
            <w:gridSpan w:val="2"/>
            <w:vAlign w:val="top"/>
          </w:tcPr>
          <w:p w14:paraId="20A16102">
            <w:pPr>
              <w:pStyle w:val="29"/>
              <w:spacing w:before="213" w:line="220" w:lineRule="auto"/>
              <w:ind w:left="143"/>
              <w:rPr>
                <w:color w:val="auto"/>
                <w:highlight w:val="none"/>
              </w:rPr>
            </w:pPr>
            <w:r>
              <w:rPr>
                <w:color w:val="auto"/>
                <w:spacing w:val="-1"/>
                <w:highlight w:val="none"/>
              </w:rPr>
              <w:t>是否接受联合体投标</w:t>
            </w:r>
          </w:p>
        </w:tc>
        <w:tc>
          <w:tcPr>
            <w:tcW w:w="6157" w:type="dxa"/>
            <w:vAlign w:val="top"/>
          </w:tcPr>
          <w:p w14:paraId="63D2CB5A">
            <w:pPr>
              <w:pStyle w:val="29"/>
              <w:spacing w:before="213" w:line="221" w:lineRule="auto"/>
              <w:ind w:left="115"/>
              <w:rPr>
                <w:color w:val="auto"/>
                <w:highlight w:val="none"/>
              </w:rPr>
            </w:pPr>
            <w:r>
              <w:rPr>
                <w:color w:val="auto"/>
                <w:spacing w:val="-3"/>
                <w:highlight w:val="none"/>
              </w:rPr>
              <w:t>不接受</w:t>
            </w:r>
          </w:p>
        </w:tc>
      </w:tr>
      <w:tr w14:paraId="2351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967" w:type="dxa"/>
            <w:tcBorders>
              <w:left w:val="single" w:color="000000" w:sz="4" w:space="0"/>
            </w:tcBorders>
            <w:vAlign w:val="top"/>
          </w:tcPr>
          <w:p w14:paraId="737EE991">
            <w:pPr>
              <w:pStyle w:val="29"/>
              <w:spacing w:before="248" w:line="182" w:lineRule="auto"/>
              <w:ind w:left="239"/>
              <w:rPr>
                <w:color w:val="auto"/>
                <w:highlight w:val="none"/>
              </w:rPr>
            </w:pPr>
            <w:r>
              <w:rPr>
                <w:color w:val="auto"/>
                <w:spacing w:val="-4"/>
                <w:highlight w:val="none"/>
              </w:rPr>
              <w:t>1.9.1</w:t>
            </w:r>
          </w:p>
        </w:tc>
        <w:tc>
          <w:tcPr>
            <w:tcW w:w="2145" w:type="dxa"/>
            <w:gridSpan w:val="2"/>
            <w:vAlign w:val="top"/>
          </w:tcPr>
          <w:p w14:paraId="1396BECB">
            <w:pPr>
              <w:pStyle w:val="29"/>
              <w:spacing w:before="213" w:line="220" w:lineRule="auto"/>
              <w:ind w:left="666"/>
              <w:rPr>
                <w:color w:val="auto"/>
                <w:highlight w:val="none"/>
              </w:rPr>
            </w:pPr>
            <w:r>
              <w:rPr>
                <w:color w:val="auto"/>
                <w:spacing w:val="-2"/>
                <w:highlight w:val="none"/>
              </w:rPr>
              <w:t>踏勘现场</w:t>
            </w:r>
          </w:p>
        </w:tc>
        <w:tc>
          <w:tcPr>
            <w:tcW w:w="6157" w:type="dxa"/>
            <w:vAlign w:val="top"/>
          </w:tcPr>
          <w:p w14:paraId="712F9E90">
            <w:pPr>
              <w:pStyle w:val="29"/>
              <w:spacing w:before="183" w:line="220" w:lineRule="auto"/>
              <w:ind w:left="115"/>
              <w:rPr>
                <w:color w:val="auto"/>
                <w:highlight w:val="none"/>
              </w:rPr>
            </w:pPr>
            <w:r>
              <w:rPr>
                <w:color w:val="auto"/>
                <w:highlight w:val="none"/>
              </w:rPr>
              <w:t>不组织，投标人自行踏勘</w:t>
            </w:r>
          </w:p>
        </w:tc>
      </w:tr>
      <w:tr w14:paraId="6EC0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4B08429D">
            <w:pPr>
              <w:pStyle w:val="29"/>
              <w:spacing w:before="249" w:line="182" w:lineRule="auto"/>
              <w:ind w:left="299"/>
              <w:rPr>
                <w:color w:val="auto"/>
                <w:highlight w:val="none"/>
              </w:rPr>
            </w:pPr>
            <w:r>
              <w:rPr>
                <w:color w:val="auto"/>
                <w:spacing w:val="-5"/>
                <w:highlight w:val="none"/>
              </w:rPr>
              <w:t>1.10</w:t>
            </w:r>
          </w:p>
        </w:tc>
        <w:tc>
          <w:tcPr>
            <w:tcW w:w="2145" w:type="dxa"/>
            <w:gridSpan w:val="2"/>
            <w:vAlign w:val="top"/>
          </w:tcPr>
          <w:p w14:paraId="24B61972">
            <w:pPr>
              <w:pStyle w:val="29"/>
              <w:spacing w:before="215" w:line="220" w:lineRule="auto"/>
              <w:ind w:left="878"/>
              <w:rPr>
                <w:color w:val="auto"/>
                <w:highlight w:val="none"/>
              </w:rPr>
            </w:pPr>
            <w:r>
              <w:rPr>
                <w:color w:val="auto"/>
                <w:spacing w:val="-3"/>
                <w:highlight w:val="none"/>
              </w:rPr>
              <w:t>分包</w:t>
            </w:r>
          </w:p>
        </w:tc>
        <w:tc>
          <w:tcPr>
            <w:tcW w:w="6157" w:type="dxa"/>
            <w:vAlign w:val="top"/>
          </w:tcPr>
          <w:p w14:paraId="249755F5">
            <w:pPr>
              <w:pStyle w:val="29"/>
              <w:spacing w:before="214" w:line="220" w:lineRule="auto"/>
              <w:ind w:left="115"/>
              <w:rPr>
                <w:color w:val="auto"/>
                <w:highlight w:val="none"/>
              </w:rPr>
            </w:pPr>
            <w:r>
              <w:rPr>
                <w:color w:val="auto"/>
                <w:spacing w:val="-3"/>
                <w:highlight w:val="none"/>
              </w:rPr>
              <w:t>不允许</w:t>
            </w:r>
          </w:p>
        </w:tc>
      </w:tr>
      <w:tr w14:paraId="0A6B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67" w:type="dxa"/>
            <w:tcBorders>
              <w:left w:val="single" w:color="000000" w:sz="4" w:space="0"/>
            </w:tcBorders>
            <w:vAlign w:val="top"/>
          </w:tcPr>
          <w:p w14:paraId="4C5F8F9D">
            <w:pPr>
              <w:pStyle w:val="29"/>
              <w:spacing w:before="250" w:line="182" w:lineRule="auto"/>
              <w:ind w:left="299"/>
              <w:rPr>
                <w:color w:val="auto"/>
                <w:highlight w:val="none"/>
              </w:rPr>
            </w:pPr>
            <w:r>
              <w:rPr>
                <w:color w:val="auto"/>
                <w:spacing w:val="-5"/>
                <w:highlight w:val="none"/>
              </w:rPr>
              <w:t>1.11</w:t>
            </w:r>
          </w:p>
        </w:tc>
        <w:tc>
          <w:tcPr>
            <w:tcW w:w="2145" w:type="dxa"/>
            <w:gridSpan w:val="2"/>
            <w:vAlign w:val="top"/>
          </w:tcPr>
          <w:p w14:paraId="32F218EF">
            <w:pPr>
              <w:pStyle w:val="29"/>
              <w:spacing w:before="215" w:line="220" w:lineRule="auto"/>
              <w:ind w:left="876"/>
              <w:rPr>
                <w:color w:val="auto"/>
                <w:highlight w:val="none"/>
              </w:rPr>
            </w:pPr>
            <w:r>
              <w:rPr>
                <w:color w:val="auto"/>
                <w:spacing w:val="-2"/>
                <w:highlight w:val="none"/>
              </w:rPr>
              <w:t>偏离</w:t>
            </w:r>
          </w:p>
        </w:tc>
        <w:tc>
          <w:tcPr>
            <w:tcW w:w="6157" w:type="dxa"/>
            <w:vAlign w:val="top"/>
          </w:tcPr>
          <w:p w14:paraId="35DEA7F8">
            <w:pPr>
              <w:pStyle w:val="29"/>
              <w:spacing w:before="215" w:line="220" w:lineRule="auto"/>
              <w:ind w:left="115"/>
              <w:rPr>
                <w:color w:val="auto"/>
                <w:highlight w:val="none"/>
              </w:rPr>
            </w:pPr>
            <w:r>
              <w:rPr>
                <w:color w:val="auto"/>
                <w:spacing w:val="-3"/>
                <w:highlight w:val="none"/>
              </w:rPr>
              <w:t>不允许</w:t>
            </w:r>
          </w:p>
        </w:tc>
      </w:tr>
      <w:tr w14:paraId="2C7A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967" w:type="dxa"/>
            <w:tcBorders>
              <w:left w:val="single" w:color="000000" w:sz="4" w:space="0"/>
            </w:tcBorders>
            <w:vAlign w:val="top"/>
          </w:tcPr>
          <w:p w14:paraId="758EA5F7">
            <w:pPr>
              <w:spacing w:line="376" w:lineRule="auto"/>
              <w:rPr>
                <w:rFonts w:ascii="Arial"/>
                <w:color w:val="auto"/>
                <w:sz w:val="21"/>
                <w:highlight w:val="none"/>
              </w:rPr>
            </w:pPr>
          </w:p>
          <w:p w14:paraId="1D12A02C">
            <w:pPr>
              <w:pStyle w:val="29"/>
              <w:spacing w:before="68" w:line="181" w:lineRule="auto"/>
              <w:ind w:left="226"/>
              <w:rPr>
                <w:color w:val="auto"/>
                <w:highlight w:val="none"/>
              </w:rPr>
            </w:pPr>
            <w:r>
              <w:rPr>
                <w:color w:val="auto"/>
                <w:spacing w:val="-2"/>
                <w:highlight w:val="none"/>
              </w:rPr>
              <w:t>2.2.2</w:t>
            </w:r>
          </w:p>
        </w:tc>
        <w:tc>
          <w:tcPr>
            <w:tcW w:w="2145" w:type="dxa"/>
            <w:gridSpan w:val="2"/>
            <w:vAlign w:val="top"/>
          </w:tcPr>
          <w:p w14:paraId="10F5CE0C">
            <w:pPr>
              <w:pStyle w:val="29"/>
              <w:spacing w:before="186" w:line="435" w:lineRule="exact"/>
              <w:ind w:left="142"/>
              <w:rPr>
                <w:color w:val="auto"/>
                <w:highlight w:val="none"/>
              </w:rPr>
            </w:pPr>
            <w:r>
              <w:rPr>
                <w:color w:val="auto"/>
                <w:spacing w:val="-1"/>
                <w:position w:val="17"/>
                <w:highlight w:val="none"/>
              </w:rPr>
              <w:t>投标人对招标文件提</w:t>
            </w:r>
          </w:p>
          <w:p w14:paraId="742B4708">
            <w:pPr>
              <w:pStyle w:val="29"/>
              <w:spacing w:line="215" w:lineRule="auto"/>
              <w:ind w:left="263"/>
              <w:rPr>
                <w:color w:val="auto"/>
                <w:highlight w:val="none"/>
              </w:rPr>
            </w:pPr>
            <w:r>
              <w:rPr>
                <w:color w:val="auto"/>
                <w:spacing w:val="-3"/>
                <w:highlight w:val="none"/>
              </w:rPr>
              <w:t>出异议的截止时间</w:t>
            </w:r>
          </w:p>
        </w:tc>
        <w:tc>
          <w:tcPr>
            <w:tcW w:w="6157" w:type="dxa"/>
            <w:vAlign w:val="top"/>
          </w:tcPr>
          <w:p w14:paraId="437AEEA8">
            <w:pPr>
              <w:spacing w:line="340" w:lineRule="auto"/>
              <w:rPr>
                <w:rFonts w:ascii="Arial"/>
                <w:color w:val="auto"/>
                <w:sz w:val="21"/>
                <w:highlight w:val="none"/>
              </w:rPr>
            </w:pPr>
          </w:p>
          <w:p w14:paraId="18FC4928">
            <w:pPr>
              <w:pStyle w:val="29"/>
              <w:spacing w:before="68" w:line="220" w:lineRule="auto"/>
              <w:ind w:left="113"/>
              <w:rPr>
                <w:color w:val="auto"/>
                <w:highlight w:val="none"/>
              </w:rPr>
            </w:pPr>
            <w:r>
              <w:rPr>
                <w:color w:val="auto"/>
                <w:spacing w:val="-2"/>
                <w:highlight w:val="none"/>
              </w:rPr>
              <w:t>递交投标文件截止之日 10日前</w:t>
            </w:r>
          </w:p>
        </w:tc>
      </w:tr>
      <w:tr w14:paraId="7694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967" w:type="dxa"/>
            <w:tcBorders>
              <w:left w:val="single" w:color="000000" w:sz="4" w:space="0"/>
            </w:tcBorders>
            <w:vAlign w:val="top"/>
          </w:tcPr>
          <w:p w14:paraId="3B067AD9">
            <w:pPr>
              <w:spacing w:line="370" w:lineRule="auto"/>
              <w:rPr>
                <w:rFonts w:ascii="Arial"/>
                <w:color w:val="auto"/>
                <w:sz w:val="21"/>
                <w:highlight w:val="none"/>
              </w:rPr>
            </w:pPr>
          </w:p>
          <w:p w14:paraId="38333E76">
            <w:pPr>
              <w:pStyle w:val="29"/>
              <w:spacing w:before="68" w:line="181" w:lineRule="auto"/>
              <w:ind w:left="226"/>
              <w:rPr>
                <w:color w:val="auto"/>
                <w:highlight w:val="none"/>
              </w:rPr>
            </w:pPr>
            <w:r>
              <w:rPr>
                <w:color w:val="auto"/>
                <w:spacing w:val="-2"/>
                <w:highlight w:val="none"/>
              </w:rPr>
              <w:t>2.2.3</w:t>
            </w:r>
          </w:p>
        </w:tc>
        <w:tc>
          <w:tcPr>
            <w:tcW w:w="2145" w:type="dxa"/>
            <w:gridSpan w:val="2"/>
            <w:vAlign w:val="top"/>
          </w:tcPr>
          <w:p w14:paraId="2E65948A">
            <w:pPr>
              <w:pStyle w:val="29"/>
              <w:spacing w:before="180" w:line="435" w:lineRule="exact"/>
              <w:ind w:left="141"/>
              <w:rPr>
                <w:color w:val="auto"/>
                <w:highlight w:val="none"/>
              </w:rPr>
            </w:pPr>
            <w:r>
              <w:rPr>
                <w:color w:val="auto"/>
                <w:spacing w:val="-1"/>
                <w:position w:val="17"/>
                <w:highlight w:val="none"/>
              </w:rPr>
              <w:t>招标人对投标人提出</w:t>
            </w:r>
          </w:p>
          <w:p w14:paraId="17F26713">
            <w:pPr>
              <w:pStyle w:val="29"/>
              <w:spacing w:line="219" w:lineRule="auto"/>
              <w:ind w:left="353"/>
              <w:rPr>
                <w:color w:val="auto"/>
                <w:highlight w:val="none"/>
              </w:rPr>
            </w:pPr>
            <w:r>
              <w:rPr>
                <w:color w:val="auto"/>
                <w:spacing w:val="-1"/>
                <w:highlight w:val="none"/>
              </w:rPr>
              <w:t>异议的答复时间</w:t>
            </w:r>
          </w:p>
        </w:tc>
        <w:tc>
          <w:tcPr>
            <w:tcW w:w="6157" w:type="dxa"/>
            <w:vAlign w:val="top"/>
          </w:tcPr>
          <w:p w14:paraId="2960A8E2">
            <w:pPr>
              <w:spacing w:line="334" w:lineRule="auto"/>
              <w:rPr>
                <w:rFonts w:ascii="Arial"/>
                <w:color w:val="auto"/>
                <w:sz w:val="21"/>
                <w:highlight w:val="none"/>
              </w:rPr>
            </w:pPr>
          </w:p>
          <w:p w14:paraId="282C9A34">
            <w:pPr>
              <w:pStyle w:val="29"/>
              <w:spacing w:before="68" w:line="220" w:lineRule="auto"/>
              <w:ind w:left="113"/>
              <w:rPr>
                <w:color w:val="auto"/>
                <w:highlight w:val="none"/>
              </w:rPr>
            </w:pPr>
            <w:r>
              <w:rPr>
                <w:color w:val="auto"/>
                <w:spacing w:val="-3"/>
                <w:highlight w:val="none"/>
              </w:rPr>
              <w:t>招标人收到异议之日起 3日内做出答复</w:t>
            </w:r>
          </w:p>
        </w:tc>
      </w:tr>
      <w:tr w14:paraId="6B61C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967" w:type="dxa"/>
            <w:tcBorders>
              <w:left w:val="single" w:color="000000" w:sz="4" w:space="0"/>
            </w:tcBorders>
            <w:vAlign w:val="top"/>
          </w:tcPr>
          <w:p w14:paraId="4FD50A90">
            <w:pPr>
              <w:spacing w:line="349" w:lineRule="auto"/>
              <w:rPr>
                <w:rFonts w:ascii="Arial"/>
                <w:color w:val="auto"/>
                <w:sz w:val="21"/>
                <w:highlight w:val="none"/>
              </w:rPr>
            </w:pPr>
          </w:p>
          <w:p w14:paraId="1FE2E0B0">
            <w:pPr>
              <w:pStyle w:val="29"/>
              <w:spacing w:before="68" w:line="181" w:lineRule="auto"/>
              <w:ind w:left="226"/>
              <w:rPr>
                <w:color w:val="auto"/>
                <w:highlight w:val="none"/>
              </w:rPr>
            </w:pPr>
            <w:r>
              <w:rPr>
                <w:color w:val="auto"/>
                <w:spacing w:val="-2"/>
                <w:highlight w:val="none"/>
              </w:rPr>
              <w:t>2.2.4</w:t>
            </w:r>
          </w:p>
        </w:tc>
        <w:tc>
          <w:tcPr>
            <w:tcW w:w="2145" w:type="dxa"/>
            <w:gridSpan w:val="2"/>
            <w:vAlign w:val="top"/>
          </w:tcPr>
          <w:p w14:paraId="08B02052">
            <w:pPr>
              <w:pStyle w:val="29"/>
              <w:spacing w:before="158" w:line="450" w:lineRule="exact"/>
              <w:ind w:left="141"/>
              <w:rPr>
                <w:color w:val="auto"/>
                <w:highlight w:val="none"/>
              </w:rPr>
            </w:pPr>
            <w:r>
              <w:rPr>
                <w:color w:val="auto"/>
                <w:spacing w:val="-1"/>
                <w:position w:val="18"/>
                <w:highlight w:val="none"/>
              </w:rPr>
              <w:t>招标人澄清招标文件</w:t>
            </w:r>
          </w:p>
          <w:p w14:paraId="24E0B841">
            <w:pPr>
              <w:pStyle w:val="29"/>
              <w:spacing w:line="220" w:lineRule="auto"/>
              <w:ind w:left="578"/>
              <w:rPr>
                <w:color w:val="auto"/>
                <w:highlight w:val="none"/>
              </w:rPr>
            </w:pPr>
            <w:r>
              <w:rPr>
                <w:color w:val="auto"/>
                <w:spacing w:val="-4"/>
                <w:highlight w:val="none"/>
              </w:rPr>
              <w:t>的截止时间</w:t>
            </w:r>
          </w:p>
        </w:tc>
        <w:tc>
          <w:tcPr>
            <w:tcW w:w="6157" w:type="dxa"/>
            <w:vAlign w:val="top"/>
          </w:tcPr>
          <w:p w14:paraId="1EFDA711">
            <w:pPr>
              <w:spacing w:line="313" w:lineRule="auto"/>
              <w:rPr>
                <w:rFonts w:ascii="Arial"/>
                <w:color w:val="auto"/>
                <w:sz w:val="21"/>
                <w:highlight w:val="none"/>
              </w:rPr>
            </w:pPr>
          </w:p>
          <w:p w14:paraId="01585EC0">
            <w:pPr>
              <w:pStyle w:val="29"/>
              <w:spacing w:before="68" w:line="220" w:lineRule="auto"/>
              <w:ind w:left="113"/>
              <w:rPr>
                <w:color w:val="auto"/>
                <w:highlight w:val="none"/>
              </w:rPr>
            </w:pPr>
            <w:r>
              <w:rPr>
                <w:color w:val="auto"/>
                <w:spacing w:val="-2"/>
                <w:highlight w:val="none"/>
              </w:rPr>
              <w:t>递交投标文件截止之日 15日前</w:t>
            </w:r>
          </w:p>
        </w:tc>
      </w:tr>
      <w:tr w14:paraId="454E2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967" w:type="dxa"/>
            <w:tcBorders>
              <w:left w:val="single" w:color="000000" w:sz="4" w:space="0"/>
            </w:tcBorders>
            <w:vAlign w:val="top"/>
          </w:tcPr>
          <w:p w14:paraId="48F3058A">
            <w:pPr>
              <w:spacing w:line="286" w:lineRule="auto"/>
              <w:rPr>
                <w:rFonts w:ascii="Arial"/>
                <w:color w:val="auto"/>
                <w:sz w:val="21"/>
                <w:highlight w:val="none"/>
              </w:rPr>
            </w:pPr>
          </w:p>
          <w:p w14:paraId="0D1D2013">
            <w:pPr>
              <w:spacing w:line="287" w:lineRule="auto"/>
              <w:rPr>
                <w:rFonts w:ascii="Arial"/>
                <w:color w:val="auto"/>
                <w:sz w:val="21"/>
                <w:highlight w:val="none"/>
              </w:rPr>
            </w:pPr>
          </w:p>
          <w:p w14:paraId="38B91051">
            <w:pPr>
              <w:pStyle w:val="29"/>
              <w:spacing w:before="68" w:line="181" w:lineRule="auto"/>
              <w:ind w:left="331"/>
              <w:rPr>
                <w:color w:val="auto"/>
                <w:highlight w:val="none"/>
              </w:rPr>
            </w:pPr>
            <w:r>
              <w:rPr>
                <w:color w:val="auto"/>
                <w:spacing w:val="-3"/>
                <w:highlight w:val="none"/>
              </w:rPr>
              <w:t>2.3</w:t>
            </w:r>
          </w:p>
        </w:tc>
        <w:tc>
          <w:tcPr>
            <w:tcW w:w="2145" w:type="dxa"/>
            <w:gridSpan w:val="2"/>
            <w:vAlign w:val="top"/>
          </w:tcPr>
          <w:p w14:paraId="1D196BF8">
            <w:pPr>
              <w:spacing w:line="314" w:lineRule="auto"/>
              <w:rPr>
                <w:rFonts w:ascii="Arial"/>
                <w:color w:val="auto"/>
                <w:sz w:val="21"/>
                <w:highlight w:val="none"/>
              </w:rPr>
            </w:pPr>
          </w:p>
          <w:p w14:paraId="769BFCEB">
            <w:pPr>
              <w:pStyle w:val="29"/>
              <w:spacing w:before="68" w:line="450" w:lineRule="exact"/>
              <w:ind w:left="561"/>
              <w:rPr>
                <w:color w:val="auto"/>
                <w:highlight w:val="none"/>
              </w:rPr>
            </w:pPr>
            <w:r>
              <w:rPr>
                <w:color w:val="auto"/>
                <w:spacing w:val="-2"/>
                <w:position w:val="18"/>
                <w:highlight w:val="none"/>
              </w:rPr>
              <w:t>招标控制价</w:t>
            </w:r>
          </w:p>
          <w:p w14:paraId="7041DA56">
            <w:pPr>
              <w:pStyle w:val="29"/>
              <w:spacing w:line="218" w:lineRule="auto"/>
              <w:ind w:left="130"/>
              <w:rPr>
                <w:color w:val="auto"/>
                <w:highlight w:val="none"/>
              </w:rPr>
            </w:pPr>
            <w:r>
              <w:rPr>
                <w:color w:val="auto"/>
                <w:spacing w:val="-3"/>
                <w:highlight w:val="none"/>
              </w:rPr>
              <w:t>（最高投标限价）</w:t>
            </w:r>
          </w:p>
        </w:tc>
        <w:tc>
          <w:tcPr>
            <w:tcW w:w="6157" w:type="dxa"/>
            <w:vAlign w:val="top"/>
          </w:tcPr>
          <w:p w14:paraId="4925D670">
            <w:pPr>
              <w:pStyle w:val="29"/>
              <w:spacing w:before="174" w:line="218" w:lineRule="auto"/>
              <w:ind w:left="115"/>
              <w:rPr>
                <w:color w:val="auto"/>
                <w:highlight w:val="none"/>
              </w:rPr>
            </w:pPr>
            <w:r>
              <w:rPr>
                <w:color w:val="auto"/>
                <w:spacing w:val="-1"/>
                <w:highlight w:val="none"/>
              </w:rPr>
              <w:t>最高投标限价：</w:t>
            </w:r>
            <w:r>
              <w:rPr>
                <w:rFonts w:hint="eastAsia"/>
                <w:color w:val="auto"/>
                <w:spacing w:val="-1"/>
                <w:highlight w:val="none"/>
                <w:lang w:val="en-US" w:eastAsia="zh-CN"/>
              </w:rPr>
              <w:t>110000.00元。</w:t>
            </w:r>
          </w:p>
          <w:p w14:paraId="6B71B998">
            <w:pPr>
              <w:pStyle w:val="29"/>
              <w:spacing w:before="174" w:line="218" w:lineRule="auto"/>
              <w:ind w:left="115"/>
              <w:rPr>
                <w:rFonts w:ascii="宋体" w:hAnsi="宋体" w:eastAsia="宋体" w:cs="宋体"/>
                <w:color w:val="auto"/>
                <w:spacing w:val="-1"/>
                <w:highlight w:val="none"/>
              </w:rPr>
            </w:pPr>
            <w:r>
              <w:rPr>
                <w:rFonts w:ascii="宋体" w:hAnsi="宋体" w:eastAsia="宋体" w:cs="宋体"/>
                <w:color w:val="auto"/>
                <w:spacing w:val="-1"/>
                <w:highlight w:val="none"/>
              </w:rPr>
              <w:t>投标人的投标价超过本项目的最高投标限价，对其投标文件做否</w:t>
            </w:r>
          </w:p>
          <w:p w14:paraId="2E47507F">
            <w:pPr>
              <w:pStyle w:val="29"/>
              <w:spacing w:before="174" w:line="218" w:lineRule="auto"/>
              <w:ind w:left="115"/>
              <w:rPr>
                <w:color w:val="auto"/>
                <w:highlight w:val="none"/>
              </w:rPr>
            </w:pPr>
            <w:r>
              <w:rPr>
                <w:rFonts w:ascii="宋体" w:hAnsi="宋体" w:eastAsia="宋体" w:cs="宋体"/>
                <w:color w:val="auto"/>
                <w:spacing w:val="-1"/>
                <w:highlight w:val="none"/>
              </w:rPr>
              <w:t>决处理。</w:t>
            </w:r>
          </w:p>
        </w:tc>
      </w:tr>
      <w:tr w14:paraId="39E8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67" w:type="dxa"/>
            <w:tcBorders>
              <w:left w:val="single" w:color="000000" w:sz="4" w:space="0"/>
            </w:tcBorders>
            <w:vAlign w:val="top"/>
          </w:tcPr>
          <w:p w14:paraId="54951C72">
            <w:pPr>
              <w:pStyle w:val="29"/>
              <w:spacing w:before="240" w:line="182" w:lineRule="auto"/>
              <w:ind w:left="227"/>
              <w:rPr>
                <w:color w:val="auto"/>
                <w:highlight w:val="none"/>
              </w:rPr>
            </w:pPr>
            <w:r>
              <w:rPr>
                <w:color w:val="auto"/>
                <w:spacing w:val="-2"/>
                <w:highlight w:val="none"/>
              </w:rPr>
              <w:t>3.3.1</w:t>
            </w:r>
          </w:p>
        </w:tc>
        <w:tc>
          <w:tcPr>
            <w:tcW w:w="2145" w:type="dxa"/>
            <w:gridSpan w:val="2"/>
            <w:vAlign w:val="top"/>
          </w:tcPr>
          <w:p w14:paraId="1FD47B74">
            <w:pPr>
              <w:pStyle w:val="29"/>
              <w:spacing w:before="206" w:line="220" w:lineRule="auto"/>
              <w:ind w:left="563"/>
              <w:rPr>
                <w:color w:val="auto"/>
                <w:highlight w:val="none"/>
              </w:rPr>
            </w:pPr>
            <w:r>
              <w:rPr>
                <w:color w:val="auto"/>
                <w:spacing w:val="-2"/>
                <w:highlight w:val="none"/>
              </w:rPr>
              <w:t>投标有效期</w:t>
            </w:r>
          </w:p>
        </w:tc>
        <w:tc>
          <w:tcPr>
            <w:tcW w:w="6157" w:type="dxa"/>
            <w:vAlign w:val="top"/>
          </w:tcPr>
          <w:p w14:paraId="317AD562">
            <w:pPr>
              <w:pStyle w:val="29"/>
              <w:spacing w:before="160" w:line="220" w:lineRule="auto"/>
              <w:ind w:left="113"/>
              <w:rPr>
                <w:color w:val="auto"/>
                <w:highlight w:val="none"/>
              </w:rPr>
            </w:pPr>
            <w:r>
              <w:rPr>
                <w:color w:val="auto"/>
                <w:spacing w:val="-1"/>
                <w:highlight w:val="none"/>
              </w:rPr>
              <w:t>90日历天（从投标截止之日算起）</w:t>
            </w:r>
          </w:p>
        </w:tc>
      </w:tr>
      <w:tr w14:paraId="5FB9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67" w:type="dxa"/>
            <w:tcBorders>
              <w:left w:val="single" w:color="000000" w:sz="4" w:space="0"/>
            </w:tcBorders>
            <w:vAlign w:val="top"/>
          </w:tcPr>
          <w:p w14:paraId="7DD967FB">
            <w:pPr>
              <w:pStyle w:val="29"/>
              <w:spacing w:before="240" w:line="182" w:lineRule="auto"/>
              <w:ind w:left="227"/>
              <w:rPr>
                <w:color w:val="auto"/>
                <w:highlight w:val="none"/>
              </w:rPr>
            </w:pPr>
            <w:r>
              <w:rPr>
                <w:color w:val="auto"/>
                <w:spacing w:val="-2"/>
                <w:highlight w:val="none"/>
              </w:rPr>
              <w:t>3.4.1</w:t>
            </w:r>
          </w:p>
        </w:tc>
        <w:tc>
          <w:tcPr>
            <w:tcW w:w="2145" w:type="dxa"/>
            <w:gridSpan w:val="2"/>
            <w:vAlign w:val="top"/>
          </w:tcPr>
          <w:p w14:paraId="07731D67">
            <w:pPr>
              <w:pStyle w:val="29"/>
              <w:spacing w:before="206" w:line="220" w:lineRule="auto"/>
              <w:ind w:left="563"/>
              <w:rPr>
                <w:color w:val="auto"/>
                <w:highlight w:val="none"/>
              </w:rPr>
            </w:pPr>
            <w:r>
              <w:rPr>
                <w:color w:val="auto"/>
                <w:spacing w:val="-2"/>
                <w:highlight w:val="none"/>
              </w:rPr>
              <w:t>投标保证金</w:t>
            </w:r>
          </w:p>
        </w:tc>
        <w:tc>
          <w:tcPr>
            <w:tcW w:w="6157" w:type="dxa"/>
            <w:vAlign w:val="top"/>
          </w:tcPr>
          <w:p w14:paraId="61075A01">
            <w:pPr>
              <w:pStyle w:val="29"/>
              <w:spacing w:before="206" w:line="219" w:lineRule="auto"/>
              <w:ind w:left="114"/>
              <w:rPr>
                <w:color w:val="auto"/>
                <w:highlight w:val="none"/>
              </w:rPr>
            </w:pPr>
            <w:r>
              <w:rPr>
                <w:color w:val="auto"/>
                <w:spacing w:val="-2"/>
                <w:highlight w:val="none"/>
              </w:rPr>
              <w:t>本</w:t>
            </w:r>
            <w:r>
              <w:rPr>
                <w:rFonts w:hint="eastAsia"/>
                <w:color w:val="auto"/>
                <w:spacing w:val="-2"/>
                <w:highlight w:val="none"/>
                <w:lang w:val="en-US" w:eastAsia="zh-CN"/>
              </w:rPr>
              <w:t>标段</w:t>
            </w:r>
            <w:r>
              <w:rPr>
                <w:color w:val="auto"/>
                <w:spacing w:val="-2"/>
                <w:highlight w:val="none"/>
              </w:rPr>
              <w:t>免收保证金。</w:t>
            </w:r>
          </w:p>
        </w:tc>
      </w:tr>
      <w:tr w14:paraId="3103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967" w:type="dxa"/>
            <w:tcBorders>
              <w:left w:val="single" w:color="000000" w:sz="4" w:space="0"/>
            </w:tcBorders>
            <w:vAlign w:val="top"/>
          </w:tcPr>
          <w:p w14:paraId="3908766B">
            <w:pPr>
              <w:spacing w:line="352" w:lineRule="auto"/>
              <w:rPr>
                <w:rFonts w:ascii="Arial"/>
                <w:color w:val="auto"/>
                <w:sz w:val="21"/>
                <w:highlight w:val="none"/>
              </w:rPr>
            </w:pPr>
          </w:p>
          <w:p w14:paraId="5E7CCFF5">
            <w:pPr>
              <w:pStyle w:val="29"/>
              <w:spacing w:before="68" w:line="181" w:lineRule="auto"/>
              <w:ind w:left="332"/>
              <w:rPr>
                <w:color w:val="auto"/>
                <w:highlight w:val="none"/>
              </w:rPr>
            </w:pPr>
            <w:r>
              <w:rPr>
                <w:color w:val="auto"/>
                <w:spacing w:val="-3"/>
                <w:highlight w:val="none"/>
              </w:rPr>
              <w:t>3.6</w:t>
            </w:r>
          </w:p>
        </w:tc>
        <w:tc>
          <w:tcPr>
            <w:tcW w:w="2145" w:type="dxa"/>
            <w:gridSpan w:val="2"/>
            <w:vAlign w:val="top"/>
          </w:tcPr>
          <w:p w14:paraId="6F3B18AD">
            <w:pPr>
              <w:pStyle w:val="29"/>
              <w:spacing w:before="176" w:line="436" w:lineRule="exact"/>
              <w:ind w:left="143"/>
              <w:rPr>
                <w:color w:val="auto"/>
                <w:highlight w:val="none"/>
              </w:rPr>
            </w:pPr>
            <w:r>
              <w:rPr>
                <w:color w:val="auto"/>
                <w:spacing w:val="-1"/>
                <w:position w:val="17"/>
                <w:highlight w:val="none"/>
              </w:rPr>
              <w:t>是否允许递交备选投</w:t>
            </w:r>
          </w:p>
          <w:p w14:paraId="03579A31">
            <w:pPr>
              <w:pStyle w:val="29"/>
              <w:spacing w:before="1" w:line="217" w:lineRule="auto"/>
              <w:ind w:left="772"/>
              <w:rPr>
                <w:color w:val="auto"/>
                <w:highlight w:val="none"/>
              </w:rPr>
            </w:pPr>
            <w:r>
              <w:rPr>
                <w:color w:val="auto"/>
                <w:spacing w:val="-2"/>
                <w:highlight w:val="none"/>
              </w:rPr>
              <w:t>标方案</w:t>
            </w:r>
          </w:p>
        </w:tc>
        <w:tc>
          <w:tcPr>
            <w:tcW w:w="6157" w:type="dxa"/>
            <w:vAlign w:val="top"/>
          </w:tcPr>
          <w:p w14:paraId="4302D694">
            <w:pPr>
              <w:spacing w:line="316" w:lineRule="auto"/>
              <w:rPr>
                <w:rFonts w:ascii="Arial"/>
                <w:color w:val="auto"/>
                <w:sz w:val="21"/>
                <w:highlight w:val="none"/>
              </w:rPr>
            </w:pPr>
          </w:p>
          <w:p w14:paraId="1FAE2645">
            <w:pPr>
              <w:pStyle w:val="29"/>
              <w:spacing w:before="68" w:line="220" w:lineRule="auto"/>
              <w:ind w:left="115"/>
              <w:rPr>
                <w:rFonts w:hint="default" w:eastAsia="宋体"/>
                <w:color w:val="auto"/>
                <w:highlight w:val="none"/>
                <w:lang w:val="en-US" w:eastAsia="zh-CN"/>
              </w:rPr>
            </w:pPr>
            <w:r>
              <w:rPr>
                <w:color w:val="auto"/>
                <w:spacing w:val="-3"/>
                <w:highlight w:val="none"/>
              </w:rPr>
              <w:t>不允许</w:t>
            </w:r>
            <w:r>
              <w:rPr>
                <w:rFonts w:hint="eastAsia"/>
                <w:color w:val="auto"/>
                <w:spacing w:val="-3"/>
                <w:highlight w:val="none"/>
                <w:lang w:val="en-US" w:eastAsia="zh-CN"/>
              </w:rPr>
              <w:t xml:space="preserve">                                                                                          </w:t>
            </w:r>
          </w:p>
        </w:tc>
      </w:tr>
      <w:tr w14:paraId="7B3E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5" w:hRule="atLeast"/>
        </w:trPr>
        <w:tc>
          <w:tcPr>
            <w:tcW w:w="967" w:type="dxa"/>
            <w:tcBorders>
              <w:left w:val="single" w:color="000000" w:sz="4" w:space="0"/>
            </w:tcBorders>
            <w:vAlign w:val="top"/>
          </w:tcPr>
          <w:p w14:paraId="3267E3E3">
            <w:pPr>
              <w:spacing w:line="242" w:lineRule="auto"/>
              <w:rPr>
                <w:rFonts w:ascii="Arial"/>
                <w:color w:val="auto"/>
                <w:sz w:val="21"/>
                <w:highlight w:val="none"/>
              </w:rPr>
            </w:pPr>
          </w:p>
          <w:p w14:paraId="36FA7F87">
            <w:pPr>
              <w:spacing w:line="242" w:lineRule="auto"/>
              <w:rPr>
                <w:rFonts w:ascii="Arial"/>
                <w:color w:val="auto"/>
                <w:sz w:val="21"/>
                <w:highlight w:val="none"/>
              </w:rPr>
            </w:pPr>
          </w:p>
          <w:p w14:paraId="51E02219">
            <w:pPr>
              <w:spacing w:line="243" w:lineRule="auto"/>
              <w:rPr>
                <w:rFonts w:ascii="Arial"/>
                <w:color w:val="auto"/>
                <w:sz w:val="21"/>
                <w:highlight w:val="none"/>
              </w:rPr>
            </w:pPr>
          </w:p>
          <w:p w14:paraId="6364CCF9">
            <w:pPr>
              <w:spacing w:line="243" w:lineRule="auto"/>
              <w:rPr>
                <w:rFonts w:ascii="Arial"/>
                <w:color w:val="auto"/>
                <w:sz w:val="21"/>
                <w:highlight w:val="none"/>
              </w:rPr>
            </w:pPr>
          </w:p>
          <w:p w14:paraId="593C6142">
            <w:pPr>
              <w:spacing w:line="243" w:lineRule="auto"/>
              <w:rPr>
                <w:rFonts w:ascii="Arial"/>
                <w:color w:val="auto"/>
                <w:sz w:val="21"/>
                <w:highlight w:val="none"/>
              </w:rPr>
            </w:pPr>
          </w:p>
          <w:p w14:paraId="66AB85D4">
            <w:pPr>
              <w:spacing w:line="243" w:lineRule="auto"/>
              <w:rPr>
                <w:rFonts w:ascii="Arial"/>
                <w:color w:val="auto"/>
                <w:sz w:val="21"/>
                <w:highlight w:val="none"/>
              </w:rPr>
            </w:pPr>
          </w:p>
          <w:p w14:paraId="173363E4">
            <w:pPr>
              <w:pStyle w:val="29"/>
              <w:spacing w:before="69" w:line="181" w:lineRule="auto"/>
              <w:ind w:left="332"/>
              <w:rPr>
                <w:color w:val="auto"/>
                <w:highlight w:val="none"/>
              </w:rPr>
            </w:pPr>
            <w:r>
              <w:rPr>
                <w:color w:val="auto"/>
                <w:spacing w:val="-3"/>
                <w:highlight w:val="none"/>
              </w:rPr>
              <w:t>3.7</w:t>
            </w:r>
          </w:p>
        </w:tc>
        <w:tc>
          <w:tcPr>
            <w:tcW w:w="2145" w:type="dxa"/>
            <w:gridSpan w:val="2"/>
            <w:vAlign w:val="top"/>
          </w:tcPr>
          <w:p w14:paraId="1D8EFAB1">
            <w:pPr>
              <w:spacing w:line="284" w:lineRule="auto"/>
              <w:rPr>
                <w:rFonts w:ascii="Arial"/>
                <w:color w:val="auto"/>
                <w:sz w:val="21"/>
                <w:highlight w:val="none"/>
              </w:rPr>
            </w:pPr>
          </w:p>
          <w:p w14:paraId="772F1E5D">
            <w:pPr>
              <w:spacing w:line="284" w:lineRule="auto"/>
              <w:rPr>
                <w:rFonts w:ascii="Arial"/>
                <w:color w:val="auto"/>
                <w:sz w:val="21"/>
                <w:highlight w:val="none"/>
              </w:rPr>
            </w:pPr>
          </w:p>
          <w:p w14:paraId="7F9808CF">
            <w:pPr>
              <w:spacing w:line="284" w:lineRule="auto"/>
              <w:rPr>
                <w:rFonts w:ascii="Arial"/>
                <w:color w:val="auto"/>
                <w:sz w:val="21"/>
                <w:highlight w:val="none"/>
              </w:rPr>
            </w:pPr>
          </w:p>
          <w:p w14:paraId="7A622D04">
            <w:pPr>
              <w:spacing w:line="284" w:lineRule="auto"/>
              <w:rPr>
                <w:rFonts w:ascii="Arial"/>
                <w:color w:val="auto"/>
                <w:sz w:val="21"/>
                <w:highlight w:val="none"/>
              </w:rPr>
            </w:pPr>
          </w:p>
          <w:p w14:paraId="56561A73">
            <w:pPr>
              <w:spacing w:line="284" w:lineRule="auto"/>
              <w:rPr>
                <w:rFonts w:ascii="Arial"/>
                <w:color w:val="auto"/>
                <w:sz w:val="21"/>
                <w:highlight w:val="none"/>
              </w:rPr>
            </w:pPr>
          </w:p>
          <w:p w14:paraId="0C149BBD">
            <w:pPr>
              <w:pStyle w:val="29"/>
              <w:spacing w:before="69" w:line="220" w:lineRule="auto"/>
              <w:ind w:left="353"/>
              <w:rPr>
                <w:color w:val="auto"/>
                <w:highlight w:val="none"/>
              </w:rPr>
            </w:pPr>
            <w:r>
              <w:rPr>
                <w:color w:val="auto"/>
                <w:spacing w:val="-1"/>
                <w:highlight w:val="none"/>
              </w:rPr>
              <w:t>投标文件的编制</w:t>
            </w:r>
          </w:p>
        </w:tc>
        <w:tc>
          <w:tcPr>
            <w:tcW w:w="6157" w:type="dxa"/>
            <w:vAlign w:val="top"/>
          </w:tcPr>
          <w:p w14:paraId="5BF06AB3">
            <w:pPr>
              <w:pStyle w:val="29"/>
              <w:spacing w:before="177" w:line="436" w:lineRule="exact"/>
              <w:ind w:left="118"/>
              <w:rPr>
                <w:color w:val="auto"/>
                <w:highlight w:val="none"/>
              </w:rPr>
            </w:pPr>
            <w:r>
              <w:rPr>
                <w:color w:val="auto"/>
                <w:spacing w:val="-4"/>
                <w:position w:val="17"/>
                <w:highlight w:val="none"/>
              </w:rPr>
              <w:t>（1）加密的电子投标文件（*.xxtf 格式）</w:t>
            </w:r>
            <w:r>
              <w:rPr>
                <w:color w:val="auto"/>
                <w:spacing w:val="-24"/>
                <w:position w:val="17"/>
                <w:highlight w:val="none"/>
              </w:rPr>
              <w:t xml:space="preserve"> </w:t>
            </w:r>
            <w:r>
              <w:rPr>
                <w:color w:val="auto"/>
                <w:spacing w:val="-4"/>
                <w:position w:val="17"/>
                <w:highlight w:val="none"/>
              </w:rPr>
              <w:t>,应在投标文件截止时</w:t>
            </w:r>
          </w:p>
          <w:p w14:paraId="0D992301">
            <w:pPr>
              <w:pStyle w:val="29"/>
              <w:spacing w:line="218" w:lineRule="auto"/>
              <w:ind w:left="128"/>
              <w:rPr>
                <w:color w:val="auto"/>
                <w:highlight w:val="none"/>
              </w:rPr>
            </w:pPr>
            <w:r>
              <w:rPr>
                <w:color w:val="auto"/>
                <w:spacing w:val="-2"/>
                <w:highlight w:val="none"/>
              </w:rPr>
              <w:t>间前通过“新乡市公共资源交易中心电子交易平</w:t>
            </w:r>
            <w:r>
              <w:rPr>
                <w:color w:val="auto"/>
                <w:spacing w:val="-3"/>
                <w:highlight w:val="none"/>
              </w:rPr>
              <w:t>台”内上传；</w:t>
            </w:r>
          </w:p>
          <w:p w14:paraId="06E71F06">
            <w:pPr>
              <w:pStyle w:val="29"/>
              <w:spacing w:before="201" w:line="435" w:lineRule="exact"/>
              <w:ind w:left="118"/>
              <w:rPr>
                <w:color w:val="auto"/>
                <w:highlight w:val="none"/>
              </w:rPr>
            </w:pPr>
            <w:r>
              <w:rPr>
                <w:color w:val="auto"/>
                <w:spacing w:val="-2"/>
                <w:position w:val="17"/>
                <w:highlight w:val="none"/>
              </w:rPr>
              <w:t>（2）加密的电子投标文件为“新乡市公共资源交易中心”网站提</w:t>
            </w:r>
          </w:p>
          <w:p w14:paraId="40B53339">
            <w:pPr>
              <w:pStyle w:val="29"/>
              <w:spacing w:line="218" w:lineRule="auto"/>
              <w:ind w:left="112"/>
              <w:rPr>
                <w:color w:val="auto"/>
                <w:highlight w:val="none"/>
              </w:rPr>
            </w:pPr>
            <w:r>
              <w:rPr>
                <w:color w:val="auto"/>
                <w:spacing w:val="-1"/>
                <w:highlight w:val="none"/>
              </w:rPr>
              <w:t>供的“投标文件制作工具”软件制作生成的加密版投标文件。</w:t>
            </w:r>
          </w:p>
          <w:p w14:paraId="690D97D6">
            <w:pPr>
              <w:pStyle w:val="29"/>
              <w:spacing w:before="186" w:line="220" w:lineRule="auto"/>
              <w:ind w:left="112"/>
              <w:rPr>
                <w:color w:val="auto"/>
                <w:highlight w:val="none"/>
              </w:rPr>
            </w:pPr>
            <w:r>
              <w:rPr>
                <w:color w:val="auto"/>
                <w:spacing w:val="-9"/>
                <w:highlight w:val="none"/>
                <w14:textOutline w14:w="3810" w14:cap="flat" w14:cmpd="sng">
                  <w14:solidFill>
                    <w14:srgbClr w14:val="000000"/>
                  </w14:solidFill>
                  <w14:prstDash w14:val="solid"/>
                  <w14:miter w14:val="0"/>
                </w14:textOutline>
              </w:rPr>
              <w:t>特别提醒：</w:t>
            </w:r>
          </w:p>
          <w:p w14:paraId="525EB66C">
            <w:pPr>
              <w:pStyle w:val="29"/>
              <w:spacing w:before="201" w:line="435" w:lineRule="exact"/>
              <w:ind w:left="115"/>
              <w:rPr>
                <w:color w:val="auto"/>
                <w:highlight w:val="none"/>
              </w:rPr>
            </w:pPr>
            <w:r>
              <w:rPr>
                <w:color w:val="auto"/>
                <w:spacing w:val="-2"/>
                <w:position w:val="17"/>
                <w:highlight w:val="none"/>
              </w:rPr>
              <w:t>投标人必须使用投标工具制作投标文件，使用单位</w:t>
            </w:r>
            <w:r>
              <w:rPr>
                <w:color w:val="auto"/>
                <w:spacing w:val="-39"/>
                <w:position w:val="17"/>
                <w:highlight w:val="none"/>
              </w:rPr>
              <w:t xml:space="preserve"> </w:t>
            </w:r>
            <w:r>
              <w:rPr>
                <w:color w:val="auto"/>
                <w:spacing w:val="-2"/>
                <w:position w:val="17"/>
                <w:highlight w:val="none"/>
              </w:rPr>
              <w:t>CA</w:t>
            </w:r>
            <w:r>
              <w:rPr>
                <w:color w:val="auto"/>
                <w:spacing w:val="-36"/>
                <w:position w:val="17"/>
                <w:highlight w:val="none"/>
              </w:rPr>
              <w:t xml:space="preserve"> </w:t>
            </w:r>
            <w:r>
              <w:rPr>
                <w:color w:val="auto"/>
                <w:spacing w:val="-2"/>
                <w:position w:val="17"/>
                <w:highlight w:val="none"/>
              </w:rPr>
              <w:t>证</w:t>
            </w:r>
            <w:r>
              <w:rPr>
                <w:color w:val="auto"/>
                <w:spacing w:val="-3"/>
                <w:position w:val="17"/>
                <w:highlight w:val="none"/>
              </w:rPr>
              <w:t>书生成投</w:t>
            </w:r>
          </w:p>
          <w:p w14:paraId="65EA6B3A">
            <w:pPr>
              <w:pStyle w:val="29"/>
              <w:spacing w:before="1" w:line="215" w:lineRule="auto"/>
              <w:ind w:left="113"/>
              <w:rPr>
                <w:color w:val="auto"/>
                <w:highlight w:val="none"/>
              </w:rPr>
            </w:pPr>
            <w:r>
              <w:rPr>
                <w:color w:val="auto"/>
                <w:spacing w:val="-3"/>
                <w:highlight w:val="none"/>
              </w:rPr>
              <w:t>标文件。</w:t>
            </w:r>
          </w:p>
        </w:tc>
      </w:tr>
      <w:tr w14:paraId="68B2A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4" w:hRule="atLeast"/>
        </w:trPr>
        <w:tc>
          <w:tcPr>
            <w:tcW w:w="967" w:type="dxa"/>
            <w:tcBorders>
              <w:left w:val="single" w:color="000000" w:sz="4" w:space="0"/>
            </w:tcBorders>
            <w:vAlign w:val="top"/>
          </w:tcPr>
          <w:p w14:paraId="2574A327">
            <w:pPr>
              <w:spacing w:line="267" w:lineRule="auto"/>
              <w:rPr>
                <w:rFonts w:ascii="Arial"/>
                <w:color w:val="auto"/>
                <w:sz w:val="21"/>
                <w:highlight w:val="none"/>
              </w:rPr>
            </w:pPr>
          </w:p>
          <w:p w14:paraId="13FFC004">
            <w:pPr>
              <w:spacing w:line="268" w:lineRule="auto"/>
              <w:rPr>
                <w:rFonts w:ascii="Arial"/>
                <w:color w:val="auto"/>
                <w:sz w:val="21"/>
                <w:highlight w:val="none"/>
              </w:rPr>
            </w:pPr>
          </w:p>
          <w:p w14:paraId="1859AD73">
            <w:pPr>
              <w:spacing w:line="268" w:lineRule="auto"/>
              <w:rPr>
                <w:rFonts w:ascii="Arial"/>
                <w:color w:val="auto"/>
                <w:sz w:val="21"/>
                <w:highlight w:val="none"/>
              </w:rPr>
            </w:pPr>
          </w:p>
          <w:p w14:paraId="637835E5">
            <w:pPr>
              <w:pStyle w:val="29"/>
              <w:spacing w:before="68" w:line="181" w:lineRule="auto"/>
              <w:ind w:left="227"/>
              <w:rPr>
                <w:color w:val="auto"/>
                <w:highlight w:val="none"/>
              </w:rPr>
            </w:pPr>
            <w:r>
              <w:rPr>
                <w:color w:val="auto"/>
                <w:spacing w:val="-2"/>
                <w:highlight w:val="none"/>
              </w:rPr>
              <w:t>3.7.3</w:t>
            </w:r>
          </w:p>
        </w:tc>
        <w:tc>
          <w:tcPr>
            <w:tcW w:w="2145" w:type="dxa"/>
            <w:gridSpan w:val="2"/>
            <w:vAlign w:val="top"/>
          </w:tcPr>
          <w:p w14:paraId="30FFCA73">
            <w:pPr>
              <w:spacing w:line="255" w:lineRule="auto"/>
              <w:rPr>
                <w:rFonts w:ascii="Arial"/>
                <w:color w:val="auto"/>
                <w:sz w:val="21"/>
                <w:highlight w:val="none"/>
              </w:rPr>
            </w:pPr>
          </w:p>
          <w:p w14:paraId="41C9CE80">
            <w:pPr>
              <w:spacing w:line="256" w:lineRule="auto"/>
              <w:rPr>
                <w:rFonts w:ascii="Arial"/>
                <w:color w:val="auto"/>
                <w:sz w:val="21"/>
                <w:highlight w:val="none"/>
              </w:rPr>
            </w:pPr>
          </w:p>
          <w:p w14:paraId="37F7007D">
            <w:pPr>
              <w:spacing w:line="256" w:lineRule="auto"/>
              <w:rPr>
                <w:rFonts w:ascii="Arial"/>
                <w:color w:val="auto"/>
                <w:sz w:val="21"/>
                <w:highlight w:val="none"/>
              </w:rPr>
            </w:pPr>
          </w:p>
          <w:p w14:paraId="31177BF2">
            <w:pPr>
              <w:pStyle w:val="29"/>
              <w:spacing w:before="68" w:line="219" w:lineRule="auto"/>
              <w:ind w:left="350"/>
              <w:rPr>
                <w:color w:val="auto"/>
                <w:highlight w:val="none"/>
              </w:rPr>
            </w:pPr>
            <w:r>
              <w:rPr>
                <w:color w:val="auto"/>
                <w:spacing w:val="-1"/>
                <w:highlight w:val="none"/>
              </w:rPr>
              <w:t>签字或盖章要求</w:t>
            </w:r>
          </w:p>
        </w:tc>
        <w:tc>
          <w:tcPr>
            <w:tcW w:w="6157" w:type="dxa"/>
            <w:vAlign w:val="top"/>
          </w:tcPr>
          <w:p w14:paraId="1BB8EDF2">
            <w:pPr>
              <w:pStyle w:val="29"/>
              <w:spacing w:before="179" w:line="220" w:lineRule="auto"/>
              <w:ind w:left="113"/>
              <w:rPr>
                <w:color w:val="auto"/>
                <w:highlight w:val="none"/>
              </w:rPr>
            </w:pPr>
            <w:r>
              <w:rPr>
                <w:color w:val="auto"/>
                <w:spacing w:val="-7"/>
                <w:highlight w:val="none"/>
              </w:rPr>
              <w:t>1、</w:t>
            </w:r>
            <w:r>
              <w:rPr>
                <w:color w:val="auto"/>
                <w:spacing w:val="-21"/>
                <w:highlight w:val="none"/>
              </w:rPr>
              <w:t xml:space="preserve"> </w:t>
            </w:r>
            <w:r>
              <w:rPr>
                <w:color w:val="auto"/>
                <w:spacing w:val="-7"/>
                <w:highlight w:val="none"/>
              </w:rPr>
              <w:t>电子投标文件</w:t>
            </w:r>
          </w:p>
          <w:p w14:paraId="6D86E6D9">
            <w:pPr>
              <w:pStyle w:val="29"/>
              <w:spacing w:before="185" w:line="219" w:lineRule="auto"/>
              <w:ind w:left="118"/>
              <w:rPr>
                <w:color w:val="auto"/>
                <w:highlight w:val="none"/>
              </w:rPr>
            </w:pPr>
            <w:r>
              <w:rPr>
                <w:color w:val="auto"/>
                <w:spacing w:val="-2"/>
                <w:highlight w:val="none"/>
              </w:rPr>
              <w:t>（1）所有要求投标人电子签章处都须加盖投</w:t>
            </w:r>
            <w:r>
              <w:rPr>
                <w:color w:val="auto"/>
                <w:spacing w:val="-3"/>
                <w:highlight w:val="none"/>
              </w:rPr>
              <w:t>标人的</w:t>
            </w:r>
            <w:r>
              <w:rPr>
                <w:color w:val="auto"/>
                <w:spacing w:val="-26"/>
                <w:highlight w:val="none"/>
              </w:rPr>
              <w:t xml:space="preserve"> </w:t>
            </w:r>
            <w:r>
              <w:rPr>
                <w:color w:val="auto"/>
                <w:spacing w:val="-3"/>
                <w:highlight w:val="none"/>
              </w:rPr>
              <w:t>CA</w:t>
            </w:r>
            <w:r>
              <w:rPr>
                <w:color w:val="auto"/>
                <w:spacing w:val="-20"/>
                <w:highlight w:val="none"/>
              </w:rPr>
              <w:t xml:space="preserve"> </w:t>
            </w:r>
            <w:r>
              <w:rPr>
                <w:color w:val="auto"/>
                <w:spacing w:val="-3"/>
                <w:highlight w:val="none"/>
              </w:rPr>
              <w:t>印章。</w:t>
            </w:r>
          </w:p>
          <w:p w14:paraId="42FDBBC9">
            <w:pPr>
              <w:pStyle w:val="29"/>
              <w:spacing w:before="201" w:line="436" w:lineRule="exact"/>
              <w:ind w:left="118"/>
              <w:rPr>
                <w:color w:val="auto"/>
                <w:highlight w:val="none"/>
              </w:rPr>
            </w:pPr>
            <w:r>
              <w:rPr>
                <w:color w:val="auto"/>
                <w:spacing w:val="-2"/>
                <w:position w:val="17"/>
                <w:highlight w:val="none"/>
              </w:rPr>
              <w:t>（2）所有要求法定代表人电子签章处都须加盖投标人法定代表人</w:t>
            </w:r>
          </w:p>
          <w:p w14:paraId="6F7AB26F">
            <w:pPr>
              <w:pStyle w:val="29"/>
              <w:spacing w:line="213" w:lineRule="auto"/>
              <w:ind w:left="129"/>
              <w:rPr>
                <w:color w:val="auto"/>
                <w:highlight w:val="none"/>
              </w:rPr>
            </w:pPr>
            <w:r>
              <w:rPr>
                <w:color w:val="auto"/>
                <w:spacing w:val="-12"/>
                <w:highlight w:val="none"/>
              </w:rPr>
              <w:t>的</w:t>
            </w:r>
            <w:r>
              <w:rPr>
                <w:color w:val="auto"/>
                <w:spacing w:val="-35"/>
                <w:highlight w:val="none"/>
              </w:rPr>
              <w:t xml:space="preserve"> </w:t>
            </w:r>
            <w:r>
              <w:rPr>
                <w:color w:val="auto"/>
                <w:spacing w:val="-12"/>
                <w:highlight w:val="none"/>
              </w:rPr>
              <w:t>CA</w:t>
            </w:r>
            <w:r>
              <w:rPr>
                <w:color w:val="auto"/>
                <w:spacing w:val="-20"/>
                <w:highlight w:val="none"/>
              </w:rPr>
              <w:t xml:space="preserve"> </w:t>
            </w:r>
            <w:r>
              <w:rPr>
                <w:color w:val="auto"/>
                <w:spacing w:val="-12"/>
                <w:highlight w:val="none"/>
              </w:rPr>
              <w:t>印章。</w:t>
            </w:r>
          </w:p>
        </w:tc>
      </w:tr>
      <w:tr w14:paraId="67F5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967" w:type="dxa"/>
            <w:tcBorders>
              <w:left w:val="single" w:color="000000" w:sz="4" w:space="0"/>
            </w:tcBorders>
            <w:vAlign w:val="top"/>
          </w:tcPr>
          <w:p w14:paraId="60FD4153">
            <w:pPr>
              <w:spacing w:line="373" w:lineRule="auto"/>
              <w:rPr>
                <w:rFonts w:ascii="Arial"/>
                <w:color w:val="auto"/>
                <w:sz w:val="21"/>
                <w:highlight w:val="none"/>
              </w:rPr>
            </w:pPr>
          </w:p>
          <w:p w14:paraId="5927ED2F">
            <w:pPr>
              <w:pStyle w:val="29"/>
              <w:spacing w:before="68" w:line="181" w:lineRule="auto"/>
              <w:ind w:left="222"/>
              <w:rPr>
                <w:color w:val="auto"/>
                <w:highlight w:val="none"/>
              </w:rPr>
            </w:pPr>
            <w:r>
              <w:rPr>
                <w:color w:val="auto"/>
                <w:spacing w:val="-2"/>
                <w:highlight w:val="none"/>
              </w:rPr>
              <w:t>4.2.3</w:t>
            </w:r>
          </w:p>
        </w:tc>
        <w:tc>
          <w:tcPr>
            <w:tcW w:w="2145" w:type="dxa"/>
            <w:gridSpan w:val="2"/>
            <w:vAlign w:val="top"/>
          </w:tcPr>
          <w:p w14:paraId="3F147300">
            <w:pPr>
              <w:pStyle w:val="29"/>
              <w:spacing w:before="183" w:line="435" w:lineRule="exact"/>
              <w:ind w:left="353"/>
              <w:rPr>
                <w:color w:val="auto"/>
                <w:highlight w:val="none"/>
              </w:rPr>
            </w:pPr>
            <w:r>
              <w:rPr>
                <w:color w:val="auto"/>
                <w:spacing w:val="-1"/>
                <w:position w:val="17"/>
                <w:highlight w:val="none"/>
              </w:rPr>
              <w:t>投标文件递交的</w:t>
            </w:r>
          </w:p>
          <w:p w14:paraId="77611FE0">
            <w:pPr>
              <w:pStyle w:val="29"/>
              <w:spacing w:line="220" w:lineRule="auto"/>
              <w:ind w:left="664"/>
              <w:rPr>
                <w:color w:val="auto"/>
                <w:highlight w:val="none"/>
              </w:rPr>
            </w:pPr>
            <w:r>
              <w:rPr>
                <w:color w:val="auto"/>
                <w:spacing w:val="-2"/>
                <w:highlight w:val="none"/>
              </w:rPr>
              <w:t>截止时间</w:t>
            </w:r>
          </w:p>
        </w:tc>
        <w:tc>
          <w:tcPr>
            <w:tcW w:w="6157" w:type="dxa"/>
            <w:vAlign w:val="top"/>
          </w:tcPr>
          <w:p w14:paraId="2CF07D09">
            <w:pPr>
              <w:spacing w:line="337" w:lineRule="auto"/>
              <w:rPr>
                <w:rFonts w:ascii="Arial"/>
                <w:color w:val="auto"/>
                <w:sz w:val="21"/>
                <w:highlight w:val="none"/>
              </w:rPr>
            </w:pPr>
          </w:p>
          <w:p w14:paraId="412A29E1">
            <w:pPr>
              <w:pStyle w:val="29"/>
              <w:spacing w:before="69" w:line="218" w:lineRule="auto"/>
              <w:ind w:left="113"/>
              <w:rPr>
                <w:color w:val="auto"/>
                <w:highlight w:val="none"/>
              </w:rPr>
            </w:pPr>
            <w:r>
              <w:rPr>
                <w:color w:val="auto"/>
                <w:spacing w:val="-1"/>
                <w:highlight w:val="none"/>
              </w:rPr>
              <w:t>递交截止时间：详见招标公告</w:t>
            </w:r>
          </w:p>
        </w:tc>
      </w:tr>
      <w:tr w14:paraId="164D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9" w:hRule="atLeast"/>
        </w:trPr>
        <w:tc>
          <w:tcPr>
            <w:tcW w:w="967" w:type="dxa"/>
            <w:tcBorders>
              <w:left w:val="single" w:color="000000" w:sz="4" w:space="0"/>
            </w:tcBorders>
            <w:vAlign w:val="top"/>
          </w:tcPr>
          <w:p w14:paraId="2CF44D56">
            <w:pPr>
              <w:spacing w:line="253" w:lineRule="auto"/>
              <w:rPr>
                <w:rFonts w:ascii="Arial"/>
                <w:color w:val="auto"/>
                <w:sz w:val="21"/>
                <w:highlight w:val="none"/>
              </w:rPr>
            </w:pPr>
          </w:p>
          <w:p w14:paraId="1FC33D42">
            <w:pPr>
              <w:spacing w:line="253" w:lineRule="auto"/>
              <w:rPr>
                <w:rFonts w:ascii="Arial"/>
                <w:color w:val="auto"/>
                <w:sz w:val="21"/>
                <w:highlight w:val="none"/>
              </w:rPr>
            </w:pPr>
          </w:p>
          <w:p w14:paraId="23ECCA99">
            <w:pPr>
              <w:spacing w:line="254" w:lineRule="auto"/>
              <w:rPr>
                <w:rFonts w:ascii="Arial"/>
                <w:color w:val="auto"/>
                <w:sz w:val="21"/>
                <w:highlight w:val="none"/>
              </w:rPr>
            </w:pPr>
          </w:p>
          <w:p w14:paraId="538DA9F5">
            <w:pPr>
              <w:spacing w:line="254" w:lineRule="auto"/>
              <w:rPr>
                <w:rFonts w:ascii="Arial"/>
                <w:color w:val="auto"/>
                <w:sz w:val="21"/>
                <w:highlight w:val="none"/>
              </w:rPr>
            </w:pPr>
          </w:p>
          <w:p w14:paraId="76529444">
            <w:pPr>
              <w:pStyle w:val="29"/>
              <w:spacing w:before="68" w:line="182" w:lineRule="auto"/>
              <w:ind w:left="332"/>
              <w:rPr>
                <w:color w:val="auto"/>
                <w:highlight w:val="none"/>
              </w:rPr>
            </w:pPr>
            <w:r>
              <w:rPr>
                <w:color w:val="auto"/>
                <w:spacing w:val="-3"/>
                <w:highlight w:val="none"/>
              </w:rPr>
              <w:t>5.1</w:t>
            </w:r>
          </w:p>
        </w:tc>
        <w:tc>
          <w:tcPr>
            <w:tcW w:w="2145" w:type="dxa"/>
            <w:gridSpan w:val="2"/>
            <w:vAlign w:val="top"/>
          </w:tcPr>
          <w:p w14:paraId="383B78DE">
            <w:pPr>
              <w:spacing w:line="245" w:lineRule="auto"/>
              <w:rPr>
                <w:rFonts w:ascii="Arial"/>
                <w:color w:val="auto"/>
                <w:sz w:val="21"/>
                <w:highlight w:val="none"/>
              </w:rPr>
            </w:pPr>
          </w:p>
          <w:p w14:paraId="4C1806E7">
            <w:pPr>
              <w:spacing w:line="245" w:lineRule="auto"/>
              <w:rPr>
                <w:rFonts w:ascii="Arial"/>
                <w:color w:val="auto"/>
                <w:sz w:val="21"/>
                <w:highlight w:val="none"/>
              </w:rPr>
            </w:pPr>
          </w:p>
          <w:p w14:paraId="340AF89A">
            <w:pPr>
              <w:spacing w:line="245" w:lineRule="auto"/>
              <w:rPr>
                <w:rFonts w:ascii="Arial"/>
                <w:color w:val="auto"/>
                <w:sz w:val="21"/>
                <w:highlight w:val="none"/>
              </w:rPr>
            </w:pPr>
          </w:p>
          <w:p w14:paraId="77399125">
            <w:pPr>
              <w:spacing w:line="245" w:lineRule="auto"/>
              <w:rPr>
                <w:rFonts w:ascii="Arial"/>
                <w:color w:val="auto"/>
                <w:sz w:val="21"/>
                <w:highlight w:val="none"/>
              </w:rPr>
            </w:pPr>
          </w:p>
          <w:p w14:paraId="18750CC2">
            <w:pPr>
              <w:pStyle w:val="29"/>
              <w:spacing w:before="68" w:line="220" w:lineRule="auto"/>
              <w:ind w:left="351"/>
              <w:rPr>
                <w:color w:val="auto"/>
                <w:highlight w:val="none"/>
              </w:rPr>
            </w:pPr>
            <w:r>
              <w:rPr>
                <w:color w:val="auto"/>
                <w:spacing w:val="-1"/>
                <w:highlight w:val="none"/>
              </w:rPr>
              <w:t>开标时间和地点</w:t>
            </w:r>
          </w:p>
        </w:tc>
        <w:tc>
          <w:tcPr>
            <w:tcW w:w="6157" w:type="dxa"/>
            <w:vAlign w:val="top"/>
          </w:tcPr>
          <w:p w14:paraId="61C35DDF">
            <w:pPr>
              <w:pStyle w:val="29"/>
              <w:spacing w:before="168" w:line="451" w:lineRule="exact"/>
              <w:ind w:left="113"/>
              <w:rPr>
                <w:color w:val="auto"/>
                <w:highlight w:val="none"/>
              </w:rPr>
            </w:pPr>
            <w:r>
              <w:rPr>
                <w:color w:val="auto"/>
                <w:spacing w:val="2"/>
                <w:position w:val="18"/>
                <w:highlight w:val="none"/>
              </w:rPr>
              <w:t>开标时间：同投标截止时间（加密电子投标</w:t>
            </w:r>
            <w:r>
              <w:rPr>
                <w:color w:val="auto"/>
                <w:spacing w:val="1"/>
                <w:position w:val="18"/>
                <w:highlight w:val="none"/>
              </w:rPr>
              <w:t>文件必须凭制作投标</w:t>
            </w:r>
          </w:p>
          <w:p w14:paraId="324B99DE">
            <w:pPr>
              <w:pStyle w:val="29"/>
              <w:spacing w:line="219" w:lineRule="auto"/>
              <w:ind w:left="114"/>
              <w:rPr>
                <w:color w:val="auto"/>
                <w:highlight w:val="none"/>
              </w:rPr>
            </w:pPr>
            <w:r>
              <w:rPr>
                <w:color w:val="auto"/>
                <w:spacing w:val="-4"/>
                <w:highlight w:val="none"/>
              </w:rPr>
              <w:t>文件所用的</w:t>
            </w:r>
            <w:r>
              <w:rPr>
                <w:color w:val="auto"/>
                <w:spacing w:val="-26"/>
                <w:highlight w:val="none"/>
              </w:rPr>
              <w:t xml:space="preserve"> </w:t>
            </w:r>
            <w:r>
              <w:rPr>
                <w:color w:val="auto"/>
                <w:spacing w:val="-4"/>
                <w:highlight w:val="none"/>
              </w:rPr>
              <w:t>CA</w:t>
            </w:r>
            <w:r>
              <w:rPr>
                <w:color w:val="auto"/>
                <w:spacing w:val="-36"/>
                <w:highlight w:val="none"/>
              </w:rPr>
              <w:t xml:space="preserve"> </w:t>
            </w:r>
            <w:r>
              <w:rPr>
                <w:color w:val="auto"/>
                <w:spacing w:val="-4"/>
                <w:highlight w:val="none"/>
              </w:rPr>
              <w:t>密匙完成解密）。</w:t>
            </w:r>
          </w:p>
          <w:p w14:paraId="3F31675C">
            <w:pPr>
              <w:pStyle w:val="29"/>
              <w:spacing w:before="185" w:line="218" w:lineRule="auto"/>
              <w:ind w:left="113"/>
              <w:rPr>
                <w:color w:val="auto"/>
                <w:highlight w:val="none"/>
              </w:rPr>
            </w:pPr>
            <w:r>
              <w:rPr>
                <w:color w:val="auto"/>
                <w:highlight w:val="none"/>
                <w14:textOutline w14:w="3810" w14:cap="flat" w14:cmpd="sng">
                  <w14:solidFill>
                    <w14:srgbClr w14:val="000000"/>
                  </w14:solidFill>
                  <w14:prstDash w14:val="solid"/>
                  <w14:miter w14:val="0"/>
                </w14:textOutline>
              </w:rPr>
              <w:t>开标地点：详见招标公告</w:t>
            </w:r>
          </w:p>
          <w:p w14:paraId="1872CA95">
            <w:pPr>
              <w:pStyle w:val="29"/>
              <w:spacing w:before="186" w:line="451" w:lineRule="exact"/>
              <w:ind w:left="115"/>
              <w:rPr>
                <w:color w:val="auto"/>
                <w:highlight w:val="none"/>
              </w:rPr>
            </w:pPr>
            <w:r>
              <w:rPr>
                <w:color w:val="auto"/>
                <w:spacing w:val="-3"/>
                <w:position w:val="18"/>
                <w:highlight w:val="none"/>
              </w:rPr>
              <w:t>备注：投标人需在开标截止时间后</w:t>
            </w:r>
            <w:r>
              <w:rPr>
                <w:color w:val="auto"/>
                <w:spacing w:val="-18"/>
                <w:position w:val="18"/>
                <w:highlight w:val="none"/>
              </w:rPr>
              <w:t xml:space="preserve"> </w:t>
            </w:r>
            <w:r>
              <w:rPr>
                <w:color w:val="auto"/>
                <w:spacing w:val="-3"/>
                <w:position w:val="18"/>
                <w:highlight w:val="none"/>
              </w:rPr>
              <w:t>30</w:t>
            </w:r>
            <w:r>
              <w:rPr>
                <w:color w:val="auto"/>
                <w:spacing w:val="-34"/>
                <w:position w:val="18"/>
                <w:highlight w:val="none"/>
              </w:rPr>
              <w:t xml:space="preserve"> </w:t>
            </w:r>
            <w:r>
              <w:rPr>
                <w:color w:val="auto"/>
                <w:spacing w:val="-3"/>
                <w:position w:val="18"/>
                <w:highlight w:val="none"/>
              </w:rPr>
              <w:t>分钟内完成解密，否则造成</w:t>
            </w:r>
          </w:p>
          <w:p w14:paraId="225E50EA">
            <w:pPr>
              <w:pStyle w:val="29"/>
              <w:spacing w:line="210" w:lineRule="auto"/>
              <w:ind w:left="129"/>
              <w:rPr>
                <w:color w:val="auto"/>
                <w:highlight w:val="none"/>
              </w:rPr>
            </w:pPr>
            <w:r>
              <w:rPr>
                <w:color w:val="auto"/>
                <w:spacing w:val="-4"/>
                <w:highlight w:val="none"/>
              </w:rPr>
              <w:t>的一切后果由投标人自行负责。</w:t>
            </w:r>
          </w:p>
        </w:tc>
      </w:tr>
      <w:tr w14:paraId="4B86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967" w:type="dxa"/>
            <w:tcBorders>
              <w:left w:val="single" w:color="000000" w:sz="4" w:space="0"/>
            </w:tcBorders>
            <w:vAlign w:val="top"/>
          </w:tcPr>
          <w:p w14:paraId="3D5D7B49">
            <w:pPr>
              <w:spacing w:line="360" w:lineRule="auto"/>
              <w:rPr>
                <w:rFonts w:ascii="Arial"/>
                <w:color w:val="auto"/>
                <w:sz w:val="21"/>
                <w:highlight w:val="none"/>
              </w:rPr>
            </w:pPr>
          </w:p>
          <w:p w14:paraId="604F952E">
            <w:pPr>
              <w:pStyle w:val="29"/>
              <w:spacing w:before="68" w:line="182" w:lineRule="auto"/>
              <w:ind w:left="225"/>
              <w:rPr>
                <w:color w:val="auto"/>
                <w:highlight w:val="none"/>
              </w:rPr>
            </w:pPr>
            <w:r>
              <w:rPr>
                <w:color w:val="auto"/>
                <w:spacing w:val="-2"/>
                <w:highlight w:val="none"/>
              </w:rPr>
              <w:t>6.1.1</w:t>
            </w:r>
          </w:p>
        </w:tc>
        <w:tc>
          <w:tcPr>
            <w:tcW w:w="2145" w:type="dxa"/>
            <w:gridSpan w:val="2"/>
            <w:vAlign w:val="top"/>
          </w:tcPr>
          <w:p w14:paraId="47F45B05">
            <w:pPr>
              <w:spacing w:line="326" w:lineRule="auto"/>
              <w:rPr>
                <w:rFonts w:ascii="Arial"/>
                <w:color w:val="auto"/>
                <w:sz w:val="21"/>
                <w:highlight w:val="none"/>
              </w:rPr>
            </w:pPr>
          </w:p>
          <w:p w14:paraId="0A1D1B19">
            <w:pPr>
              <w:pStyle w:val="29"/>
              <w:spacing w:before="68" w:line="219" w:lineRule="auto"/>
              <w:ind w:left="244"/>
              <w:rPr>
                <w:color w:val="auto"/>
                <w:highlight w:val="none"/>
              </w:rPr>
            </w:pPr>
            <w:r>
              <w:rPr>
                <w:color w:val="auto"/>
                <w:spacing w:val="-1"/>
                <w:highlight w:val="none"/>
              </w:rPr>
              <w:t>评标</w:t>
            </w:r>
            <w:r>
              <w:rPr>
                <w:rFonts w:ascii="宋体" w:hAnsi="宋体" w:eastAsia="宋体" w:cs="宋体"/>
                <w:color w:val="auto"/>
                <w:spacing w:val="-1"/>
                <w:highlight w:val="none"/>
              </w:rPr>
              <w:t>委员</w:t>
            </w:r>
            <w:r>
              <w:rPr>
                <w:color w:val="auto"/>
                <w:spacing w:val="-1"/>
                <w:highlight w:val="none"/>
              </w:rPr>
              <w:t>会的组建</w:t>
            </w:r>
          </w:p>
        </w:tc>
        <w:tc>
          <w:tcPr>
            <w:tcW w:w="6157" w:type="dxa"/>
            <w:vAlign w:val="top"/>
          </w:tcPr>
          <w:p w14:paraId="18FAECC5">
            <w:pPr>
              <w:pStyle w:val="29"/>
              <w:spacing w:before="186" w:line="219" w:lineRule="auto"/>
              <w:ind w:left="111"/>
              <w:rPr>
                <w:color w:val="auto"/>
                <w:highlight w:val="none"/>
              </w:rPr>
            </w:pPr>
            <w:r>
              <w:rPr>
                <w:color w:val="auto"/>
                <w:spacing w:val="-16"/>
                <w:highlight w:val="none"/>
              </w:rPr>
              <w:t>评标委员会构成：</w:t>
            </w:r>
            <w:r>
              <w:rPr>
                <w:color w:val="auto"/>
                <w:spacing w:val="49"/>
                <w:highlight w:val="none"/>
              </w:rPr>
              <w:t xml:space="preserve"> </w:t>
            </w:r>
            <w:r>
              <w:rPr>
                <w:color w:val="auto"/>
                <w:spacing w:val="13"/>
                <w:highlight w:val="none"/>
                <w:u w:val="single" w:color="auto"/>
              </w:rPr>
              <w:t xml:space="preserve"> </w:t>
            </w:r>
            <w:r>
              <w:rPr>
                <w:rFonts w:hint="eastAsia"/>
                <w:color w:val="auto"/>
                <w:spacing w:val="-16"/>
                <w:highlight w:val="none"/>
                <w:u w:val="single" w:color="auto"/>
                <w:lang w:val="en-US" w:eastAsia="zh-CN"/>
              </w:rPr>
              <w:t>5</w:t>
            </w:r>
            <w:r>
              <w:rPr>
                <w:color w:val="auto"/>
                <w:spacing w:val="-16"/>
                <w:highlight w:val="none"/>
                <w:u w:val="single" w:color="auto"/>
              </w:rPr>
              <w:t xml:space="preserve"> </w:t>
            </w:r>
            <w:r>
              <w:rPr>
                <w:color w:val="auto"/>
                <w:spacing w:val="-16"/>
                <w:highlight w:val="none"/>
              </w:rPr>
              <w:t>人；</w:t>
            </w:r>
          </w:p>
          <w:p w14:paraId="771EB256">
            <w:pPr>
              <w:pStyle w:val="29"/>
              <w:spacing w:before="180" w:line="221" w:lineRule="auto"/>
              <w:ind w:left="114"/>
              <w:rPr>
                <w:color w:val="auto"/>
                <w:highlight w:val="none"/>
              </w:rPr>
            </w:pPr>
            <w:r>
              <w:rPr>
                <w:color w:val="auto"/>
                <w:spacing w:val="-1"/>
                <w:highlight w:val="none"/>
              </w:rPr>
              <w:t xml:space="preserve">评标专家组成：由招标人代表 </w:t>
            </w:r>
            <w:r>
              <w:rPr>
                <w:rFonts w:hint="eastAsia"/>
                <w:color w:val="auto"/>
                <w:spacing w:val="-1"/>
                <w:highlight w:val="none"/>
                <w:lang w:val="en-US" w:eastAsia="zh-CN"/>
              </w:rPr>
              <w:t>1</w:t>
            </w:r>
            <w:r>
              <w:rPr>
                <w:color w:val="auto"/>
                <w:spacing w:val="-1"/>
                <w:highlight w:val="none"/>
              </w:rPr>
              <w:t xml:space="preserve"> 人和相关专业技</w:t>
            </w:r>
            <w:r>
              <w:rPr>
                <w:color w:val="auto"/>
                <w:spacing w:val="-2"/>
                <w:highlight w:val="none"/>
              </w:rPr>
              <w:t xml:space="preserve">术和经济专家 </w:t>
            </w:r>
            <w:r>
              <w:rPr>
                <w:rFonts w:hint="eastAsia"/>
                <w:color w:val="auto"/>
                <w:spacing w:val="-2"/>
                <w:highlight w:val="none"/>
                <w:lang w:val="en-US" w:eastAsia="zh-CN"/>
              </w:rPr>
              <w:t>4</w:t>
            </w:r>
            <w:r>
              <w:rPr>
                <w:color w:val="auto"/>
                <w:spacing w:val="-2"/>
                <w:highlight w:val="none"/>
              </w:rPr>
              <w:t>人组成</w:t>
            </w:r>
          </w:p>
          <w:p w14:paraId="35C2CCDC">
            <w:pPr>
              <w:pStyle w:val="29"/>
              <w:spacing w:before="183" w:line="219" w:lineRule="auto"/>
              <w:ind w:left="111"/>
              <w:rPr>
                <w:color w:val="auto"/>
                <w:highlight w:val="none"/>
              </w:rPr>
            </w:pPr>
            <w:r>
              <w:rPr>
                <w:color w:val="auto"/>
                <w:spacing w:val="-1"/>
                <w:highlight w:val="none"/>
              </w:rPr>
              <w:t>评标专家确定方式：随机抽取</w:t>
            </w:r>
          </w:p>
          <w:p w14:paraId="343E634F">
            <w:pPr>
              <w:pStyle w:val="29"/>
              <w:spacing w:before="201" w:line="435" w:lineRule="exact"/>
              <w:ind w:left="138"/>
              <w:rPr>
                <w:color w:val="auto"/>
                <w:highlight w:val="none"/>
              </w:rPr>
            </w:pPr>
            <w:r>
              <w:rPr>
                <w:color w:val="auto"/>
                <w:spacing w:val="1"/>
                <w:position w:val="17"/>
                <w:highlight w:val="none"/>
              </w:rPr>
              <w:t>由招标人在开标前在监督单位监督下从相关评标专</w:t>
            </w:r>
            <w:r>
              <w:rPr>
                <w:color w:val="auto"/>
                <w:position w:val="17"/>
                <w:highlight w:val="none"/>
              </w:rPr>
              <w:t>家库中随机抽</w:t>
            </w:r>
          </w:p>
          <w:p w14:paraId="157F8F33">
            <w:pPr>
              <w:pStyle w:val="29"/>
              <w:spacing w:before="187" w:line="215" w:lineRule="auto"/>
              <w:ind w:left="111"/>
              <w:rPr>
                <w:rFonts w:hint="eastAsia" w:eastAsia="宋体"/>
                <w:color w:val="auto"/>
                <w:highlight w:val="none"/>
                <w:lang w:eastAsia="zh-CN"/>
              </w:rPr>
            </w:pPr>
            <w:r>
              <w:rPr>
                <w:color w:val="auto"/>
                <w:spacing w:val="-11"/>
                <w:highlight w:val="none"/>
              </w:rPr>
              <w:t>取。</w:t>
            </w:r>
          </w:p>
        </w:tc>
      </w:tr>
      <w:tr w14:paraId="45BD4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967" w:type="dxa"/>
            <w:tcBorders>
              <w:left w:val="single" w:color="000000" w:sz="4" w:space="0"/>
            </w:tcBorders>
            <w:vAlign w:val="center"/>
          </w:tcPr>
          <w:p w14:paraId="0F4951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en-US" w:bidi="ar-SA"/>
              </w:rPr>
              <w:t>7.1</w:t>
            </w:r>
            <w:r>
              <w:rPr>
                <w:rFonts w:hint="eastAsia" w:ascii="宋体" w:hAnsi="宋体" w:eastAsia="宋体" w:cs="宋体"/>
                <w:snapToGrid w:val="0"/>
                <w:color w:val="auto"/>
                <w:spacing w:val="-1"/>
                <w:kern w:val="0"/>
                <w:sz w:val="21"/>
                <w:szCs w:val="21"/>
                <w:highlight w:val="none"/>
                <w:lang w:val="en-US" w:eastAsia="zh-CN" w:bidi="ar-SA"/>
              </w:rPr>
              <w:t>.1</w:t>
            </w:r>
          </w:p>
        </w:tc>
        <w:tc>
          <w:tcPr>
            <w:tcW w:w="2145" w:type="dxa"/>
            <w:gridSpan w:val="2"/>
            <w:vAlign w:val="center"/>
          </w:tcPr>
          <w:p w14:paraId="022171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评标委员会推荐中标候 </w:t>
            </w:r>
          </w:p>
          <w:p w14:paraId="5EE505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选人的人数</w:t>
            </w:r>
          </w:p>
        </w:tc>
        <w:tc>
          <w:tcPr>
            <w:tcW w:w="6157" w:type="dxa"/>
            <w:vAlign w:val="center"/>
          </w:tcPr>
          <w:p w14:paraId="3FDAAB6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 xml:space="preserve">□1-3 名 </w:t>
            </w:r>
          </w:p>
          <w:p w14:paraId="01164C1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☑执行评定分离，本项目中标候选人数量上限为10 名。根据政策要求：有效投标人数量为3至10家（含10 家）时，全部推荐为中标候选人；有效投标人数量为10 家以上时，按照择优原则进行评标，差额推荐中标候选人，推荐中标候选人数量不少于 10 家。（中标候选人排名不分先后）</w:t>
            </w:r>
          </w:p>
          <w:p w14:paraId="33C05C5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注：推荐的中标候选人须于中标候选人公示发布之日起3日内，向代理机构提供3份胶装版纸质投标文件及电子版1份。</w:t>
            </w:r>
          </w:p>
        </w:tc>
      </w:tr>
      <w:tr w14:paraId="623A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967" w:type="dxa"/>
            <w:tcBorders>
              <w:left w:val="single" w:color="000000" w:sz="4" w:space="0"/>
            </w:tcBorders>
            <w:vAlign w:val="center"/>
          </w:tcPr>
          <w:p w14:paraId="35B1487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7.1.2</w:t>
            </w:r>
          </w:p>
        </w:tc>
        <w:tc>
          <w:tcPr>
            <w:tcW w:w="2145" w:type="dxa"/>
            <w:gridSpan w:val="2"/>
            <w:vAlign w:val="center"/>
          </w:tcPr>
          <w:p w14:paraId="78606F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定标方法</w:t>
            </w:r>
          </w:p>
        </w:tc>
        <w:tc>
          <w:tcPr>
            <w:tcW w:w="6157" w:type="dxa"/>
            <w:vAlign w:val="center"/>
          </w:tcPr>
          <w:p w14:paraId="360CCC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本项目采用“评定分离”模式确定中标人，定标方法采用“票决法”，定标过程在招标人收到评标报告10日内完成定标工作，定标过程包括核查、定标会议两个阶段。</w:t>
            </w:r>
          </w:p>
        </w:tc>
      </w:tr>
      <w:tr w14:paraId="588E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67" w:type="dxa"/>
            <w:tcBorders>
              <w:left w:val="single" w:color="000000" w:sz="4" w:space="0"/>
            </w:tcBorders>
            <w:vAlign w:val="center"/>
          </w:tcPr>
          <w:p w14:paraId="60579AB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en-US" w:bidi="ar-SA"/>
              </w:rPr>
              <w:t>7.</w:t>
            </w:r>
            <w:r>
              <w:rPr>
                <w:rFonts w:hint="eastAsia" w:ascii="宋体" w:hAnsi="宋体" w:eastAsia="宋体" w:cs="宋体"/>
                <w:snapToGrid w:val="0"/>
                <w:color w:val="auto"/>
                <w:spacing w:val="-1"/>
                <w:kern w:val="0"/>
                <w:sz w:val="21"/>
                <w:szCs w:val="21"/>
                <w:highlight w:val="none"/>
                <w:lang w:val="en-US" w:eastAsia="zh-CN" w:bidi="ar-SA"/>
              </w:rPr>
              <w:t>1.3</w:t>
            </w:r>
          </w:p>
        </w:tc>
        <w:tc>
          <w:tcPr>
            <w:tcW w:w="2145" w:type="dxa"/>
            <w:gridSpan w:val="2"/>
            <w:vAlign w:val="center"/>
          </w:tcPr>
          <w:p w14:paraId="144A04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是否采用评定分离方式确定中标人</w:t>
            </w:r>
          </w:p>
        </w:tc>
        <w:tc>
          <w:tcPr>
            <w:tcW w:w="6157" w:type="dxa"/>
            <w:vAlign w:val="center"/>
          </w:tcPr>
          <w:p w14:paraId="5E6CFC7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sym w:font="Wingdings 2" w:char="00A3"/>
            </w:r>
            <w:r>
              <w:rPr>
                <w:rFonts w:hint="eastAsia" w:ascii="宋体" w:hAnsi="宋体" w:eastAsia="宋体" w:cs="宋体"/>
                <w:snapToGrid w:val="0"/>
                <w:color w:val="auto"/>
                <w:spacing w:val="-1"/>
                <w:kern w:val="0"/>
                <w:sz w:val="21"/>
                <w:szCs w:val="21"/>
                <w:highlight w:val="none"/>
                <w:lang w:val="en-US" w:eastAsia="zh-CN" w:bidi="ar-SA"/>
              </w:rPr>
              <w:t>否</w:t>
            </w:r>
          </w:p>
          <w:p w14:paraId="45F9EC6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☑是，具体定标相关内容：</w:t>
            </w:r>
          </w:p>
          <w:p w14:paraId="1EF8A4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 xml:space="preserve">（1）定标委员会组成情况：定标委员会成员数量为 5 人，招标人单位成员不低于成员总数的三分之二。 定标委员会组长由招标人确定，原则上由招标人的法定代表人、主要负责人或分管负责人担任，其他成员由招标人自行选定。 </w:t>
            </w:r>
          </w:p>
          <w:p w14:paraId="2B77BAC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 xml:space="preserve">（2）定标因素及定标方法：本项目定标委员会将通过“票决法”进行定标。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具体定标因素详见本招标文件“第七章 定标办法” </w:t>
            </w:r>
          </w:p>
          <w:p w14:paraId="48A8194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 xml:space="preserve">（3）定标的时间、地点：招标人在收到评标报告后 10 日内完成定标工作，定标会议在公共资源交易中心按流程进行，不能按时完成定标工作的，通过公共资源交易平台发布延期原因和最终定标时间，最终定标时间不超过投标有效期。（定标会议具体时间及地点以中标候选人公示为准） </w:t>
            </w:r>
          </w:p>
          <w:p w14:paraId="174F7F0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 xml:space="preserve">（4）定标程序：具体程序详见本招标文件“第七章定标办法” </w:t>
            </w:r>
          </w:p>
          <w:p w14:paraId="43E75BE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（5）法律、法规和规章规定的其他内容；</w:t>
            </w:r>
          </w:p>
        </w:tc>
      </w:tr>
      <w:tr w14:paraId="627B2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967" w:type="dxa"/>
            <w:tcBorders>
              <w:left w:val="single" w:color="000000" w:sz="4" w:space="0"/>
            </w:tcBorders>
            <w:vAlign w:val="top"/>
          </w:tcPr>
          <w:p w14:paraId="75B415AC">
            <w:pPr>
              <w:spacing w:line="350" w:lineRule="auto"/>
              <w:rPr>
                <w:rFonts w:ascii="Arial"/>
                <w:color w:val="auto"/>
                <w:sz w:val="21"/>
                <w:highlight w:val="none"/>
              </w:rPr>
            </w:pPr>
          </w:p>
          <w:p w14:paraId="2AAF077F">
            <w:pPr>
              <w:pStyle w:val="29"/>
              <w:spacing w:before="68" w:line="182" w:lineRule="auto"/>
              <w:ind w:left="228"/>
              <w:rPr>
                <w:rFonts w:hint="eastAsia" w:eastAsia="宋体"/>
                <w:color w:val="auto"/>
                <w:highlight w:val="none"/>
                <w:lang w:eastAsia="zh-CN"/>
              </w:rPr>
            </w:pPr>
            <w:r>
              <w:rPr>
                <w:color w:val="auto"/>
                <w:spacing w:val="-3"/>
                <w:highlight w:val="none"/>
              </w:rPr>
              <w:t>7.1.</w:t>
            </w:r>
            <w:r>
              <w:rPr>
                <w:rFonts w:hint="eastAsia"/>
                <w:color w:val="auto"/>
                <w:spacing w:val="-3"/>
                <w:highlight w:val="none"/>
                <w:lang w:val="en-US" w:eastAsia="zh-CN"/>
              </w:rPr>
              <w:t>4</w:t>
            </w:r>
          </w:p>
        </w:tc>
        <w:tc>
          <w:tcPr>
            <w:tcW w:w="2145" w:type="dxa"/>
            <w:gridSpan w:val="2"/>
            <w:vAlign w:val="top"/>
          </w:tcPr>
          <w:p w14:paraId="0FAB08C8">
            <w:pPr>
              <w:pStyle w:val="29"/>
              <w:spacing w:before="161" w:line="450" w:lineRule="exact"/>
              <w:ind w:left="159"/>
              <w:rPr>
                <w:color w:val="auto"/>
                <w:highlight w:val="none"/>
              </w:rPr>
            </w:pPr>
            <w:r>
              <w:rPr>
                <w:color w:val="auto"/>
                <w:spacing w:val="-3"/>
                <w:position w:val="18"/>
                <w:highlight w:val="none"/>
              </w:rPr>
              <w:t>中标候选人公示媒介</w:t>
            </w:r>
          </w:p>
          <w:p w14:paraId="7B9D8937">
            <w:pPr>
              <w:pStyle w:val="29"/>
              <w:spacing w:line="218" w:lineRule="auto"/>
              <w:ind w:left="770"/>
              <w:rPr>
                <w:color w:val="auto"/>
                <w:highlight w:val="none"/>
              </w:rPr>
            </w:pPr>
            <w:r>
              <w:rPr>
                <w:color w:val="auto"/>
                <w:spacing w:val="-2"/>
                <w:highlight w:val="none"/>
              </w:rPr>
              <w:t>及期限</w:t>
            </w:r>
          </w:p>
        </w:tc>
        <w:tc>
          <w:tcPr>
            <w:tcW w:w="6157" w:type="dxa"/>
            <w:vAlign w:val="top"/>
          </w:tcPr>
          <w:p w14:paraId="5298F889">
            <w:pPr>
              <w:pStyle w:val="29"/>
              <w:spacing w:before="161" w:line="218" w:lineRule="auto"/>
              <w:ind w:left="119"/>
              <w:rPr>
                <w:color w:val="auto"/>
                <w:highlight w:val="none"/>
              </w:rPr>
            </w:pPr>
            <w:r>
              <w:rPr>
                <w:color w:val="auto"/>
                <w:spacing w:val="-1"/>
                <w:highlight w:val="none"/>
              </w:rPr>
              <w:t>公示媒介：招标公告发布的相同媒体</w:t>
            </w:r>
          </w:p>
          <w:p w14:paraId="5F09A354">
            <w:pPr>
              <w:pStyle w:val="29"/>
              <w:spacing w:before="202" w:line="218" w:lineRule="auto"/>
              <w:ind w:left="119"/>
              <w:rPr>
                <w:color w:val="auto"/>
                <w:highlight w:val="none"/>
              </w:rPr>
            </w:pPr>
            <w:r>
              <w:rPr>
                <w:color w:val="auto"/>
                <w:spacing w:val="0"/>
                <w:sz w:val="21"/>
                <w:highlight w:val="none"/>
              </w:rPr>
              <w:t>公示期限：</w:t>
            </w:r>
            <w:r>
              <w:rPr>
                <w:color w:val="auto"/>
                <w:spacing w:val="32"/>
                <w:highlight w:val="none"/>
              </w:rPr>
              <w:t xml:space="preserve"> </w:t>
            </w:r>
            <w:r>
              <w:rPr>
                <w:color w:val="auto"/>
                <w:spacing w:val="-19"/>
                <w:highlight w:val="none"/>
              </w:rPr>
              <w:t>3 日</w:t>
            </w:r>
          </w:p>
        </w:tc>
      </w:tr>
      <w:tr w14:paraId="738AF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967" w:type="dxa"/>
            <w:tcBorders>
              <w:left w:val="single" w:color="000000" w:sz="4" w:space="0"/>
            </w:tcBorders>
            <w:vAlign w:val="top"/>
          </w:tcPr>
          <w:p w14:paraId="64FC7E08">
            <w:pPr>
              <w:spacing w:line="287" w:lineRule="auto"/>
              <w:rPr>
                <w:rFonts w:ascii="Arial"/>
                <w:color w:val="auto"/>
                <w:sz w:val="21"/>
                <w:highlight w:val="none"/>
              </w:rPr>
            </w:pPr>
          </w:p>
          <w:p w14:paraId="24BF7A4D">
            <w:pPr>
              <w:spacing w:line="288" w:lineRule="auto"/>
              <w:rPr>
                <w:rFonts w:ascii="Arial"/>
                <w:color w:val="auto"/>
                <w:sz w:val="21"/>
                <w:highlight w:val="none"/>
              </w:rPr>
            </w:pPr>
          </w:p>
          <w:p w14:paraId="3F639AA5">
            <w:pPr>
              <w:pStyle w:val="29"/>
              <w:spacing w:before="68" w:line="182" w:lineRule="auto"/>
              <w:ind w:left="228"/>
              <w:rPr>
                <w:color w:val="auto"/>
                <w:highlight w:val="none"/>
              </w:rPr>
            </w:pPr>
            <w:r>
              <w:rPr>
                <w:color w:val="auto"/>
                <w:spacing w:val="-3"/>
                <w:highlight w:val="none"/>
              </w:rPr>
              <w:t>7.3.1</w:t>
            </w:r>
          </w:p>
        </w:tc>
        <w:tc>
          <w:tcPr>
            <w:tcW w:w="2145" w:type="dxa"/>
            <w:gridSpan w:val="2"/>
            <w:vAlign w:val="top"/>
          </w:tcPr>
          <w:p w14:paraId="29ACAA00">
            <w:pPr>
              <w:spacing w:line="270" w:lineRule="auto"/>
              <w:rPr>
                <w:rFonts w:ascii="Arial"/>
                <w:color w:val="auto"/>
                <w:sz w:val="21"/>
                <w:highlight w:val="none"/>
              </w:rPr>
            </w:pPr>
          </w:p>
          <w:p w14:paraId="1AEB7736">
            <w:pPr>
              <w:spacing w:line="271" w:lineRule="auto"/>
              <w:rPr>
                <w:rFonts w:ascii="Arial"/>
                <w:color w:val="auto"/>
                <w:sz w:val="21"/>
                <w:highlight w:val="none"/>
              </w:rPr>
            </w:pPr>
          </w:p>
          <w:p w14:paraId="269E3310">
            <w:pPr>
              <w:pStyle w:val="29"/>
              <w:spacing w:before="68" w:line="220" w:lineRule="auto"/>
              <w:ind w:left="669"/>
              <w:rPr>
                <w:color w:val="auto"/>
                <w:highlight w:val="none"/>
              </w:rPr>
            </w:pPr>
            <w:r>
              <w:rPr>
                <w:color w:val="auto"/>
                <w:spacing w:val="-2"/>
                <w:highlight w:val="none"/>
              </w:rPr>
              <w:t>履约担保</w:t>
            </w:r>
          </w:p>
        </w:tc>
        <w:tc>
          <w:tcPr>
            <w:tcW w:w="6157" w:type="dxa"/>
            <w:vAlign w:val="center"/>
          </w:tcPr>
          <w:p w14:paraId="4DD5A46E">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napToGrid w:val="0"/>
                <w:color w:val="auto"/>
                <w:kern w:val="0"/>
                <w:sz w:val="21"/>
                <w:szCs w:val="21"/>
                <w:highlight w:val="none"/>
                <w:u w:val="none"/>
                <w:lang w:val="en-US" w:eastAsia="zh-CN" w:bidi="ar-SA"/>
              </w:rPr>
            </w:pPr>
            <w:r>
              <w:rPr>
                <w:rFonts w:hint="eastAsia" w:ascii="微软雅黑" w:hAnsi="微软雅黑" w:eastAsia="微软雅黑" w:cs="微软雅黑"/>
                <w:color w:val="auto"/>
                <w:kern w:val="0"/>
                <w:sz w:val="21"/>
                <w:szCs w:val="21"/>
                <w:highlight w:val="none"/>
                <w:u w:val="none"/>
                <w:lang w:val="en-US" w:eastAsia="zh-CN" w:bidi="ar-SA"/>
              </w:rPr>
              <w:t>履约担保的形式：免收</w:t>
            </w:r>
          </w:p>
        </w:tc>
      </w:tr>
      <w:tr w14:paraId="3C50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269" w:type="dxa"/>
            <w:gridSpan w:val="4"/>
            <w:tcBorders>
              <w:left w:val="single" w:color="000000" w:sz="4" w:space="0"/>
            </w:tcBorders>
            <w:vAlign w:val="top"/>
          </w:tcPr>
          <w:p w14:paraId="688BD0BA">
            <w:pPr>
              <w:pStyle w:val="29"/>
              <w:spacing w:before="207" w:line="220" w:lineRule="auto"/>
              <w:ind w:left="3558"/>
              <w:rPr>
                <w:color w:val="auto"/>
                <w:highlight w:val="none"/>
              </w:rPr>
            </w:pPr>
            <w:r>
              <w:rPr>
                <w:color w:val="auto"/>
                <w:spacing w:val="-4"/>
                <w:highlight w:val="none"/>
              </w:rPr>
              <w:t>10</w:t>
            </w:r>
            <w:r>
              <w:rPr>
                <w:color w:val="auto"/>
                <w:spacing w:val="25"/>
                <w:highlight w:val="none"/>
              </w:rPr>
              <w:t xml:space="preserve"> </w:t>
            </w:r>
            <w:r>
              <w:rPr>
                <w:color w:val="auto"/>
                <w:spacing w:val="-4"/>
                <w:highlight w:val="none"/>
              </w:rPr>
              <w:t>需要补充的其他内容</w:t>
            </w:r>
          </w:p>
        </w:tc>
      </w:tr>
      <w:tr w14:paraId="3E91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717" w:type="dxa"/>
            <w:gridSpan w:val="2"/>
            <w:tcBorders>
              <w:left w:val="single" w:color="000000" w:sz="4" w:space="0"/>
            </w:tcBorders>
            <w:vAlign w:val="top"/>
          </w:tcPr>
          <w:p w14:paraId="169324C6">
            <w:pPr>
              <w:pStyle w:val="29"/>
              <w:spacing w:before="179" w:line="435" w:lineRule="exact"/>
              <w:ind w:left="134"/>
              <w:rPr>
                <w:rFonts w:ascii="宋体" w:hAnsi="宋体" w:eastAsia="宋体" w:cs="宋体"/>
                <w:color w:val="auto"/>
                <w:spacing w:val="-4"/>
                <w:position w:val="17"/>
                <w:highlight w:val="none"/>
              </w:rPr>
            </w:pPr>
            <w:r>
              <w:rPr>
                <w:rFonts w:hint="eastAsia" w:ascii="宋体" w:hAnsi="宋体" w:eastAsia="宋体" w:cs="宋体"/>
                <w:color w:val="auto"/>
                <w:spacing w:val="-4"/>
                <w:position w:val="17"/>
                <w:highlight w:val="none"/>
              </w:rPr>
              <w:t>10.1 类似项目</w:t>
            </w:r>
          </w:p>
        </w:tc>
        <w:tc>
          <w:tcPr>
            <w:tcW w:w="7552" w:type="dxa"/>
            <w:gridSpan w:val="2"/>
            <w:vAlign w:val="top"/>
          </w:tcPr>
          <w:p w14:paraId="79F7E2DC">
            <w:pPr>
              <w:pStyle w:val="29"/>
              <w:spacing w:before="179" w:line="435" w:lineRule="exact"/>
              <w:ind w:left="134"/>
              <w:rPr>
                <w:rFonts w:hint="eastAsia" w:ascii="宋体" w:hAnsi="宋体" w:eastAsia="宋体" w:cs="宋体"/>
                <w:color w:val="auto"/>
                <w:spacing w:val="-4"/>
                <w:position w:val="17"/>
                <w:highlight w:val="none"/>
              </w:rPr>
            </w:pPr>
            <w:r>
              <w:rPr>
                <w:rFonts w:hint="eastAsia" w:ascii="宋体" w:hAnsi="宋体" w:eastAsia="宋体" w:cs="宋体"/>
                <w:color w:val="auto"/>
                <w:spacing w:val="-4"/>
                <w:position w:val="17"/>
                <w:highlight w:val="none"/>
              </w:rPr>
              <w:t>类似项目是指：类似的市政公用工程监理项目</w:t>
            </w:r>
          </w:p>
          <w:p w14:paraId="29E1B0D1">
            <w:pPr>
              <w:pStyle w:val="29"/>
              <w:spacing w:before="179" w:line="435" w:lineRule="exact"/>
              <w:ind w:left="134"/>
              <w:rPr>
                <w:rFonts w:ascii="宋体" w:hAnsi="宋体" w:eastAsia="宋体" w:cs="宋体"/>
                <w:color w:val="auto"/>
                <w:spacing w:val="-4"/>
                <w:position w:val="17"/>
                <w:highlight w:val="none"/>
              </w:rPr>
            </w:pPr>
            <w:r>
              <w:rPr>
                <w:rFonts w:hint="eastAsia" w:ascii="宋体" w:hAnsi="宋体" w:eastAsia="宋体" w:cs="宋体"/>
                <w:color w:val="auto"/>
                <w:spacing w:val="-4"/>
                <w:position w:val="17"/>
                <w:highlight w:val="none"/>
              </w:rPr>
              <w:t>年份要求：2022 年 1 月 1 日起至今</w:t>
            </w:r>
          </w:p>
        </w:tc>
      </w:tr>
      <w:tr w14:paraId="396D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717" w:type="dxa"/>
            <w:gridSpan w:val="2"/>
            <w:tcBorders>
              <w:left w:val="single" w:color="000000" w:sz="4" w:space="0"/>
            </w:tcBorders>
            <w:vAlign w:val="top"/>
          </w:tcPr>
          <w:p w14:paraId="1860EAEA">
            <w:pPr>
              <w:pStyle w:val="29"/>
              <w:spacing w:before="179" w:line="435" w:lineRule="exact"/>
              <w:ind w:left="134"/>
              <w:rPr>
                <w:color w:val="auto"/>
                <w:highlight w:val="none"/>
              </w:rPr>
            </w:pPr>
            <w:r>
              <w:rPr>
                <w:color w:val="auto"/>
                <w:spacing w:val="-4"/>
                <w:position w:val="17"/>
                <w:highlight w:val="none"/>
              </w:rPr>
              <w:t>10.</w:t>
            </w:r>
            <w:r>
              <w:rPr>
                <w:rFonts w:hint="eastAsia"/>
                <w:color w:val="auto"/>
                <w:spacing w:val="-4"/>
                <w:position w:val="17"/>
                <w:highlight w:val="none"/>
                <w:lang w:val="en-US" w:eastAsia="zh-CN"/>
              </w:rPr>
              <w:t>2</w:t>
            </w:r>
            <w:r>
              <w:rPr>
                <w:color w:val="auto"/>
                <w:spacing w:val="-4"/>
                <w:position w:val="17"/>
                <w:highlight w:val="none"/>
              </w:rPr>
              <w:t>投标人代</w:t>
            </w:r>
          </w:p>
          <w:p w14:paraId="06F90B05">
            <w:pPr>
              <w:pStyle w:val="29"/>
              <w:spacing w:line="218" w:lineRule="auto"/>
              <w:ind w:left="327" w:leftChars="0"/>
              <w:rPr>
                <w:rFonts w:ascii="宋体" w:hAnsi="宋体" w:eastAsia="宋体" w:cs="宋体"/>
                <w:snapToGrid w:val="0"/>
                <w:color w:val="auto"/>
                <w:kern w:val="0"/>
                <w:sz w:val="21"/>
                <w:szCs w:val="21"/>
                <w:highlight w:val="none"/>
                <w:lang w:val="en-US" w:eastAsia="en-US" w:bidi="ar-SA"/>
              </w:rPr>
            </w:pPr>
            <w:r>
              <w:rPr>
                <w:color w:val="auto"/>
                <w:spacing w:val="-1"/>
                <w:highlight w:val="none"/>
              </w:rPr>
              <w:t>表出席开标会</w:t>
            </w:r>
          </w:p>
        </w:tc>
        <w:tc>
          <w:tcPr>
            <w:tcW w:w="7552" w:type="dxa"/>
            <w:gridSpan w:val="2"/>
            <w:vAlign w:val="top"/>
          </w:tcPr>
          <w:p w14:paraId="01F75F9C">
            <w:pPr>
              <w:pStyle w:val="29"/>
              <w:spacing w:before="179" w:line="435" w:lineRule="exact"/>
              <w:ind w:left="113"/>
              <w:rPr>
                <w:color w:val="auto"/>
                <w:highlight w:val="none"/>
              </w:rPr>
            </w:pPr>
            <w:r>
              <w:rPr>
                <w:color w:val="auto"/>
                <w:position w:val="17"/>
                <w:highlight w:val="none"/>
              </w:rPr>
              <w:t>投标人应当在投标截止时间前，登录远程开标大厅，在线准时参加开标活动，并</w:t>
            </w:r>
          </w:p>
          <w:p w14:paraId="64D7F16C">
            <w:pPr>
              <w:pStyle w:val="29"/>
              <w:spacing w:line="219" w:lineRule="auto"/>
              <w:ind w:left="110" w:leftChars="0"/>
              <w:rPr>
                <w:rFonts w:ascii="宋体" w:hAnsi="宋体" w:eastAsia="宋体" w:cs="宋体"/>
                <w:snapToGrid w:val="0"/>
                <w:color w:val="auto"/>
                <w:kern w:val="0"/>
                <w:sz w:val="21"/>
                <w:szCs w:val="21"/>
                <w:highlight w:val="none"/>
                <w:lang w:val="en-US" w:eastAsia="en-US" w:bidi="ar-SA"/>
              </w:rPr>
            </w:pPr>
            <w:r>
              <w:rPr>
                <w:color w:val="auto"/>
                <w:spacing w:val="-2"/>
                <w:highlight w:val="none"/>
              </w:rPr>
              <w:t>在规定时间内进行投标文件解密、答疑澄清等。</w:t>
            </w:r>
          </w:p>
        </w:tc>
      </w:tr>
      <w:tr w14:paraId="15FA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5" w:hRule="atLeast"/>
        </w:trPr>
        <w:tc>
          <w:tcPr>
            <w:tcW w:w="1717" w:type="dxa"/>
            <w:gridSpan w:val="2"/>
            <w:tcBorders>
              <w:left w:val="single" w:color="000000" w:sz="4" w:space="0"/>
            </w:tcBorders>
            <w:vAlign w:val="top"/>
          </w:tcPr>
          <w:p w14:paraId="6A623EBA">
            <w:pPr>
              <w:spacing w:line="250" w:lineRule="auto"/>
              <w:rPr>
                <w:rFonts w:ascii="Arial"/>
                <w:color w:val="auto"/>
                <w:sz w:val="21"/>
                <w:highlight w:val="none"/>
              </w:rPr>
            </w:pPr>
          </w:p>
          <w:p w14:paraId="22113A80">
            <w:pPr>
              <w:spacing w:line="250" w:lineRule="auto"/>
              <w:rPr>
                <w:rFonts w:ascii="Arial"/>
                <w:color w:val="auto"/>
                <w:sz w:val="21"/>
                <w:highlight w:val="none"/>
              </w:rPr>
            </w:pPr>
          </w:p>
          <w:p w14:paraId="385DD5CB">
            <w:pPr>
              <w:spacing w:line="251" w:lineRule="auto"/>
              <w:rPr>
                <w:rFonts w:ascii="Arial"/>
                <w:color w:val="auto"/>
                <w:sz w:val="21"/>
                <w:highlight w:val="none"/>
              </w:rPr>
            </w:pPr>
          </w:p>
          <w:p w14:paraId="1197D59B">
            <w:pPr>
              <w:pStyle w:val="29"/>
              <w:spacing w:before="68" w:line="220" w:lineRule="auto"/>
              <w:ind w:left="209"/>
              <w:rPr>
                <w:color w:val="auto"/>
                <w:highlight w:val="none"/>
              </w:rPr>
            </w:pPr>
            <w:r>
              <w:rPr>
                <w:color w:val="auto"/>
                <w:spacing w:val="-4"/>
                <w:highlight w:val="none"/>
              </w:rPr>
              <w:t>10.</w:t>
            </w:r>
            <w:r>
              <w:rPr>
                <w:rFonts w:hint="eastAsia"/>
                <w:color w:val="auto"/>
                <w:spacing w:val="-4"/>
                <w:highlight w:val="none"/>
                <w:lang w:val="en-US" w:eastAsia="zh-CN"/>
              </w:rPr>
              <w:t>3</w:t>
            </w:r>
            <w:r>
              <w:rPr>
                <w:color w:val="auto"/>
                <w:spacing w:val="-33"/>
                <w:highlight w:val="none"/>
              </w:rPr>
              <w:t xml:space="preserve"> </w:t>
            </w:r>
            <w:r>
              <w:rPr>
                <w:color w:val="auto"/>
                <w:spacing w:val="-4"/>
                <w:highlight w:val="none"/>
              </w:rPr>
              <w:t>知识产权</w:t>
            </w:r>
          </w:p>
        </w:tc>
        <w:tc>
          <w:tcPr>
            <w:tcW w:w="7552" w:type="dxa"/>
            <w:gridSpan w:val="2"/>
            <w:vAlign w:val="top"/>
          </w:tcPr>
          <w:p w14:paraId="270432E4">
            <w:pPr>
              <w:pStyle w:val="29"/>
              <w:spacing w:before="165" w:line="387" w:lineRule="auto"/>
              <w:ind w:left="112" w:right="67"/>
              <w:jc w:val="both"/>
              <w:rPr>
                <w:color w:val="auto"/>
                <w:highlight w:val="none"/>
              </w:rPr>
            </w:pPr>
            <w:r>
              <w:rPr>
                <w:color w:val="auto"/>
                <w:highlight w:val="none"/>
              </w:rPr>
              <w:t>构成本招标文件各个组成部分的文件，未经招标人书面同意，投标人不得擅自复</w:t>
            </w:r>
            <w:r>
              <w:rPr>
                <w:color w:val="auto"/>
                <w:spacing w:val="5"/>
                <w:highlight w:val="none"/>
              </w:rPr>
              <w:t xml:space="preserve"> </w:t>
            </w:r>
            <w:r>
              <w:rPr>
                <w:color w:val="auto"/>
                <w:highlight w:val="none"/>
              </w:rPr>
              <w:t>印和用于非本招标项目所需的其他目的。招标人全部或者</w:t>
            </w:r>
            <w:r>
              <w:rPr>
                <w:color w:val="auto"/>
                <w:spacing w:val="-1"/>
                <w:highlight w:val="none"/>
              </w:rPr>
              <w:t>部分使用未中标人投标</w:t>
            </w:r>
            <w:r>
              <w:rPr>
                <w:color w:val="auto"/>
                <w:highlight w:val="none"/>
              </w:rPr>
              <w:t xml:space="preserve"> 文件中的技术成果或技术方案时，需征得其书面同意，并不得擅自复印或提供给</w:t>
            </w:r>
          </w:p>
          <w:p w14:paraId="5FE2B622">
            <w:pPr>
              <w:pStyle w:val="29"/>
              <w:spacing w:line="219" w:lineRule="auto"/>
              <w:ind w:left="111"/>
              <w:rPr>
                <w:color w:val="auto"/>
                <w:highlight w:val="none"/>
              </w:rPr>
            </w:pPr>
            <w:r>
              <w:rPr>
                <w:color w:val="auto"/>
                <w:spacing w:val="-7"/>
                <w:highlight w:val="none"/>
              </w:rPr>
              <w:t>第三人。</w:t>
            </w:r>
          </w:p>
        </w:tc>
      </w:tr>
      <w:tr w14:paraId="1780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717" w:type="dxa"/>
            <w:gridSpan w:val="2"/>
            <w:tcBorders>
              <w:left w:val="single" w:color="000000" w:sz="4" w:space="0"/>
            </w:tcBorders>
            <w:vAlign w:val="top"/>
          </w:tcPr>
          <w:p w14:paraId="28ED6279">
            <w:pPr>
              <w:pStyle w:val="29"/>
              <w:spacing w:before="165" w:line="451" w:lineRule="exact"/>
              <w:ind w:left="209"/>
              <w:rPr>
                <w:color w:val="auto"/>
                <w:highlight w:val="none"/>
              </w:rPr>
            </w:pPr>
            <w:r>
              <w:rPr>
                <w:color w:val="auto"/>
                <w:spacing w:val="-4"/>
                <w:position w:val="18"/>
                <w:highlight w:val="none"/>
              </w:rPr>
              <w:t>10.</w:t>
            </w:r>
            <w:r>
              <w:rPr>
                <w:rFonts w:hint="eastAsia"/>
                <w:color w:val="auto"/>
                <w:spacing w:val="-4"/>
                <w:position w:val="18"/>
                <w:highlight w:val="none"/>
                <w:lang w:val="en-US" w:eastAsia="zh-CN"/>
              </w:rPr>
              <w:t>4</w:t>
            </w:r>
            <w:r>
              <w:rPr>
                <w:color w:val="auto"/>
                <w:spacing w:val="-34"/>
                <w:position w:val="18"/>
                <w:highlight w:val="none"/>
              </w:rPr>
              <w:t xml:space="preserve"> </w:t>
            </w:r>
            <w:r>
              <w:rPr>
                <w:color w:val="auto"/>
                <w:spacing w:val="-4"/>
                <w:position w:val="18"/>
                <w:highlight w:val="none"/>
              </w:rPr>
              <w:t>重新招标</w:t>
            </w:r>
          </w:p>
          <w:p w14:paraId="0E0CC860">
            <w:pPr>
              <w:pStyle w:val="29"/>
              <w:spacing w:line="213" w:lineRule="auto"/>
              <w:ind w:left="345"/>
              <w:rPr>
                <w:color w:val="auto"/>
                <w:highlight w:val="none"/>
              </w:rPr>
            </w:pPr>
            <w:r>
              <w:rPr>
                <w:color w:val="auto"/>
                <w:spacing w:val="-4"/>
                <w:highlight w:val="none"/>
              </w:rPr>
              <w:t>的其他情形</w:t>
            </w:r>
          </w:p>
        </w:tc>
        <w:tc>
          <w:tcPr>
            <w:tcW w:w="7552" w:type="dxa"/>
            <w:gridSpan w:val="2"/>
            <w:vAlign w:val="top"/>
          </w:tcPr>
          <w:p w14:paraId="4BD249DA">
            <w:pPr>
              <w:pStyle w:val="29"/>
              <w:spacing w:before="165" w:line="451" w:lineRule="exact"/>
              <w:ind w:left="123"/>
              <w:rPr>
                <w:color w:val="auto"/>
                <w:highlight w:val="none"/>
              </w:rPr>
            </w:pPr>
            <w:r>
              <w:rPr>
                <w:color w:val="auto"/>
                <w:spacing w:val="-1"/>
                <w:position w:val="18"/>
                <w:highlight w:val="none"/>
              </w:rPr>
              <w:t>除投标人须知正文第</w:t>
            </w:r>
            <w:r>
              <w:rPr>
                <w:color w:val="auto"/>
                <w:spacing w:val="-29"/>
                <w:position w:val="18"/>
                <w:highlight w:val="none"/>
              </w:rPr>
              <w:t xml:space="preserve"> </w:t>
            </w:r>
            <w:r>
              <w:rPr>
                <w:color w:val="auto"/>
                <w:spacing w:val="-1"/>
                <w:position w:val="18"/>
                <w:highlight w:val="none"/>
              </w:rPr>
              <w:t>8</w:t>
            </w:r>
            <w:r>
              <w:rPr>
                <w:color w:val="auto"/>
                <w:spacing w:val="-35"/>
                <w:position w:val="18"/>
                <w:highlight w:val="none"/>
              </w:rPr>
              <w:t xml:space="preserve"> </w:t>
            </w:r>
            <w:r>
              <w:rPr>
                <w:color w:val="auto"/>
                <w:spacing w:val="-1"/>
                <w:position w:val="18"/>
                <w:highlight w:val="none"/>
              </w:rPr>
              <w:t>条规定的情形外，除非已经产生中标候选人，在投标有效</w:t>
            </w:r>
          </w:p>
          <w:p w14:paraId="36100D76">
            <w:pPr>
              <w:pStyle w:val="29"/>
              <w:spacing w:line="213" w:lineRule="auto"/>
              <w:ind w:left="113"/>
              <w:rPr>
                <w:color w:val="auto"/>
                <w:highlight w:val="none"/>
              </w:rPr>
            </w:pPr>
            <w:r>
              <w:rPr>
                <w:color w:val="auto"/>
                <w:spacing w:val="-1"/>
                <w:highlight w:val="none"/>
              </w:rPr>
              <w:t>期内同意延长投标有效期的投标人少于三个的，招标人应当依法重新招标。</w:t>
            </w:r>
          </w:p>
        </w:tc>
      </w:tr>
      <w:tr w14:paraId="42B12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1717" w:type="dxa"/>
            <w:gridSpan w:val="2"/>
            <w:tcBorders>
              <w:left w:val="single" w:color="000000" w:sz="4" w:space="0"/>
            </w:tcBorders>
            <w:vAlign w:val="top"/>
          </w:tcPr>
          <w:p w14:paraId="18243C56">
            <w:pPr>
              <w:spacing w:line="273" w:lineRule="auto"/>
              <w:rPr>
                <w:rFonts w:ascii="Arial"/>
                <w:color w:val="auto"/>
                <w:sz w:val="21"/>
                <w:highlight w:val="none"/>
              </w:rPr>
            </w:pPr>
          </w:p>
          <w:p w14:paraId="40583F3D">
            <w:pPr>
              <w:spacing w:line="274" w:lineRule="auto"/>
              <w:rPr>
                <w:rFonts w:ascii="Arial"/>
                <w:color w:val="auto"/>
                <w:sz w:val="21"/>
                <w:highlight w:val="none"/>
              </w:rPr>
            </w:pPr>
          </w:p>
          <w:p w14:paraId="7D719E88">
            <w:pPr>
              <w:pStyle w:val="29"/>
              <w:spacing w:before="68" w:line="220" w:lineRule="auto"/>
              <w:ind w:left="209"/>
              <w:rPr>
                <w:color w:val="auto"/>
                <w:highlight w:val="none"/>
              </w:rPr>
            </w:pPr>
            <w:r>
              <w:rPr>
                <w:color w:val="auto"/>
                <w:spacing w:val="-6"/>
                <w:highlight w:val="none"/>
              </w:rPr>
              <w:t>10.</w:t>
            </w:r>
            <w:r>
              <w:rPr>
                <w:rFonts w:hint="eastAsia"/>
                <w:color w:val="auto"/>
                <w:spacing w:val="-6"/>
                <w:highlight w:val="none"/>
                <w:lang w:val="en-US" w:eastAsia="zh-CN"/>
              </w:rPr>
              <w:t>5</w:t>
            </w:r>
            <w:r>
              <w:rPr>
                <w:color w:val="auto"/>
                <w:spacing w:val="-13"/>
                <w:highlight w:val="none"/>
              </w:rPr>
              <w:t xml:space="preserve"> </w:t>
            </w:r>
            <w:r>
              <w:rPr>
                <w:color w:val="auto"/>
                <w:spacing w:val="-6"/>
                <w:highlight w:val="none"/>
              </w:rPr>
              <w:t>同义词语</w:t>
            </w:r>
          </w:p>
        </w:tc>
        <w:tc>
          <w:tcPr>
            <w:tcW w:w="7552" w:type="dxa"/>
            <w:gridSpan w:val="2"/>
            <w:vAlign w:val="top"/>
          </w:tcPr>
          <w:p w14:paraId="54AA3228">
            <w:pPr>
              <w:pStyle w:val="29"/>
              <w:spacing w:before="182" w:line="383" w:lineRule="auto"/>
              <w:ind w:left="112" w:right="67" w:firstLine="1"/>
              <w:jc w:val="both"/>
              <w:rPr>
                <w:color w:val="auto"/>
                <w:highlight w:val="none"/>
              </w:rPr>
            </w:pPr>
            <w:r>
              <w:rPr>
                <w:color w:val="auto"/>
                <w:highlight w:val="none"/>
              </w:rPr>
              <w:t>构成招标文件组成部分的“通用合同条款”、“专用合同条款”、“技术标准和</w:t>
            </w:r>
            <w:r>
              <w:rPr>
                <w:color w:val="auto"/>
                <w:spacing w:val="5"/>
                <w:highlight w:val="none"/>
              </w:rPr>
              <w:t xml:space="preserve"> </w:t>
            </w:r>
            <w:r>
              <w:rPr>
                <w:color w:val="auto"/>
                <w:highlight w:val="none"/>
              </w:rPr>
              <w:t>要求”等章节中出现的措辞“发包人”和“承包人”，在招标投标阶段应当分别</w:t>
            </w:r>
          </w:p>
          <w:p w14:paraId="6E7747B4">
            <w:pPr>
              <w:pStyle w:val="29"/>
              <w:spacing w:line="219" w:lineRule="auto"/>
              <w:ind w:left="112"/>
              <w:rPr>
                <w:color w:val="auto"/>
                <w:highlight w:val="none"/>
              </w:rPr>
            </w:pPr>
            <w:r>
              <w:rPr>
                <w:color w:val="auto"/>
                <w:spacing w:val="-2"/>
                <w:highlight w:val="none"/>
              </w:rPr>
              <w:t>按“招标人”和“投标人”进行理解。</w:t>
            </w:r>
          </w:p>
        </w:tc>
      </w:tr>
      <w:tr w14:paraId="71D77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6" w:hRule="atLeast"/>
        </w:trPr>
        <w:tc>
          <w:tcPr>
            <w:tcW w:w="1717" w:type="dxa"/>
            <w:gridSpan w:val="2"/>
            <w:tcBorders>
              <w:left w:val="single" w:color="000000" w:sz="4" w:space="0"/>
            </w:tcBorders>
            <w:vAlign w:val="top"/>
          </w:tcPr>
          <w:p w14:paraId="0E462D9A">
            <w:pPr>
              <w:spacing w:line="247" w:lineRule="auto"/>
              <w:rPr>
                <w:rFonts w:ascii="Arial"/>
                <w:color w:val="auto"/>
                <w:sz w:val="21"/>
                <w:highlight w:val="none"/>
              </w:rPr>
            </w:pPr>
          </w:p>
          <w:p w14:paraId="4E8BC7F3">
            <w:pPr>
              <w:spacing w:line="248" w:lineRule="auto"/>
              <w:rPr>
                <w:rFonts w:ascii="Arial"/>
                <w:color w:val="auto"/>
                <w:sz w:val="21"/>
                <w:highlight w:val="none"/>
              </w:rPr>
            </w:pPr>
          </w:p>
          <w:p w14:paraId="681C7A22">
            <w:pPr>
              <w:spacing w:line="248" w:lineRule="auto"/>
              <w:rPr>
                <w:rFonts w:ascii="Arial"/>
                <w:color w:val="auto"/>
                <w:sz w:val="21"/>
                <w:highlight w:val="none"/>
              </w:rPr>
            </w:pPr>
          </w:p>
          <w:p w14:paraId="7B7B5D39">
            <w:pPr>
              <w:spacing w:line="248" w:lineRule="auto"/>
              <w:rPr>
                <w:rFonts w:ascii="Arial"/>
                <w:color w:val="auto"/>
                <w:sz w:val="21"/>
                <w:highlight w:val="none"/>
              </w:rPr>
            </w:pPr>
          </w:p>
          <w:p w14:paraId="438F7589">
            <w:pPr>
              <w:spacing w:line="248" w:lineRule="auto"/>
              <w:rPr>
                <w:rFonts w:ascii="Arial"/>
                <w:color w:val="auto"/>
                <w:sz w:val="21"/>
                <w:highlight w:val="none"/>
              </w:rPr>
            </w:pPr>
          </w:p>
          <w:p w14:paraId="74A1284B">
            <w:pPr>
              <w:spacing w:line="248" w:lineRule="auto"/>
              <w:rPr>
                <w:rFonts w:ascii="Arial"/>
                <w:color w:val="auto"/>
                <w:sz w:val="21"/>
                <w:highlight w:val="none"/>
              </w:rPr>
            </w:pPr>
          </w:p>
          <w:p w14:paraId="7831168B">
            <w:pPr>
              <w:pStyle w:val="29"/>
              <w:spacing w:before="68" w:line="220" w:lineRule="auto"/>
              <w:ind w:left="314"/>
              <w:rPr>
                <w:color w:val="auto"/>
                <w:highlight w:val="none"/>
              </w:rPr>
            </w:pPr>
            <w:r>
              <w:rPr>
                <w:color w:val="auto"/>
                <w:spacing w:val="-4"/>
                <w:highlight w:val="none"/>
              </w:rPr>
              <w:t>10.</w:t>
            </w:r>
            <w:r>
              <w:rPr>
                <w:rFonts w:hint="eastAsia"/>
                <w:color w:val="auto"/>
                <w:spacing w:val="-4"/>
                <w:highlight w:val="none"/>
                <w:lang w:val="en-US" w:eastAsia="zh-CN"/>
              </w:rPr>
              <w:t>6</w:t>
            </w:r>
            <w:r>
              <w:rPr>
                <w:color w:val="auto"/>
                <w:spacing w:val="-38"/>
                <w:highlight w:val="none"/>
              </w:rPr>
              <w:t xml:space="preserve"> </w:t>
            </w:r>
            <w:r>
              <w:rPr>
                <w:color w:val="auto"/>
                <w:spacing w:val="-4"/>
                <w:highlight w:val="none"/>
              </w:rPr>
              <w:t>解释权</w:t>
            </w:r>
          </w:p>
        </w:tc>
        <w:tc>
          <w:tcPr>
            <w:tcW w:w="7552" w:type="dxa"/>
            <w:gridSpan w:val="2"/>
            <w:vAlign w:val="top"/>
          </w:tcPr>
          <w:p w14:paraId="61521601">
            <w:pPr>
              <w:pStyle w:val="29"/>
              <w:spacing w:before="245" w:line="387" w:lineRule="auto"/>
              <w:ind w:left="112" w:right="67" w:firstLine="1"/>
              <w:rPr>
                <w:color w:val="auto"/>
                <w:highlight w:val="none"/>
              </w:rPr>
            </w:pPr>
            <w:r>
              <w:rPr>
                <w:color w:val="auto"/>
                <w:spacing w:val="-1"/>
                <w:highlight w:val="none"/>
              </w:rPr>
              <w:t>构成本招标文件的各个组成文件应互为解释，互为说明；如有不</w:t>
            </w:r>
            <w:r>
              <w:rPr>
                <w:color w:val="auto"/>
                <w:spacing w:val="-2"/>
                <w:highlight w:val="none"/>
              </w:rPr>
              <w:t>明确或不一致，</w:t>
            </w:r>
            <w:r>
              <w:rPr>
                <w:color w:val="auto"/>
                <w:highlight w:val="none"/>
              </w:rPr>
              <w:t xml:space="preserve"> 构成合同文件组成内容的，以合同文件约定内容为准，且以专用合同条款约定的</w:t>
            </w:r>
            <w:r>
              <w:rPr>
                <w:color w:val="auto"/>
                <w:spacing w:val="6"/>
                <w:highlight w:val="none"/>
              </w:rPr>
              <w:t xml:space="preserve"> </w:t>
            </w:r>
            <w:r>
              <w:rPr>
                <w:color w:val="auto"/>
                <w:highlight w:val="none"/>
              </w:rPr>
              <w:t>合同文件优先顺序解释；除招标文件中有特别规定外，仅适用于招标投标阶段的 规定，按招标公告（投标邀请书）、投标人须知、评标办法、投标文件格式的先</w:t>
            </w:r>
            <w:r>
              <w:rPr>
                <w:color w:val="auto"/>
                <w:spacing w:val="6"/>
                <w:highlight w:val="none"/>
              </w:rPr>
              <w:t xml:space="preserve"> </w:t>
            </w:r>
            <w:r>
              <w:rPr>
                <w:color w:val="auto"/>
                <w:highlight w:val="none"/>
              </w:rPr>
              <w:t>后顺序解释；同一组成文件中就同一事项的规定或约定不一致的，以编排顺序在</w:t>
            </w:r>
            <w:r>
              <w:rPr>
                <w:color w:val="auto"/>
                <w:spacing w:val="6"/>
                <w:highlight w:val="none"/>
              </w:rPr>
              <w:t xml:space="preserve"> </w:t>
            </w:r>
            <w:r>
              <w:rPr>
                <w:color w:val="auto"/>
                <w:highlight w:val="none"/>
              </w:rPr>
              <w:t>后者为准；同一组成文件不同版本之间有不一致的，以形成时间在后者为准。按</w:t>
            </w:r>
            <w:r>
              <w:rPr>
                <w:color w:val="auto"/>
                <w:spacing w:val="-1"/>
                <w:highlight w:val="none"/>
              </w:rPr>
              <w:t>本款前述规定仍不能形成结论的，由招标人负</w:t>
            </w:r>
            <w:r>
              <w:rPr>
                <w:color w:val="auto"/>
                <w:spacing w:val="-2"/>
                <w:highlight w:val="none"/>
              </w:rPr>
              <w:t>责解释。</w:t>
            </w:r>
          </w:p>
        </w:tc>
      </w:tr>
      <w:tr w14:paraId="765C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1717" w:type="dxa"/>
            <w:gridSpan w:val="2"/>
            <w:tcBorders>
              <w:left w:val="single" w:color="000000" w:sz="4" w:space="0"/>
            </w:tcBorders>
            <w:vAlign w:val="top"/>
          </w:tcPr>
          <w:p w14:paraId="07A474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napToGrid w:val="0"/>
                <w:color w:val="auto"/>
                <w:kern w:val="0"/>
                <w:sz w:val="21"/>
                <w:szCs w:val="21"/>
                <w:highlight w:val="none"/>
                <w:lang w:val="en-US" w:eastAsia="en-US" w:bidi="ar-SA"/>
              </w:rPr>
            </w:pPr>
          </w:p>
          <w:p w14:paraId="6CC2103A">
            <w:pPr>
              <w:pStyle w:val="29"/>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10.</w:t>
            </w:r>
            <w:r>
              <w:rPr>
                <w:rFonts w:hint="eastAsia" w:cs="宋体"/>
                <w:snapToGrid w:val="0"/>
                <w:color w:val="auto"/>
                <w:kern w:val="0"/>
                <w:sz w:val="21"/>
                <w:szCs w:val="21"/>
                <w:highlight w:val="none"/>
                <w:lang w:val="en-US" w:eastAsia="zh-CN" w:bidi="ar-SA"/>
              </w:rPr>
              <w:t>7</w:t>
            </w:r>
            <w:r>
              <w:rPr>
                <w:rFonts w:ascii="宋体" w:hAnsi="宋体" w:eastAsia="宋体" w:cs="宋体"/>
                <w:snapToGrid w:val="0"/>
                <w:color w:val="auto"/>
                <w:kern w:val="0"/>
                <w:sz w:val="21"/>
                <w:szCs w:val="21"/>
                <w:highlight w:val="none"/>
                <w:lang w:val="en-US" w:eastAsia="en-US" w:bidi="ar-SA"/>
              </w:rPr>
              <w:t xml:space="preserve"> 付款方式</w:t>
            </w:r>
          </w:p>
        </w:tc>
        <w:tc>
          <w:tcPr>
            <w:tcW w:w="7552" w:type="dxa"/>
            <w:gridSpan w:val="2"/>
            <w:vAlign w:val="top"/>
          </w:tcPr>
          <w:p w14:paraId="2DEE159B">
            <w:pPr>
              <w:pStyle w:val="2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二标段：工程竣工验收合格后，支付至合同价的 98%；剩余价款待质保期满无质量问题一次性无息付清。</w:t>
            </w:r>
          </w:p>
        </w:tc>
      </w:tr>
      <w:tr w14:paraId="7B11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717" w:type="dxa"/>
            <w:gridSpan w:val="2"/>
            <w:tcBorders>
              <w:left w:val="single" w:color="000000" w:sz="4" w:space="0"/>
            </w:tcBorders>
            <w:vAlign w:val="top"/>
          </w:tcPr>
          <w:p w14:paraId="64218CE3">
            <w:pPr>
              <w:spacing w:line="314" w:lineRule="auto"/>
              <w:rPr>
                <w:rFonts w:ascii="宋体" w:hAnsi="宋体" w:eastAsia="宋体" w:cs="宋体"/>
                <w:snapToGrid w:val="0"/>
                <w:color w:val="auto"/>
                <w:kern w:val="0"/>
                <w:sz w:val="21"/>
                <w:szCs w:val="21"/>
                <w:highlight w:val="none"/>
                <w:lang w:val="en-US" w:eastAsia="en-US" w:bidi="ar-SA"/>
              </w:rPr>
            </w:pPr>
          </w:p>
          <w:p w14:paraId="5D9CF195">
            <w:pPr>
              <w:pStyle w:val="29"/>
              <w:spacing w:before="68" w:line="220" w:lineRule="auto"/>
              <w:ind w:left="209"/>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10.</w:t>
            </w:r>
            <w:r>
              <w:rPr>
                <w:rFonts w:hint="eastAsia" w:cs="宋体"/>
                <w:snapToGrid w:val="0"/>
                <w:color w:val="auto"/>
                <w:kern w:val="0"/>
                <w:sz w:val="21"/>
                <w:szCs w:val="21"/>
                <w:highlight w:val="none"/>
                <w:lang w:val="en-US" w:eastAsia="zh-CN" w:bidi="ar-SA"/>
              </w:rPr>
              <w:t>8</w:t>
            </w:r>
            <w:r>
              <w:rPr>
                <w:rFonts w:ascii="宋体" w:hAnsi="宋体" w:eastAsia="宋体" w:cs="宋体"/>
                <w:snapToGrid w:val="0"/>
                <w:color w:val="auto"/>
                <w:kern w:val="0"/>
                <w:sz w:val="21"/>
                <w:szCs w:val="21"/>
                <w:highlight w:val="none"/>
                <w:lang w:val="en-US" w:eastAsia="en-US" w:bidi="ar-SA"/>
              </w:rPr>
              <w:t xml:space="preserve"> 相关费用</w:t>
            </w:r>
          </w:p>
        </w:tc>
        <w:tc>
          <w:tcPr>
            <w:tcW w:w="7552" w:type="dxa"/>
            <w:gridSpan w:val="2"/>
            <w:vAlign w:val="top"/>
          </w:tcPr>
          <w:p w14:paraId="4B3B3768">
            <w:pPr>
              <w:pStyle w:val="29"/>
              <w:spacing w:before="158" w:line="450" w:lineRule="exact"/>
              <w:ind w:left="112"/>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w:t>
            </w:r>
            <w:r>
              <w:rPr>
                <w:rFonts w:hint="eastAsia" w:cs="宋体"/>
                <w:snapToGrid w:val="0"/>
                <w:color w:val="auto"/>
                <w:kern w:val="0"/>
                <w:sz w:val="21"/>
                <w:szCs w:val="21"/>
                <w:highlight w:val="none"/>
                <w:lang w:val="en-US" w:eastAsia="zh-CN" w:bidi="ar-SA"/>
              </w:rPr>
              <w:t>标段</w:t>
            </w:r>
            <w:r>
              <w:rPr>
                <w:rFonts w:hint="eastAsia" w:ascii="宋体" w:hAnsi="宋体" w:eastAsia="宋体" w:cs="宋体"/>
                <w:snapToGrid w:val="0"/>
                <w:color w:val="auto"/>
                <w:kern w:val="0"/>
                <w:sz w:val="21"/>
                <w:szCs w:val="21"/>
                <w:highlight w:val="none"/>
                <w:lang w:val="en-US" w:eastAsia="en-US" w:bidi="ar-SA"/>
              </w:rPr>
              <w:t>代理服务费</w:t>
            </w:r>
            <w:r>
              <w:rPr>
                <w:rFonts w:hint="eastAsia" w:cs="宋体"/>
                <w:snapToGrid w:val="0"/>
                <w:color w:val="auto"/>
                <w:kern w:val="0"/>
                <w:sz w:val="21"/>
                <w:szCs w:val="21"/>
                <w:highlight w:val="none"/>
                <w:lang w:val="en-US" w:eastAsia="zh-CN" w:bidi="ar-SA"/>
              </w:rPr>
              <w:t>：1320</w:t>
            </w:r>
            <w:r>
              <w:rPr>
                <w:rFonts w:hint="eastAsia" w:ascii="宋体" w:hAnsi="宋体" w:eastAsia="宋体" w:cs="宋体"/>
                <w:snapToGrid w:val="0"/>
                <w:color w:val="auto"/>
                <w:kern w:val="0"/>
                <w:sz w:val="21"/>
                <w:szCs w:val="21"/>
                <w:highlight w:val="none"/>
                <w:lang w:val="en-US" w:eastAsia="en-US" w:bidi="ar-SA"/>
              </w:rPr>
              <w:t>元；，中标人在领取通知书时一次性支付。（此费用由投标人综合考虑到投标报价中，不再单独列项）</w:t>
            </w:r>
          </w:p>
          <w:p w14:paraId="358FA043">
            <w:pPr>
              <w:pStyle w:val="29"/>
              <w:spacing w:before="158" w:line="450" w:lineRule="exact"/>
              <w:ind w:left="112"/>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在领取中标通知书前向招标代理机构一次性缴纳招标代理服务费。无论投标结果如何，投标人自行承担所有与参加本次投标有关的全部费用。</w:t>
            </w:r>
          </w:p>
        </w:tc>
      </w:tr>
      <w:tr w14:paraId="7A35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717" w:type="dxa"/>
            <w:gridSpan w:val="2"/>
            <w:tcBorders>
              <w:left w:val="single" w:color="000000" w:sz="4" w:space="0"/>
            </w:tcBorders>
            <w:vAlign w:val="center"/>
          </w:tcPr>
          <w:p w14:paraId="6D37DC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auto"/>
                <w:spacing w:val="-4"/>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10.9中小企业政策</w:t>
            </w:r>
          </w:p>
        </w:tc>
        <w:tc>
          <w:tcPr>
            <w:tcW w:w="7552" w:type="dxa"/>
            <w:gridSpan w:val="2"/>
            <w:vAlign w:val="center"/>
          </w:tcPr>
          <w:p w14:paraId="4AA7056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依据《政府采购促进中小企业发展管理办法》之规定，本项目专门面向中小企业采购；</w:t>
            </w:r>
          </w:p>
          <w:p w14:paraId="750487B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1.1 大型企业不得参与投标响应，参与投标的供应商应提供《中小企业声明函》；</w:t>
            </w:r>
          </w:p>
          <w:p w14:paraId="516D9D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1.2 不执行价格扣除或者价格分加分等价格优惠；</w:t>
            </w:r>
          </w:p>
          <w:p w14:paraId="61189D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1.3 中标人获得政府采购合同的，小微企业不得将合同分包给大中型企业，中型企业不得将合同分包给大型企业；</w:t>
            </w:r>
          </w:p>
          <w:p w14:paraId="19AE63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1.4根据《财政部、民政部、中国残疾人联合会关于促进残疾人就业政府采购政策的通知》(财库[2017)141号件规定,残疾人福利性单位视同小型、微型企业)；</w:t>
            </w:r>
          </w:p>
          <w:p w14:paraId="0A3F435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1.5根据《关于政府采购支持监狱企业发展有关问题的通知》(财库[2014]68号)文件规定,监狱企业视同小型、微型企业(须提供由省级以上监狱管理局、戒毒管理局《含新疆生产建设兵团)出具的属于监狱企业的证明文件)。</w:t>
            </w:r>
          </w:p>
          <w:p w14:paraId="0D964B4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4"/>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根据《关于印发中小企业划型标准规定的通知》本项目所属行业为“其他未列明行业”。</w:t>
            </w:r>
          </w:p>
        </w:tc>
      </w:tr>
      <w:tr w14:paraId="3192F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6" w:hRule="atLeast"/>
        </w:trPr>
        <w:tc>
          <w:tcPr>
            <w:tcW w:w="1717" w:type="dxa"/>
            <w:gridSpan w:val="2"/>
            <w:tcBorders>
              <w:left w:val="single" w:color="000000" w:sz="4" w:space="0"/>
            </w:tcBorders>
            <w:vAlign w:val="top"/>
          </w:tcPr>
          <w:p w14:paraId="42D770CF">
            <w:pPr>
              <w:spacing w:line="325" w:lineRule="auto"/>
              <w:rPr>
                <w:rFonts w:ascii="Arial"/>
                <w:color w:val="auto"/>
                <w:sz w:val="21"/>
                <w:highlight w:val="none"/>
              </w:rPr>
            </w:pPr>
          </w:p>
          <w:p w14:paraId="18A8CF00">
            <w:pPr>
              <w:pStyle w:val="29"/>
              <w:spacing w:before="68" w:line="219" w:lineRule="auto"/>
              <w:ind w:left="209"/>
              <w:rPr>
                <w:color w:val="auto"/>
                <w:highlight w:val="none"/>
              </w:rPr>
            </w:pPr>
            <w:r>
              <w:rPr>
                <w:color w:val="auto"/>
                <w:spacing w:val="-4"/>
                <w:highlight w:val="none"/>
              </w:rPr>
              <w:t>10</w:t>
            </w:r>
            <w:r>
              <w:rPr>
                <w:rFonts w:hint="eastAsia"/>
                <w:color w:val="auto"/>
                <w:spacing w:val="-4"/>
                <w:highlight w:val="none"/>
                <w:lang w:val="en-US" w:eastAsia="zh-CN"/>
              </w:rPr>
              <w:t>.10</w:t>
            </w:r>
            <w:r>
              <w:rPr>
                <w:color w:val="auto"/>
                <w:spacing w:val="-4"/>
                <w:highlight w:val="none"/>
              </w:rPr>
              <w:t>有关政府</w:t>
            </w:r>
          </w:p>
          <w:p w14:paraId="50D0C6A8">
            <w:pPr>
              <w:pStyle w:val="29"/>
              <w:spacing w:before="186" w:line="219" w:lineRule="auto"/>
              <w:ind w:left="117"/>
              <w:rPr>
                <w:color w:val="auto"/>
                <w:highlight w:val="none"/>
              </w:rPr>
            </w:pPr>
            <w:r>
              <w:rPr>
                <w:color w:val="auto"/>
                <w:spacing w:val="-1"/>
                <w:highlight w:val="none"/>
              </w:rPr>
              <w:t>采购合同融资政</w:t>
            </w:r>
          </w:p>
          <w:p w14:paraId="518C9945">
            <w:pPr>
              <w:pStyle w:val="29"/>
              <w:spacing w:before="201" w:line="218" w:lineRule="auto"/>
              <w:ind w:left="330"/>
              <w:rPr>
                <w:color w:val="auto"/>
                <w:highlight w:val="none"/>
              </w:rPr>
            </w:pPr>
            <w:r>
              <w:rPr>
                <w:color w:val="auto"/>
                <w:spacing w:val="-2"/>
                <w:highlight w:val="none"/>
              </w:rPr>
              <w:t>策告知内容</w:t>
            </w:r>
          </w:p>
        </w:tc>
        <w:tc>
          <w:tcPr>
            <w:tcW w:w="7552" w:type="dxa"/>
            <w:gridSpan w:val="2"/>
            <w:vAlign w:val="top"/>
          </w:tcPr>
          <w:p w14:paraId="34831088">
            <w:pPr>
              <w:pStyle w:val="29"/>
              <w:spacing w:before="170" w:line="387" w:lineRule="auto"/>
              <w:ind w:left="110" w:right="71" w:firstLine="210"/>
              <w:rPr>
                <w:color w:val="auto"/>
                <w:highlight w:val="none"/>
              </w:rPr>
            </w:pPr>
            <w:r>
              <w:rPr>
                <w:color w:val="auto"/>
                <w:highlight w:val="none"/>
              </w:rPr>
              <w:t xml:space="preserve">根据新乡市财政局《关于进一步推进政府采购合同融资工作实施方案的通知》 </w:t>
            </w:r>
            <w:r>
              <w:rPr>
                <w:color w:val="auto"/>
                <w:spacing w:val="-3"/>
                <w:highlight w:val="none"/>
              </w:rPr>
              <w:t>（新财购【2020】10</w:t>
            </w:r>
            <w:r>
              <w:rPr>
                <w:color w:val="auto"/>
                <w:spacing w:val="-31"/>
                <w:highlight w:val="none"/>
              </w:rPr>
              <w:t xml:space="preserve"> </w:t>
            </w:r>
            <w:r>
              <w:rPr>
                <w:color w:val="auto"/>
                <w:spacing w:val="-3"/>
                <w:highlight w:val="none"/>
              </w:rPr>
              <w:t>号）</w:t>
            </w:r>
            <w:r>
              <w:rPr>
                <w:color w:val="auto"/>
                <w:spacing w:val="-57"/>
                <w:highlight w:val="none"/>
              </w:rPr>
              <w:t xml:space="preserve"> </w:t>
            </w:r>
            <w:r>
              <w:rPr>
                <w:color w:val="auto"/>
                <w:spacing w:val="-3"/>
                <w:highlight w:val="none"/>
              </w:rPr>
              <w:t>要求，供应商在中标成交后可以持政府采购合</w:t>
            </w:r>
            <w:r>
              <w:rPr>
                <w:color w:val="auto"/>
                <w:spacing w:val="-4"/>
                <w:highlight w:val="none"/>
              </w:rPr>
              <w:t>同向融资</w:t>
            </w:r>
            <w:r>
              <w:rPr>
                <w:color w:val="auto"/>
                <w:highlight w:val="none"/>
              </w:rPr>
              <w:t xml:space="preserve"> 机构申请贷款。融资渠道和方式可以通过河南省</w:t>
            </w:r>
            <w:r>
              <w:rPr>
                <w:color w:val="auto"/>
                <w:spacing w:val="-1"/>
                <w:highlight w:val="none"/>
              </w:rPr>
              <w:t>政府采购网或新乡市政府采购网</w:t>
            </w:r>
          </w:p>
          <w:p w14:paraId="14CF1B53">
            <w:pPr>
              <w:pStyle w:val="29"/>
              <w:spacing w:before="1" w:line="214" w:lineRule="auto"/>
              <w:ind w:left="96"/>
              <w:rPr>
                <w:color w:val="auto"/>
                <w:highlight w:val="none"/>
              </w:rPr>
            </w:pPr>
            <w:r>
              <w:rPr>
                <w:color w:val="auto"/>
                <w:spacing w:val="-1"/>
                <w:highlight w:val="none"/>
              </w:rPr>
              <w:t>“河南省政府采购合同融资平台”获取。</w:t>
            </w:r>
          </w:p>
        </w:tc>
      </w:tr>
    </w:tbl>
    <w:p w14:paraId="4109D94E">
      <w:pPr>
        <w:rPr>
          <w:rFonts w:ascii="Arial"/>
          <w:color w:val="auto"/>
          <w:sz w:val="21"/>
          <w:highlight w:val="none"/>
        </w:rPr>
      </w:pPr>
    </w:p>
    <w:p w14:paraId="1F509A48">
      <w:pPr>
        <w:rPr>
          <w:rFonts w:ascii="Arial" w:hAnsi="Arial" w:eastAsia="Arial" w:cs="Arial"/>
          <w:color w:val="auto"/>
          <w:sz w:val="21"/>
          <w:szCs w:val="21"/>
          <w:highlight w:val="none"/>
        </w:rPr>
        <w:sectPr>
          <w:footerReference r:id="rId6" w:type="default"/>
          <w:pgSz w:w="11850" w:h="16785"/>
          <w:pgMar w:top="1411" w:right="1291" w:bottom="1020" w:left="1276" w:header="0" w:footer="862" w:gutter="0"/>
          <w:pgNumType w:fmt="decimal"/>
          <w:cols w:space="720" w:num="1"/>
        </w:sectPr>
      </w:pPr>
    </w:p>
    <w:p w14:paraId="3B2419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textAlignment w:val="baseline"/>
        <w:outlineLvl w:val="1"/>
        <w:rPr>
          <w:color w:val="auto"/>
          <w:sz w:val="21"/>
          <w:szCs w:val="21"/>
          <w:highlight w:val="none"/>
        </w:rPr>
      </w:pPr>
      <w:bookmarkStart w:id="10" w:name="_Toc12381"/>
      <w:r>
        <w:rPr>
          <w:color w:val="auto"/>
          <w:spacing w:val="-8"/>
          <w:sz w:val="21"/>
          <w:szCs w:val="21"/>
          <w:highlight w:val="none"/>
          <w14:textOutline w14:w="3810" w14:cap="flat" w14:cmpd="sng">
            <w14:solidFill>
              <w14:srgbClr w14:val="000000"/>
            </w14:solidFill>
            <w14:prstDash w14:val="solid"/>
            <w14:miter w14:val="0"/>
          </w14:textOutline>
        </w:rPr>
        <w:t>1.</w:t>
      </w:r>
      <w:r>
        <w:rPr>
          <w:color w:val="auto"/>
          <w:spacing w:val="14"/>
          <w:sz w:val="21"/>
          <w:szCs w:val="21"/>
          <w:highlight w:val="none"/>
        </w:rPr>
        <w:t xml:space="preserve"> </w:t>
      </w:r>
      <w:r>
        <w:rPr>
          <w:color w:val="auto"/>
          <w:spacing w:val="-8"/>
          <w:sz w:val="21"/>
          <w:szCs w:val="21"/>
          <w:highlight w:val="none"/>
          <w14:textOutline w14:w="3810" w14:cap="flat" w14:cmpd="sng">
            <w14:solidFill>
              <w14:srgbClr w14:val="000000"/>
            </w14:solidFill>
            <w14:prstDash w14:val="solid"/>
            <w14:miter w14:val="0"/>
          </w14:textOutline>
        </w:rPr>
        <w:t>总则</w:t>
      </w:r>
      <w:bookmarkEnd w:id="10"/>
    </w:p>
    <w:p w14:paraId="24688F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2"/>
        <w:rPr>
          <w:color w:val="auto"/>
          <w:sz w:val="21"/>
          <w:szCs w:val="21"/>
          <w:highlight w:val="none"/>
        </w:rPr>
      </w:pPr>
      <w:bookmarkStart w:id="11" w:name="_Toc18298"/>
      <w:r>
        <w:rPr>
          <w:color w:val="auto"/>
          <w:spacing w:val="-5"/>
          <w:sz w:val="21"/>
          <w:szCs w:val="21"/>
          <w:highlight w:val="none"/>
          <w14:textOutline w14:w="3810" w14:cap="flat" w14:cmpd="sng">
            <w14:solidFill>
              <w14:srgbClr w14:val="000000"/>
            </w14:solidFill>
            <w14:prstDash w14:val="solid"/>
            <w14:miter w14:val="0"/>
          </w14:textOutline>
        </w:rPr>
        <w:t>1.1</w:t>
      </w:r>
      <w:r>
        <w:rPr>
          <w:color w:val="auto"/>
          <w:spacing w:val="14"/>
          <w:sz w:val="21"/>
          <w:szCs w:val="21"/>
          <w:highlight w:val="none"/>
        </w:rPr>
        <w:t xml:space="preserve"> </w:t>
      </w:r>
      <w:r>
        <w:rPr>
          <w:color w:val="auto"/>
          <w:spacing w:val="-5"/>
          <w:sz w:val="21"/>
          <w:szCs w:val="21"/>
          <w:highlight w:val="none"/>
          <w14:textOutline w14:w="3810" w14:cap="flat" w14:cmpd="sng">
            <w14:solidFill>
              <w14:srgbClr w14:val="000000"/>
            </w14:solidFill>
            <w14:prstDash w14:val="solid"/>
            <w14:miter w14:val="0"/>
          </w14:textOutline>
        </w:rPr>
        <w:t>项目概况</w:t>
      </w:r>
      <w:bookmarkEnd w:id="11"/>
    </w:p>
    <w:p w14:paraId="5F374B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1.1.1根据《中华人民共和国招标投标法》、《中华人民共和国招标投标法实施条例》等有关法律、法规和规章的规定，本招标项目已具备招标条件，现对本工程监理进行招标。</w:t>
      </w:r>
    </w:p>
    <w:p w14:paraId="08404D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1.1.2 本招标项目招标人：见投标人须知前附表</w:t>
      </w:r>
    </w:p>
    <w:p w14:paraId="0D3E60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1.1.3 本标段招标代理机构：见投标人须知前附表</w:t>
      </w:r>
    </w:p>
    <w:p w14:paraId="2A4FCF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1.1.4 本招标项目名称：见投标人须知前附表</w:t>
      </w:r>
    </w:p>
    <w:p w14:paraId="16AFE8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1.1.5 本标段建设地点：见投标人须知前附表</w:t>
      </w:r>
    </w:p>
    <w:p w14:paraId="496CB8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2"/>
        <w:rPr>
          <w:color w:val="auto"/>
          <w:sz w:val="21"/>
          <w:szCs w:val="21"/>
          <w:highlight w:val="none"/>
        </w:rPr>
      </w:pPr>
      <w:bookmarkStart w:id="12" w:name="_Toc30406"/>
      <w:r>
        <w:rPr>
          <w:color w:val="auto"/>
          <w:spacing w:val="-1"/>
          <w:sz w:val="21"/>
          <w:szCs w:val="21"/>
          <w:highlight w:val="none"/>
          <w14:textOutline w14:w="3810" w14:cap="flat" w14:cmpd="sng">
            <w14:solidFill>
              <w14:srgbClr w14:val="000000"/>
            </w14:solidFill>
            <w14:prstDash w14:val="solid"/>
            <w14:miter w14:val="0"/>
          </w14:textOutline>
        </w:rPr>
        <w:t>1.2</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招标项目的资金来源和落实情况</w:t>
      </w:r>
      <w:bookmarkEnd w:id="12"/>
    </w:p>
    <w:p w14:paraId="47E211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1.2.1 本招标项目的资金来源：见投标人须知前附表</w:t>
      </w:r>
    </w:p>
    <w:p w14:paraId="0E7D28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1.2.2 本招标项目的出资比例：见投标人须知前附表</w:t>
      </w:r>
    </w:p>
    <w:p w14:paraId="329C10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1.2.3 本招标项目的资金落实情况：见投标人须知前附表</w:t>
      </w:r>
    </w:p>
    <w:p w14:paraId="01C709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2"/>
        <w:rPr>
          <w:color w:val="auto"/>
          <w:sz w:val="21"/>
          <w:szCs w:val="21"/>
          <w:highlight w:val="none"/>
        </w:rPr>
      </w:pPr>
      <w:bookmarkStart w:id="13" w:name="_Toc5546"/>
      <w:r>
        <w:rPr>
          <w:color w:val="auto"/>
          <w:spacing w:val="-1"/>
          <w:sz w:val="21"/>
          <w:szCs w:val="21"/>
          <w:highlight w:val="none"/>
          <w14:textOutline w14:w="3810" w14:cap="flat" w14:cmpd="sng">
            <w14:solidFill>
              <w14:srgbClr w14:val="000000"/>
            </w14:solidFill>
            <w14:prstDash w14:val="solid"/>
            <w14:miter w14:val="0"/>
          </w14:textOutline>
        </w:rPr>
        <w:t>1.3</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招标范围、监理服务期限和质量标准</w:t>
      </w:r>
      <w:bookmarkEnd w:id="13"/>
    </w:p>
    <w:p w14:paraId="03BA89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1.3.1 招标范围：见投标人须知前附表。</w:t>
      </w:r>
    </w:p>
    <w:p w14:paraId="66E2C9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color w:val="auto"/>
          <w:sz w:val="21"/>
          <w:szCs w:val="21"/>
          <w:highlight w:val="none"/>
        </w:rPr>
      </w:pPr>
      <w:r>
        <w:rPr>
          <w:color w:val="auto"/>
          <w:spacing w:val="-2"/>
          <w:sz w:val="21"/>
          <w:szCs w:val="21"/>
          <w:highlight w:val="none"/>
        </w:rPr>
        <w:t>1.3.2 监理服务期限：见投标人须知前附表。</w:t>
      </w:r>
    </w:p>
    <w:p w14:paraId="7A6016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1.3.3 质量标准：见投标人须知前附表。</w:t>
      </w:r>
    </w:p>
    <w:p w14:paraId="164ED9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2"/>
        <w:rPr>
          <w:color w:val="auto"/>
          <w:sz w:val="21"/>
          <w:szCs w:val="21"/>
          <w:highlight w:val="none"/>
        </w:rPr>
      </w:pPr>
      <w:bookmarkStart w:id="14" w:name="_Toc21144"/>
      <w:r>
        <w:rPr>
          <w:color w:val="auto"/>
          <w:spacing w:val="-1"/>
          <w:sz w:val="21"/>
          <w:szCs w:val="21"/>
          <w:highlight w:val="none"/>
          <w14:textOutline w14:w="3810" w14:cap="flat" w14:cmpd="sng">
            <w14:solidFill>
              <w14:srgbClr w14:val="000000"/>
            </w14:solidFill>
            <w14:prstDash w14:val="solid"/>
            <w14:miter w14:val="0"/>
          </w14:textOutline>
        </w:rPr>
        <w:t>1.4</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投标人资格要求</w:t>
      </w:r>
      <w:bookmarkEnd w:id="14"/>
    </w:p>
    <w:p w14:paraId="7E611D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1.4.1 投标人应具备承担本招标项目资质条件、能力和信誉：</w:t>
      </w:r>
    </w:p>
    <w:p w14:paraId="36045F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（1）资质要求：见投标人须知前附表；</w:t>
      </w:r>
    </w:p>
    <w:p w14:paraId="44E830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（2）项目总监资格要求：具体要求见投标人须知前附表；</w:t>
      </w:r>
    </w:p>
    <w:p w14:paraId="6C28A6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（3）财务要求：见投标人须知前附表；</w:t>
      </w:r>
    </w:p>
    <w:p w14:paraId="514AD5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（4）信誉要求：见投标人须知前附表；</w:t>
      </w:r>
    </w:p>
    <w:p w14:paraId="1DFD8A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需要提交的相关证明材料见本章第3.5款的规定。</w:t>
      </w:r>
    </w:p>
    <w:p w14:paraId="04AD8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1.4.2 监理招标不接受联合体投标。</w:t>
      </w:r>
    </w:p>
    <w:p w14:paraId="3BD917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1.4.3 投标人不得存在下列情形之一：</w:t>
      </w:r>
    </w:p>
    <w:p w14:paraId="0A8CC9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 xml:space="preserve">（1）为招标人不具有独立法人资格的附属机构（单位）； </w:t>
      </w:r>
    </w:p>
    <w:p w14:paraId="355883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（2）与招标人存在利害关系且可能影响招标公正性；</w:t>
      </w:r>
    </w:p>
    <w:p w14:paraId="1379A2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 xml:space="preserve">（3）与本招标项目的其他投标人为同一个单位负责人； </w:t>
      </w:r>
    </w:p>
    <w:p w14:paraId="713C23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 xml:space="preserve">（4）与本招标项目的其他投标人存在控股、管理关系； </w:t>
      </w:r>
    </w:p>
    <w:p w14:paraId="665F4B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（5）为本招标项目的代建人；</w:t>
      </w:r>
    </w:p>
    <w:p w14:paraId="03A887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（6）为本招标项目的招标代理机构；</w:t>
      </w:r>
    </w:p>
    <w:p w14:paraId="0C58B5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（7）与本招标项目的代建人或招标代理机构同为一个法定代表人；</w:t>
      </w:r>
    </w:p>
    <w:p w14:paraId="1118BF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（8）与本招标项目的代建人或招标代理机构存在控股或参股关系；</w:t>
      </w:r>
    </w:p>
    <w:p w14:paraId="0AB438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（9）与本招标项目的施工承包人以及建筑材料、建筑构配件和设备供应商有隶属关系或者其他利害关系；</w:t>
      </w:r>
    </w:p>
    <w:p w14:paraId="3072055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（10）被依法暂停或者取消投标资格；</w:t>
      </w:r>
    </w:p>
    <w:p w14:paraId="7B55A0E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（11）被责令停产停业、暂扣或者吊销许可证、暂扣或者吊销执照；</w:t>
      </w:r>
    </w:p>
    <w:p w14:paraId="4B09A5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（12）进入清算程序，或被宣告破产，或其他丧失履约能力的情形；</w:t>
      </w:r>
    </w:p>
    <w:p w14:paraId="1766BB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（13）在最近三年内发生重大监理质量问题（以相关行业主管部门的行政处罚决定或司法机关出具的有关法律文书为准）；</w:t>
      </w:r>
    </w:p>
    <w:p w14:paraId="68B756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（14）被工商行政管理机关在国家企业信用信息公示系统中列入严重违法失信企业名单；</w:t>
      </w:r>
    </w:p>
    <w:p w14:paraId="1AA565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（15）被最高人民法院在“信用中国”网站（www.creditchina.gov.cn）或各级信用信息共享平台中列入失信被执行人名单；</w:t>
      </w:r>
    </w:p>
    <w:p w14:paraId="720FCD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（16）在近三年内投标人或其法定代表人、拟委任的总监理工程师有行贿犯罪行为的（以书面承诺为准）；</w:t>
      </w:r>
    </w:p>
    <w:p w14:paraId="4886B9FD">
      <w:pPr>
        <w:pStyle w:val="5"/>
        <w:ind w:firstLine="416" w:firstLineChars="2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（17）在投标人违反法律、法规、规章或无正当理由放弃中标资格受到行业主管部门处罚且在处罚期内的情形；</w:t>
      </w:r>
    </w:p>
    <w:p w14:paraId="4193F784">
      <w:pPr>
        <w:pStyle w:val="5"/>
        <w:ind w:firstLine="416" w:firstLineChars="2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w:t>
      </w:r>
      <w:r>
        <w:rPr>
          <w:rFonts w:hint="eastAsia" w:ascii="宋体" w:hAnsi="宋体" w:eastAsia="宋体" w:cs="宋体"/>
          <w:snapToGrid w:val="0"/>
          <w:color w:val="auto"/>
          <w:spacing w:val="-1"/>
          <w:kern w:val="0"/>
          <w:sz w:val="21"/>
          <w:szCs w:val="21"/>
          <w:highlight w:val="none"/>
          <w:lang w:val="en-US" w:eastAsia="zh-CN" w:bidi="ar-SA"/>
        </w:rPr>
        <w:t>8</w:t>
      </w:r>
      <w:r>
        <w:rPr>
          <w:rFonts w:hint="eastAsia" w:ascii="宋体" w:hAnsi="宋体" w:eastAsia="宋体" w:cs="宋体"/>
          <w:snapToGrid w:val="0"/>
          <w:color w:val="auto"/>
          <w:spacing w:val="-1"/>
          <w:kern w:val="0"/>
          <w:sz w:val="21"/>
          <w:szCs w:val="21"/>
          <w:highlight w:val="none"/>
          <w:lang w:val="en-US" w:eastAsia="en-US" w:bidi="ar-SA"/>
        </w:rPr>
        <w:t>）法律法规或投标人须知前附表规定的其他情形。</w:t>
      </w:r>
    </w:p>
    <w:p w14:paraId="5D3CCD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outlineLvl w:val="2"/>
        <w:rPr>
          <w:color w:val="auto"/>
          <w:sz w:val="21"/>
          <w:szCs w:val="21"/>
          <w:highlight w:val="none"/>
        </w:rPr>
      </w:pPr>
      <w:bookmarkStart w:id="15" w:name="_Toc12079"/>
      <w:r>
        <w:rPr>
          <w:color w:val="auto"/>
          <w:spacing w:val="-6"/>
          <w:sz w:val="21"/>
          <w:szCs w:val="21"/>
          <w:highlight w:val="none"/>
          <w14:textOutline w14:w="3810" w14:cap="flat" w14:cmpd="sng">
            <w14:solidFill>
              <w14:srgbClr w14:val="000000"/>
            </w14:solidFill>
            <w14:prstDash w14:val="solid"/>
            <w14:miter w14:val="0"/>
          </w14:textOutline>
        </w:rPr>
        <w:t>1.5</w:t>
      </w:r>
      <w:r>
        <w:rPr>
          <w:color w:val="auto"/>
          <w:spacing w:val="23"/>
          <w:sz w:val="21"/>
          <w:szCs w:val="21"/>
          <w:highlight w:val="none"/>
        </w:rPr>
        <w:t xml:space="preserve"> </w:t>
      </w:r>
      <w:r>
        <w:rPr>
          <w:color w:val="auto"/>
          <w:spacing w:val="-6"/>
          <w:sz w:val="21"/>
          <w:szCs w:val="21"/>
          <w:highlight w:val="none"/>
          <w14:textOutline w14:w="3810" w14:cap="flat" w14:cmpd="sng">
            <w14:solidFill>
              <w14:srgbClr w14:val="000000"/>
            </w14:solidFill>
            <w14:prstDash w14:val="solid"/>
            <w14:miter w14:val="0"/>
          </w14:textOutline>
        </w:rPr>
        <w:t>费用承担</w:t>
      </w:r>
      <w:bookmarkEnd w:id="15"/>
    </w:p>
    <w:p w14:paraId="43D5ED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color w:val="auto"/>
          <w:sz w:val="21"/>
          <w:szCs w:val="21"/>
          <w:highlight w:val="none"/>
        </w:rPr>
      </w:pPr>
      <w:r>
        <w:rPr>
          <w:color w:val="auto"/>
          <w:spacing w:val="-2"/>
          <w:sz w:val="21"/>
          <w:szCs w:val="21"/>
          <w:highlight w:val="none"/>
        </w:rPr>
        <w:t>投标人准备和参加投标活动发生的费用自理。</w:t>
      </w:r>
    </w:p>
    <w:p w14:paraId="7AFB72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outlineLvl w:val="2"/>
        <w:rPr>
          <w:color w:val="auto"/>
          <w:sz w:val="21"/>
          <w:szCs w:val="21"/>
          <w:highlight w:val="none"/>
        </w:rPr>
      </w:pPr>
      <w:bookmarkStart w:id="16" w:name="_Toc32437"/>
      <w:r>
        <w:rPr>
          <w:color w:val="auto"/>
          <w:spacing w:val="-6"/>
          <w:sz w:val="21"/>
          <w:szCs w:val="21"/>
          <w:highlight w:val="none"/>
          <w14:textOutline w14:w="3810" w14:cap="flat" w14:cmpd="sng">
            <w14:solidFill>
              <w14:srgbClr w14:val="000000"/>
            </w14:solidFill>
            <w14:prstDash w14:val="solid"/>
            <w14:miter w14:val="0"/>
          </w14:textOutline>
        </w:rPr>
        <w:t>1.6</w:t>
      </w:r>
      <w:r>
        <w:rPr>
          <w:color w:val="auto"/>
          <w:spacing w:val="10"/>
          <w:sz w:val="21"/>
          <w:szCs w:val="21"/>
          <w:highlight w:val="none"/>
        </w:rPr>
        <w:t xml:space="preserve"> </w:t>
      </w:r>
      <w:r>
        <w:rPr>
          <w:color w:val="auto"/>
          <w:spacing w:val="-6"/>
          <w:sz w:val="21"/>
          <w:szCs w:val="21"/>
          <w:highlight w:val="none"/>
          <w14:textOutline w14:w="3810" w14:cap="flat" w14:cmpd="sng">
            <w14:solidFill>
              <w14:srgbClr w14:val="000000"/>
            </w14:solidFill>
            <w14:prstDash w14:val="solid"/>
            <w14:miter w14:val="0"/>
          </w14:textOutline>
        </w:rPr>
        <w:t>保密</w:t>
      </w:r>
      <w:bookmarkEnd w:id="16"/>
    </w:p>
    <w:p w14:paraId="3AF5DD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参与招标投标活动的各方应对招标文件和投标文件中的商业和技术等秘密保密， 违者应对由此造成的后果承担法律责任。</w:t>
      </w:r>
    </w:p>
    <w:p w14:paraId="6830BB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color w:val="auto"/>
          <w:sz w:val="21"/>
          <w:szCs w:val="21"/>
          <w:highlight w:val="none"/>
        </w:rPr>
      </w:pPr>
      <w:bookmarkStart w:id="17" w:name="_Toc16878"/>
      <w:r>
        <w:rPr>
          <w:color w:val="auto"/>
          <w:spacing w:val="-3"/>
          <w:sz w:val="21"/>
          <w:szCs w:val="21"/>
          <w:highlight w:val="none"/>
          <w14:textOutline w14:w="3810" w14:cap="flat" w14:cmpd="sng">
            <w14:solidFill>
              <w14:srgbClr w14:val="000000"/>
            </w14:solidFill>
            <w14:prstDash w14:val="solid"/>
            <w14:miter w14:val="0"/>
          </w14:textOutline>
        </w:rPr>
        <w:t>1.7</w:t>
      </w:r>
      <w:r>
        <w:rPr>
          <w:color w:val="auto"/>
          <w:spacing w:val="-3"/>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语言文字</w:t>
      </w:r>
      <w:bookmarkEnd w:id="17"/>
    </w:p>
    <w:p w14:paraId="3CD632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除专用术语外，与招标投标有关的语言均使用中文。必要时专用术语应附有中文注释。</w:t>
      </w:r>
    </w:p>
    <w:p w14:paraId="3F0B96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color w:val="auto"/>
          <w:sz w:val="21"/>
          <w:szCs w:val="21"/>
          <w:highlight w:val="none"/>
        </w:rPr>
      </w:pPr>
      <w:bookmarkStart w:id="18" w:name="_Toc32213"/>
      <w:r>
        <w:rPr>
          <w:color w:val="auto"/>
          <w:spacing w:val="-3"/>
          <w:sz w:val="21"/>
          <w:szCs w:val="21"/>
          <w:highlight w:val="none"/>
          <w14:textOutline w14:w="3810" w14:cap="flat" w14:cmpd="sng">
            <w14:solidFill>
              <w14:srgbClr w14:val="000000"/>
            </w14:solidFill>
            <w14:prstDash w14:val="solid"/>
            <w14:miter w14:val="0"/>
          </w14:textOutline>
        </w:rPr>
        <w:t>1.8</w:t>
      </w:r>
      <w:r>
        <w:rPr>
          <w:color w:val="auto"/>
          <w:spacing w:val="-3"/>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计量单位</w:t>
      </w:r>
      <w:bookmarkEnd w:id="18"/>
    </w:p>
    <w:p w14:paraId="15C3C6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color w:val="auto"/>
          <w:sz w:val="21"/>
          <w:szCs w:val="21"/>
          <w:highlight w:val="none"/>
        </w:rPr>
      </w:pPr>
      <w:r>
        <w:rPr>
          <w:color w:val="auto"/>
          <w:spacing w:val="-2"/>
          <w:sz w:val="21"/>
          <w:szCs w:val="21"/>
          <w:highlight w:val="none"/>
        </w:rPr>
        <w:t>所有计量均采用中华人民共和国法定计量单位。</w:t>
      </w:r>
    </w:p>
    <w:p w14:paraId="6FCFC0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2"/>
        <w:rPr>
          <w:color w:val="auto"/>
          <w:sz w:val="21"/>
          <w:szCs w:val="21"/>
          <w:highlight w:val="none"/>
        </w:rPr>
      </w:pPr>
      <w:bookmarkStart w:id="19" w:name="_Toc10396"/>
      <w:r>
        <w:rPr>
          <w:color w:val="auto"/>
          <w:spacing w:val="-5"/>
          <w:sz w:val="21"/>
          <w:szCs w:val="21"/>
          <w:highlight w:val="none"/>
          <w14:textOutline w14:w="3810" w14:cap="flat" w14:cmpd="sng">
            <w14:solidFill>
              <w14:srgbClr w14:val="000000"/>
            </w14:solidFill>
            <w14:prstDash w14:val="solid"/>
            <w14:miter w14:val="0"/>
          </w14:textOutline>
        </w:rPr>
        <w:t>1.9</w:t>
      </w:r>
      <w:r>
        <w:rPr>
          <w:color w:val="auto"/>
          <w:spacing w:val="14"/>
          <w:sz w:val="21"/>
          <w:szCs w:val="21"/>
          <w:highlight w:val="none"/>
        </w:rPr>
        <w:t xml:space="preserve"> </w:t>
      </w:r>
      <w:r>
        <w:rPr>
          <w:color w:val="auto"/>
          <w:spacing w:val="-5"/>
          <w:sz w:val="21"/>
          <w:szCs w:val="21"/>
          <w:highlight w:val="none"/>
          <w14:textOutline w14:w="3810" w14:cap="flat" w14:cmpd="sng">
            <w14:solidFill>
              <w14:srgbClr w14:val="000000"/>
            </w14:solidFill>
            <w14:prstDash w14:val="solid"/>
            <w14:miter w14:val="0"/>
          </w14:textOutline>
        </w:rPr>
        <w:t>踏勘现场</w:t>
      </w:r>
      <w:bookmarkEnd w:id="19"/>
    </w:p>
    <w:p w14:paraId="25A90C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14:paraId="2AF9B3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1.9.2 投标人踏勘现场发生的费用自理。</w:t>
      </w:r>
    </w:p>
    <w:p w14:paraId="1739A3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1.9.3 除招标人的原因外，投标人自行负责在踏勘现场中所发生的人员伤亡和财产损失。</w:t>
      </w:r>
    </w:p>
    <w:p w14:paraId="282B20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1.9.4 招标人在踏勘现场中介绍的工程场地和相关的周边环境情况，供投标人在编制投标文件时参考，招标人不对投标人据此作出的判断和决策负责。</w:t>
      </w:r>
    </w:p>
    <w:p w14:paraId="2EA7E7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2"/>
        <w:rPr>
          <w:color w:val="auto"/>
          <w:sz w:val="21"/>
          <w:szCs w:val="21"/>
          <w:highlight w:val="none"/>
        </w:rPr>
      </w:pPr>
      <w:bookmarkStart w:id="20" w:name="_Toc32585"/>
      <w:r>
        <w:rPr>
          <w:color w:val="auto"/>
          <w:spacing w:val="-5"/>
          <w:sz w:val="21"/>
          <w:szCs w:val="21"/>
          <w:highlight w:val="none"/>
          <w14:textOutline w14:w="3810" w14:cap="flat" w14:cmpd="sng">
            <w14:solidFill>
              <w14:srgbClr w14:val="000000"/>
            </w14:solidFill>
            <w14:prstDash w14:val="solid"/>
            <w14:miter w14:val="0"/>
          </w14:textOutline>
        </w:rPr>
        <w:t>1.10</w:t>
      </w:r>
      <w:r>
        <w:rPr>
          <w:color w:val="auto"/>
          <w:spacing w:val="11"/>
          <w:sz w:val="21"/>
          <w:szCs w:val="21"/>
          <w:highlight w:val="none"/>
        </w:rPr>
        <w:t xml:space="preserve"> </w:t>
      </w:r>
      <w:r>
        <w:rPr>
          <w:color w:val="auto"/>
          <w:spacing w:val="-5"/>
          <w:sz w:val="21"/>
          <w:szCs w:val="21"/>
          <w:highlight w:val="none"/>
          <w14:textOutline w14:w="3810" w14:cap="flat" w14:cmpd="sng">
            <w14:solidFill>
              <w14:srgbClr w14:val="000000"/>
            </w14:solidFill>
            <w14:prstDash w14:val="solid"/>
            <w14:miter w14:val="0"/>
          </w14:textOutline>
        </w:rPr>
        <w:t>分包</w:t>
      </w:r>
      <w:bookmarkEnd w:id="20"/>
    </w:p>
    <w:p w14:paraId="3A1B3D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2"/>
        <w:rPr>
          <w:rFonts w:hint="default"/>
          <w:color w:val="auto"/>
          <w:spacing w:val="-1"/>
          <w:sz w:val="21"/>
          <w:szCs w:val="21"/>
          <w:highlight w:val="none"/>
          <w:lang w:val="en-US" w:eastAsia="zh-CN"/>
        </w:rPr>
      </w:pPr>
      <w:bookmarkStart w:id="21" w:name="_Toc24298"/>
      <w:r>
        <w:rPr>
          <w:rFonts w:hint="eastAsia"/>
          <w:color w:val="auto"/>
          <w:spacing w:val="-1"/>
          <w:sz w:val="21"/>
          <w:szCs w:val="21"/>
          <w:highlight w:val="none"/>
          <w:lang w:val="en-US" w:eastAsia="zh-CN"/>
        </w:rPr>
        <w:t>本项目不允许分包。</w:t>
      </w:r>
    </w:p>
    <w:p w14:paraId="23D9AB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2"/>
        <w:rPr>
          <w:color w:val="auto"/>
          <w:sz w:val="21"/>
          <w:szCs w:val="21"/>
          <w:highlight w:val="none"/>
        </w:rPr>
      </w:pPr>
      <w:r>
        <w:rPr>
          <w:color w:val="auto"/>
          <w:spacing w:val="-5"/>
          <w:sz w:val="21"/>
          <w:szCs w:val="21"/>
          <w:highlight w:val="none"/>
          <w14:textOutline w14:w="3810" w14:cap="flat" w14:cmpd="sng">
            <w14:solidFill>
              <w14:srgbClr w14:val="000000"/>
            </w14:solidFill>
            <w14:prstDash w14:val="solid"/>
            <w14:miter w14:val="0"/>
          </w14:textOutline>
        </w:rPr>
        <w:t>1.11</w:t>
      </w:r>
      <w:r>
        <w:rPr>
          <w:color w:val="auto"/>
          <w:spacing w:val="10"/>
          <w:sz w:val="21"/>
          <w:szCs w:val="21"/>
          <w:highlight w:val="none"/>
        </w:rPr>
        <w:t xml:space="preserve"> </w:t>
      </w:r>
      <w:r>
        <w:rPr>
          <w:color w:val="auto"/>
          <w:spacing w:val="-5"/>
          <w:sz w:val="21"/>
          <w:szCs w:val="21"/>
          <w:highlight w:val="none"/>
          <w14:textOutline w14:w="3810" w14:cap="flat" w14:cmpd="sng">
            <w14:solidFill>
              <w14:srgbClr w14:val="000000"/>
            </w14:solidFill>
            <w14:prstDash w14:val="solid"/>
            <w14:miter w14:val="0"/>
          </w14:textOutline>
        </w:rPr>
        <w:t>偏离</w:t>
      </w:r>
      <w:bookmarkEnd w:id="21"/>
    </w:p>
    <w:p w14:paraId="7A4709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bookmarkStart w:id="22" w:name="_Toc6907"/>
      <w:r>
        <w:rPr>
          <w:rFonts w:hint="eastAsia" w:ascii="宋体" w:hAnsi="宋体" w:eastAsia="宋体" w:cs="宋体"/>
          <w:color w:val="auto"/>
          <w:spacing w:val="-1"/>
          <w:sz w:val="21"/>
          <w:szCs w:val="21"/>
          <w:highlight w:val="none"/>
        </w:rPr>
        <w:t>1.11.1 投标文件应当对招标文件的实质性要求和条件作出满足性或更有利于招标人的响应，否则，投标人的投标将被否决。实质性要求和条件见投标人须知前附表。</w:t>
      </w:r>
    </w:p>
    <w:p w14:paraId="602421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1.11.2 投标人应根据招标文件的要求提供投标技术标等内容以对招标文件作出响应。</w:t>
      </w:r>
    </w:p>
    <w:p w14:paraId="21CF59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1.11.3 投标人须知前附表允许投标文件偏离招标文件某些要求的，偏差应当符合招标文件规定的偏差范围和幅度。</w:t>
      </w:r>
    </w:p>
    <w:p w14:paraId="24AABC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2"/>
        <w:rPr>
          <w:rFonts w:ascii="宋体" w:hAnsi="宋体" w:eastAsia="宋体" w:cs="宋体"/>
          <w:color w:val="auto"/>
          <w:spacing w:val="-5"/>
          <w:sz w:val="21"/>
          <w:szCs w:val="21"/>
          <w:highlight w:val="none"/>
          <w14:textOutline w14:w="3810" w14:cap="flat" w14:cmpd="sng">
            <w14:solidFill>
              <w14:srgbClr w14:val="000000"/>
            </w14:solidFill>
            <w14:prstDash w14:val="solid"/>
            <w14:miter w14:val="0"/>
          </w14:textOutline>
        </w:rPr>
      </w:pPr>
      <w:r>
        <w:rPr>
          <w:rFonts w:ascii="宋体" w:hAnsi="宋体" w:eastAsia="宋体" w:cs="宋体"/>
          <w:color w:val="auto"/>
          <w:spacing w:val="-5"/>
          <w:sz w:val="21"/>
          <w:szCs w:val="21"/>
          <w:highlight w:val="none"/>
          <w14:textOutline w14:w="3810" w14:cap="flat" w14:cmpd="sng">
            <w14:solidFill>
              <w14:srgbClr w14:val="000000"/>
            </w14:solidFill>
            <w14:prstDash w14:val="solid"/>
            <w14:miter w14:val="0"/>
          </w14:textOutline>
        </w:rPr>
        <w:t>2. 招标文件</w:t>
      </w:r>
      <w:bookmarkEnd w:id="22"/>
    </w:p>
    <w:p w14:paraId="5D1F56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23" w:name="_Toc1048"/>
      <w:r>
        <w:rPr>
          <w:color w:val="auto"/>
          <w:sz w:val="21"/>
          <w:szCs w:val="21"/>
          <w:highlight w:val="none"/>
          <w14:textOutline w14:w="3810" w14:cap="flat" w14:cmpd="sng">
            <w14:solidFill>
              <w14:srgbClr w14:val="000000"/>
            </w14:solidFill>
            <w14:prstDash w14:val="solid"/>
            <w14:miter w14:val="0"/>
          </w14:textOutline>
        </w:rPr>
        <w:t>2.1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招标文件的组成</w:t>
      </w:r>
      <w:bookmarkEnd w:id="23"/>
    </w:p>
    <w:p w14:paraId="15F061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color w:val="auto"/>
          <w:sz w:val="21"/>
          <w:szCs w:val="21"/>
          <w:highlight w:val="none"/>
        </w:rPr>
      </w:pPr>
      <w:r>
        <w:rPr>
          <w:color w:val="auto"/>
          <w:spacing w:val="-6"/>
          <w:sz w:val="21"/>
          <w:szCs w:val="21"/>
          <w:highlight w:val="none"/>
        </w:rPr>
        <w:t>本招标文件包括：</w:t>
      </w:r>
    </w:p>
    <w:p w14:paraId="3D34A8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color w:val="auto"/>
          <w:sz w:val="21"/>
          <w:szCs w:val="21"/>
          <w:highlight w:val="none"/>
        </w:rPr>
      </w:pPr>
      <w:r>
        <w:rPr>
          <w:color w:val="auto"/>
          <w:spacing w:val="-7"/>
          <w:sz w:val="21"/>
          <w:szCs w:val="21"/>
          <w:highlight w:val="none"/>
        </w:rPr>
        <w:t>（1）招标公告；</w:t>
      </w:r>
    </w:p>
    <w:p w14:paraId="459C06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color w:val="auto"/>
          <w:sz w:val="21"/>
          <w:szCs w:val="21"/>
          <w:highlight w:val="none"/>
        </w:rPr>
      </w:pPr>
      <w:r>
        <w:rPr>
          <w:color w:val="auto"/>
          <w:spacing w:val="-6"/>
          <w:sz w:val="21"/>
          <w:szCs w:val="21"/>
          <w:highlight w:val="none"/>
        </w:rPr>
        <w:t>（2）投标人须知；</w:t>
      </w:r>
    </w:p>
    <w:p w14:paraId="28B67D3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color w:val="auto"/>
          <w:sz w:val="21"/>
          <w:szCs w:val="21"/>
          <w:highlight w:val="none"/>
        </w:rPr>
      </w:pPr>
      <w:r>
        <w:rPr>
          <w:color w:val="auto"/>
          <w:spacing w:val="-7"/>
          <w:sz w:val="21"/>
          <w:szCs w:val="21"/>
          <w:highlight w:val="none"/>
        </w:rPr>
        <w:t>（3）评标办法；</w:t>
      </w:r>
    </w:p>
    <w:p w14:paraId="37D95BE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color w:val="auto"/>
          <w:spacing w:val="-7"/>
          <w:sz w:val="21"/>
          <w:szCs w:val="21"/>
          <w:highlight w:val="none"/>
        </w:rPr>
      </w:pPr>
      <w:r>
        <w:rPr>
          <w:rFonts w:hint="eastAsia"/>
          <w:color w:val="auto"/>
          <w:spacing w:val="-7"/>
          <w:sz w:val="21"/>
          <w:szCs w:val="21"/>
          <w:highlight w:val="none"/>
        </w:rPr>
        <w:t>（4）合同条款及格式；</w:t>
      </w:r>
    </w:p>
    <w:p w14:paraId="46B37F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color w:val="auto"/>
          <w:spacing w:val="-7"/>
          <w:sz w:val="21"/>
          <w:szCs w:val="21"/>
          <w:highlight w:val="none"/>
        </w:rPr>
      </w:pPr>
      <w:r>
        <w:rPr>
          <w:rFonts w:hint="eastAsia"/>
          <w:color w:val="auto"/>
          <w:spacing w:val="-7"/>
          <w:sz w:val="21"/>
          <w:szCs w:val="21"/>
          <w:highlight w:val="none"/>
        </w:rPr>
        <w:t>（5）委托人要求；</w:t>
      </w:r>
    </w:p>
    <w:p w14:paraId="419A3B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color w:val="auto"/>
          <w:spacing w:val="-7"/>
          <w:sz w:val="21"/>
          <w:szCs w:val="21"/>
          <w:highlight w:val="none"/>
        </w:rPr>
      </w:pPr>
      <w:r>
        <w:rPr>
          <w:rFonts w:hint="eastAsia"/>
          <w:color w:val="auto"/>
          <w:spacing w:val="-7"/>
          <w:sz w:val="21"/>
          <w:szCs w:val="21"/>
          <w:highlight w:val="none"/>
        </w:rPr>
        <w:t>（6）投标文件格式；</w:t>
      </w:r>
    </w:p>
    <w:p w14:paraId="699896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color w:val="auto"/>
          <w:sz w:val="21"/>
          <w:szCs w:val="21"/>
          <w:highlight w:val="none"/>
        </w:rPr>
      </w:pPr>
      <w:r>
        <w:rPr>
          <w:rFonts w:hint="eastAsia"/>
          <w:color w:val="auto"/>
          <w:spacing w:val="-7"/>
          <w:sz w:val="21"/>
          <w:szCs w:val="21"/>
          <w:highlight w:val="none"/>
        </w:rPr>
        <w:t>（7）投标人须知前附表规定的其他资料。</w:t>
      </w:r>
    </w:p>
    <w:p w14:paraId="0539DD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根据本章第1.10款、第2.2款和第2.3款对招标文件所作的澄清、修改，构成招标文件的组成部分。</w:t>
      </w:r>
    </w:p>
    <w:p w14:paraId="187770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24" w:name="_Toc9796"/>
      <w:r>
        <w:rPr>
          <w:color w:val="auto"/>
          <w:sz w:val="21"/>
          <w:szCs w:val="21"/>
          <w:highlight w:val="none"/>
          <w14:textOutline w14:w="3810" w14:cap="flat" w14:cmpd="sng">
            <w14:solidFill>
              <w14:srgbClr w14:val="000000"/>
            </w14:solidFill>
            <w14:prstDash w14:val="solid"/>
            <w14:miter w14:val="0"/>
          </w14:textOutline>
        </w:rPr>
        <w:t>2.2</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招标文件的澄清与修改</w:t>
      </w:r>
      <w:bookmarkEnd w:id="24"/>
    </w:p>
    <w:p w14:paraId="605638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2.2.1投标人下载招标文件后，应仔细阅读招标文件的全部内容。如有疑问，应及时向招标人</w:t>
      </w:r>
    </w:p>
    <w:p w14:paraId="2D9D76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提出，以便澄清。</w:t>
      </w:r>
    </w:p>
    <w:p w14:paraId="249EFB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2.2.2 招标人不集中组织答疑，实行网上提疑和答疑。投标人若对招标文件有疑问，需要招标 人予以澄清，应登录“新乡市公共资源交易中心网” （网址</w:t>
      </w:r>
      <w:r>
        <w:rPr>
          <w:color w:val="auto"/>
          <w:spacing w:val="-1"/>
          <w:sz w:val="21"/>
          <w:szCs w:val="21"/>
          <w:highlight w:val="none"/>
        </w:rPr>
        <w:fldChar w:fldCharType="begin"/>
      </w:r>
      <w:r>
        <w:rPr>
          <w:color w:val="auto"/>
          <w:spacing w:val="-1"/>
          <w:sz w:val="21"/>
          <w:szCs w:val="21"/>
          <w:highlight w:val="none"/>
        </w:rPr>
        <w:instrText xml:space="preserve"> HYPERLINK "http://www.xxggzy.cn" </w:instrText>
      </w:r>
      <w:r>
        <w:rPr>
          <w:color w:val="auto"/>
          <w:spacing w:val="-1"/>
          <w:sz w:val="21"/>
          <w:szCs w:val="21"/>
          <w:highlight w:val="none"/>
        </w:rPr>
        <w:fldChar w:fldCharType="separate"/>
      </w:r>
      <w:r>
        <w:rPr>
          <w:color w:val="auto"/>
          <w:spacing w:val="-1"/>
          <w:sz w:val="21"/>
          <w:szCs w:val="21"/>
          <w:highlight w:val="none"/>
        </w:rPr>
        <w:t>http://www.xxggzy.cn</w:t>
      </w:r>
      <w:r>
        <w:rPr>
          <w:color w:val="auto"/>
          <w:spacing w:val="-1"/>
          <w:sz w:val="21"/>
          <w:szCs w:val="21"/>
          <w:highlight w:val="none"/>
        </w:rPr>
        <w:fldChar w:fldCharType="end"/>
      </w:r>
      <w:r>
        <w:rPr>
          <w:color w:val="auto"/>
          <w:spacing w:val="-1"/>
          <w:sz w:val="21"/>
          <w:szCs w:val="21"/>
          <w:highlight w:val="none"/>
        </w:rPr>
        <w:t>） 通过“会员登录”入口进入交易系统以不署名的形式提出。按投标人须知前附表规定时限前提出。</w:t>
      </w:r>
    </w:p>
    <w:p w14:paraId="2B757B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2.2.3招标人将按投标人须知前附表规定时限前在网上解答招标文件的疑问，并形成招标文件的澄清答疑文件。招标文件的澄清答疑文件将在“新乡市公共资源交易中心网” 及其它招标公告发布媒体向所有投标人公示，但不指明来源。</w:t>
      </w:r>
    </w:p>
    <w:p w14:paraId="2873B5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2.2.4 招标文件发布后， 在投标人须知前附表规定时限的任何时候， 确需要变更招标文件内容的，招标人可主动或在解答投标人提出的澄清答疑时对招标文件进行修改，招标文件的澄清、修改、变更等内容在相关媒体发布前须报招标投标监督部门备案，招标文件的修改在“新乡市公共资源交易中心网”及其它招标公告发布媒体发布。</w:t>
      </w:r>
    </w:p>
    <w:p w14:paraId="77CF44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2.2.5 对招标文件所作的澄清答疑、修改，投标人在投标截止时间前，应通过新乡市公共资源 交易中心网“变更公告”栏 或通过新乡市公共资源交易中心网（网址</w:t>
      </w:r>
      <w:r>
        <w:rPr>
          <w:color w:val="auto"/>
          <w:spacing w:val="-1"/>
          <w:sz w:val="21"/>
          <w:szCs w:val="21"/>
          <w:highlight w:val="none"/>
        </w:rPr>
        <w:fldChar w:fldCharType="begin"/>
      </w:r>
      <w:r>
        <w:rPr>
          <w:color w:val="auto"/>
          <w:spacing w:val="-1"/>
          <w:sz w:val="21"/>
          <w:szCs w:val="21"/>
          <w:highlight w:val="none"/>
        </w:rPr>
        <w:instrText xml:space="preserve"> HYPERLINK "http://www.xxggzy.cn" </w:instrText>
      </w:r>
      <w:r>
        <w:rPr>
          <w:color w:val="auto"/>
          <w:spacing w:val="-1"/>
          <w:sz w:val="21"/>
          <w:szCs w:val="21"/>
          <w:highlight w:val="none"/>
        </w:rPr>
        <w:fldChar w:fldCharType="separate"/>
      </w:r>
      <w:r>
        <w:rPr>
          <w:color w:val="auto"/>
          <w:spacing w:val="-1"/>
          <w:sz w:val="21"/>
          <w:szCs w:val="21"/>
          <w:highlight w:val="none"/>
        </w:rPr>
        <w:t>http://www.xxggzy.cn</w:t>
      </w:r>
      <w:r>
        <w:rPr>
          <w:color w:val="auto"/>
          <w:spacing w:val="-1"/>
          <w:sz w:val="21"/>
          <w:szCs w:val="21"/>
          <w:highlight w:val="none"/>
        </w:rPr>
        <w:fldChar w:fldCharType="end"/>
      </w:r>
      <w:r>
        <w:rPr>
          <w:color w:val="auto"/>
          <w:spacing w:val="-1"/>
          <w:sz w:val="21"/>
          <w:szCs w:val="21"/>
          <w:highlight w:val="none"/>
        </w:rPr>
        <w:t>）“会 员登录”入口进入交易系统随时查看有关该工程招标文件的澄清、修改(招标答疑、补遗文件)公示 等内容。投标人应注意及时浏览网上发布的澄清和修改通知并下载，因投标人原因未及时获知澄清答疑、修改内容而导致的任何后果，其风险概由投标人自行承担。</w:t>
      </w:r>
    </w:p>
    <w:p w14:paraId="0721A6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2.2.6 如果澄清、修改招标文件的时间距投标截止时间不足15天， 且澄清或者修改的内容可能影响投标文件编制的，招标人应当顺延提交投标文件的截止时间。</w:t>
      </w:r>
    </w:p>
    <w:p w14:paraId="4F3D21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outlineLvl w:val="2"/>
        <w:rPr>
          <w:color w:val="auto"/>
          <w:position w:val="14"/>
          <w:sz w:val="21"/>
          <w:szCs w:val="21"/>
          <w:highlight w:val="none"/>
        </w:rPr>
      </w:pPr>
      <w:bookmarkStart w:id="25" w:name="_Toc18147"/>
      <w:r>
        <w:rPr>
          <w:color w:val="auto"/>
          <w:spacing w:val="1"/>
          <w:position w:val="14"/>
          <w:sz w:val="21"/>
          <w:szCs w:val="21"/>
          <w:highlight w:val="none"/>
          <w14:textOutline w14:w="3810" w14:cap="flat" w14:cmpd="sng">
            <w14:solidFill>
              <w14:srgbClr w14:val="000000"/>
            </w14:solidFill>
            <w14:prstDash w14:val="solid"/>
            <w14:miter w14:val="0"/>
          </w14:textOutline>
        </w:rPr>
        <w:t>2.3</w:t>
      </w:r>
      <w:r>
        <w:rPr>
          <w:color w:val="auto"/>
          <w:spacing w:val="1"/>
          <w:position w:val="14"/>
          <w:sz w:val="21"/>
          <w:szCs w:val="21"/>
          <w:highlight w:val="none"/>
        </w:rPr>
        <w:t xml:space="preserve"> </w:t>
      </w:r>
      <w:r>
        <w:rPr>
          <w:color w:val="auto"/>
          <w:spacing w:val="1"/>
          <w:position w:val="14"/>
          <w:sz w:val="21"/>
          <w:szCs w:val="21"/>
          <w:highlight w:val="none"/>
          <w14:textOutline w14:w="3810" w14:cap="flat" w14:cmpd="sng">
            <w14:solidFill>
              <w14:srgbClr w14:val="000000"/>
            </w14:solidFill>
            <w14:prstDash w14:val="solid"/>
            <w14:miter w14:val="0"/>
          </w14:textOutline>
        </w:rPr>
        <w:t>招标控制价（最高投标限价）的公布：</w:t>
      </w:r>
      <w:r>
        <w:rPr>
          <w:color w:val="auto"/>
          <w:spacing w:val="1"/>
          <w:position w:val="14"/>
          <w:sz w:val="21"/>
          <w:szCs w:val="21"/>
          <w:highlight w:val="none"/>
        </w:rPr>
        <w:t>见投标人须知前</w:t>
      </w:r>
      <w:r>
        <w:rPr>
          <w:color w:val="auto"/>
          <w:position w:val="14"/>
          <w:sz w:val="21"/>
          <w:szCs w:val="21"/>
          <w:highlight w:val="none"/>
        </w:rPr>
        <w:t>附表</w:t>
      </w:r>
      <w:bookmarkEnd w:id="25"/>
    </w:p>
    <w:p w14:paraId="7CDA32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outlineLvl w:val="1"/>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pacing w:val="-4"/>
          <w:sz w:val="21"/>
          <w:szCs w:val="21"/>
          <w:highlight w:val="none"/>
          <w:lang w:val="en-US" w:eastAsia="zh-CN"/>
          <w14:textOutline w14:w="3810" w14:cap="flat" w14:cmpd="sng">
            <w14:solidFill>
              <w14:srgbClr w14:val="000000"/>
            </w14:solidFill>
            <w14:prstDash w14:val="solid"/>
            <w14:miter w14:val="0"/>
          </w14:textOutline>
        </w:rPr>
        <w:t xml:space="preserve">2.4 招标文件的异议 </w:t>
      </w:r>
    </w:p>
    <w:p w14:paraId="1528D8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投标人或者其他利害关系人对招标文件有异议的，应当在投标截止时间 10 日前以书面形式 提出。招标人将在收到异议之日起 3 日内作出答复；作出答复前，将暂停招标投标活动。</w:t>
      </w:r>
    </w:p>
    <w:p w14:paraId="01D169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outlineLvl w:val="1"/>
        <w:rPr>
          <w:color w:val="auto"/>
          <w:sz w:val="21"/>
          <w:szCs w:val="21"/>
          <w:highlight w:val="none"/>
        </w:rPr>
      </w:pPr>
      <w:bookmarkStart w:id="26" w:name="_Toc12428"/>
      <w:r>
        <w:rPr>
          <w:color w:val="auto"/>
          <w:spacing w:val="-4"/>
          <w:sz w:val="21"/>
          <w:szCs w:val="21"/>
          <w:highlight w:val="none"/>
          <w14:textOutline w14:w="3810" w14:cap="flat" w14:cmpd="sng">
            <w14:solidFill>
              <w14:srgbClr w14:val="000000"/>
            </w14:solidFill>
            <w14:prstDash w14:val="solid"/>
            <w14:miter w14:val="0"/>
          </w14:textOutline>
        </w:rPr>
        <w:t>3.</w:t>
      </w:r>
      <w:r>
        <w:rPr>
          <w:color w:val="auto"/>
          <w:spacing w:val="14"/>
          <w:sz w:val="21"/>
          <w:szCs w:val="21"/>
          <w:highlight w:val="none"/>
        </w:rPr>
        <w:t xml:space="preserve"> </w:t>
      </w:r>
      <w:r>
        <w:rPr>
          <w:color w:val="auto"/>
          <w:spacing w:val="-4"/>
          <w:sz w:val="21"/>
          <w:szCs w:val="21"/>
          <w:highlight w:val="none"/>
          <w14:textOutline w14:w="3810" w14:cap="flat" w14:cmpd="sng">
            <w14:solidFill>
              <w14:srgbClr w14:val="000000"/>
            </w14:solidFill>
            <w14:prstDash w14:val="solid"/>
            <w14:miter w14:val="0"/>
          </w14:textOutline>
        </w:rPr>
        <w:t>投标文件</w:t>
      </w:r>
      <w:bookmarkEnd w:id="26"/>
    </w:p>
    <w:p w14:paraId="436B00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27" w:name="_Toc11827"/>
      <w:r>
        <w:rPr>
          <w:color w:val="auto"/>
          <w:sz w:val="21"/>
          <w:szCs w:val="21"/>
          <w:highlight w:val="none"/>
          <w14:textOutline w14:w="3810" w14:cap="flat" w14:cmpd="sng">
            <w14:solidFill>
              <w14:srgbClr w14:val="000000"/>
            </w14:solidFill>
            <w14:prstDash w14:val="solid"/>
            <w14:miter w14:val="0"/>
          </w14:textOutline>
        </w:rPr>
        <w:t>3.1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投标文件的组成</w:t>
      </w:r>
      <w:bookmarkEnd w:id="27"/>
    </w:p>
    <w:p w14:paraId="49A757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3.1.1 投标文件应包括下列内容：</w:t>
      </w:r>
    </w:p>
    <w:p w14:paraId="5C1C1B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（1）投标函及投标函附录；</w:t>
      </w:r>
    </w:p>
    <w:p w14:paraId="0592AE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（2）法定代表人身份证明及授权委托书；</w:t>
      </w:r>
    </w:p>
    <w:p w14:paraId="75F563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（3）资格审查资料；</w:t>
      </w:r>
    </w:p>
    <w:p w14:paraId="100D15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（4）承诺书；</w:t>
      </w:r>
    </w:p>
    <w:p w14:paraId="5507CC1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（5）投标人提供的其他材料；</w:t>
      </w:r>
    </w:p>
    <w:p w14:paraId="6AB446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（6）监理大纲（可在投标文件组成节点单独上传）。</w:t>
      </w:r>
    </w:p>
    <w:p w14:paraId="51D853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投标人在评标过程中作出的符合法律法规和招标文件规定的澄清确认， 构成投标文件的组成部分</w:t>
      </w:r>
      <w:r>
        <w:rPr>
          <w:color w:val="auto"/>
          <w:spacing w:val="-11"/>
          <w:sz w:val="21"/>
          <w:szCs w:val="21"/>
          <w:highlight w:val="none"/>
        </w:rPr>
        <w:t>。</w:t>
      </w:r>
    </w:p>
    <w:p w14:paraId="4D6867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color w:val="auto"/>
          <w:sz w:val="21"/>
          <w:szCs w:val="21"/>
          <w:highlight w:val="none"/>
        </w:rPr>
      </w:pPr>
      <w:bookmarkStart w:id="28" w:name="_Toc28111"/>
      <w:r>
        <w:rPr>
          <w:color w:val="auto"/>
          <w:spacing w:val="-3"/>
          <w:sz w:val="21"/>
          <w:szCs w:val="21"/>
          <w:highlight w:val="none"/>
          <w14:textOutline w14:w="3810" w14:cap="flat" w14:cmpd="sng">
            <w14:solidFill>
              <w14:srgbClr w14:val="000000"/>
            </w14:solidFill>
            <w14:prstDash w14:val="solid"/>
            <w14:miter w14:val="0"/>
          </w14:textOutline>
        </w:rPr>
        <w:t>3.2</w:t>
      </w:r>
      <w:r>
        <w:rPr>
          <w:color w:val="auto"/>
          <w:spacing w:val="11"/>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投标报价</w:t>
      </w:r>
      <w:bookmarkEnd w:id="28"/>
    </w:p>
    <w:p w14:paraId="033D07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 xml:space="preserve">3.2.1 </w:t>
      </w:r>
      <w:r>
        <w:rPr>
          <w:rFonts w:hint="eastAsia"/>
          <w:color w:val="auto"/>
          <w:spacing w:val="-1"/>
          <w:sz w:val="21"/>
          <w:szCs w:val="21"/>
          <w:highlight w:val="none"/>
        </w:rPr>
        <w:t>投标报价应包括国家规定的增值税税金，除投标人须知前附表另有规定外，增值税税金按一般计税方法计算。投标人应按第</w:t>
      </w:r>
      <w:r>
        <w:rPr>
          <w:rFonts w:hint="eastAsia"/>
          <w:color w:val="auto"/>
          <w:spacing w:val="-1"/>
          <w:sz w:val="21"/>
          <w:szCs w:val="21"/>
          <w:highlight w:val="none"/>
          <w:lang w:val="en-US" w:eastAsia="zh-CN"/>
        </w:rPr>
        <w:t>六</w:t>
      </w:r>
      <w:r>
        <w:rPr>
          <w:rFonts w:hint="eastAsia"/>
          <w:color w:val="auto"/>
          <w:spacing w:val="-1"/>
          <w:sz w:val="21"/>
          <w:szCs w:val="21"/>
          <w:highlight w:val="none"/>
        </w:rPr>
        <w:t>章“投标文件格式”的要求在投标函中进行报价并填写监理报酬清单</w:t>
      </w:r>
      <w:r>
        <w:rPr>
          <w:rFonts w:hint="eastAsia"/>
          <w:color w:val="auto"/>
          <w:spacing w:val="-1"/>
          <w:sz w:val="21"/>
          <w:szCs w:val="21"/>
          <w:highlight w:val="none"/>
          <w:lang w:eastAsia="zh-CN"/>
        </w:rPr>
        <w:t>。</w:t>
      </w:r>
      <w:r>
        <w:rPr>
          <w:color w:val="auto"/>
          <w:spacing w:val="-1"/>
          <w:sz w:val="21"/>
          <w:szCs w:val="21"/>
          <w:highlight w:val="none"/>
        </w:rPr>
        <w:t>投标人的投标报价为监理服务期内所提供的全部服务所需要的费用。已综合包括了实施完成本项目全部监理工作所需的生活设施、劳务费、技术服务费、测量、交通、通讯、保险、税费和利润以及为完成本工程所提供的专用仪器、设备和设施等与监理业务有关的所有一切费用。投标人在报价时应考虑监理期间的物价上涨、政策性调整等风险因素。投标人应按第六章“投标文件格式”的要求在投标函中进行报价。</w:t>
      </w:r>
    </w:p>
    <w:p w14:paraId="489944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3.2.2 投标人应充分了解该项目的总体情况以及影响投标报价的其他因素。</w:t>
      </w:r>
    </w:p>
    <w:p w14:paraId="545646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3.2.3 本项目的报价方式见投标人须知前附表。投标人投标截止时间前修改投标函中的投标报价总额。此处修改须符合本章4.3款的有关要求。</w:t>
      </w:r>
    </w:p>
    <w:p w14:paraId="029E0F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3.2.4 招标人设有最高投标限价的， 投标人的投标报价不得超过最高投标限价， 最高投标限价在投标人须知前附表中载明。</w:t>
      </w:r>
    </w:p>
    <w:p w14:paraId="4CFDD0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3.2.5 投标报价的其他要求见投标人须知前附表。</w:t>
      </w:r>
    </w:p>
    <w:p w14:paraId="2B4B145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29" w:name="_Toc3061"/>
      <w:r>
        <w:rPr>
          <w:color w:val="auto"/>
          <w:sz w:val="21"/>
          <w:szCs w:val="21"/>
          <w:highlight w:val="none"/>
          <w14:textOutline w14:w="3810" w14:cap="flat" w14:cmpd="sng">
            <w14:solidFill>
              <w14:srgbClr w14:val="000000"/>
            </w14:solidFill>
            <w14:prstDash w14:val="solid"/>
            <w14:miter w14:val="0"/>
          </w14:textOutline>
        </w:rPr>
        <w:t>3.3</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投标有效期</w:t>
      </w:r>
      <w:bookmarkEnd w:id="29"/>
    </w:p>
    <w:p w14:paraId="64077C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3.3.1 除投标人须知前附表另有规定外，投标有效期为90日历天。</w:t>
      </w:r>
    </w:p>
    <w:p w14:paraId="4A741BD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3.3.2 在投标有效期内，投标人撤销投标文件的，应承担招标文件和法律规定的责任。</w:t>
      </w:r>
    </w:p>
    <w:p w14:paraId="5BB78F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3.3.3 出现特殊情况需要延长投标有效期的， 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05AB2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2"/>
        <w:rPr>
          <w:color w:val="auto"/>
          <w:sz w:val="21"/>
          <w:szCs w:val="21"/>
          <w:highlight w:val="none"/>
        </w:rPr>
      </w:pPr>
      <w:bookmarkStart w:id="30" w:name="_Toc18053"/>
      <w:r>
        <w:rPr>
          <w:color w:val="auto"/>
          <w:spacing w:val="-1"/>
          <w:sz w:val="21"/>
          <w:szCs w:val="21"/>
          <w:highlight w:val="none"/>
          <w14:textOutline w14:w="3810" w14:cap="flat" w14:cmpd="sng">
            <w14:solidFill>
              <w14:srgbClr w14:val="000000"/>
            </w14:solidFill>
            <w14:prstDash w14:val="solid"/>
            <w14:miter w14:val="0"/>
          </w14:textOutline>
        </w:rPr>
        <w:t>3.4</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投标保证金（如有）</w:t>
      </w:r>
      <w:bookmarkEnd w:id="30"/>
    </w:p>
    <w:p w14:paraId="067729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3.4.1 投标人在递交投标文件的同时，应按投标人须知前附表规定的金额、形式和第六章“投标文件格式”规定的投标保证金格式递交投标保证金，并作为其投标文件的组成部分。联合体投标的，其投标保证金由牵头人递交，并应符合投标人须知前附表的规定。</w:t>
      </w:r>
    </w:p>
    <w:p w14:paraId="3D07CA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投标人自行选择采取保函或转账的方式提交投标保证金。</w:t>
      </w:r>
    </w:p>
    <w:p w14:paraId="50DE56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1、投标人采用保函形式提交投标保证金的，保函提供方须符合《河南省工程保证制度实施办法（试行）》（豫建〔2018〕14 号）的规定，纳入河南省工程保证信息管理系统管理。投标人拟开具电子保函的，请按电子保函系统操作要求，自主选择保证人。电子保函的相关操作方法请查看新乡市公共资源交易中心网站“网上办事大厅——我是投标人”版块。</w:t>
      </w:r>
    </w:p>
    <w:p w14:paraId="620E11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2、投标人采用转账方式提交投标保证金的，投标人应于投标截止时间前（以到账时间为准），从其基本帐户一次性以转账或电汇形式按标段足额缴至下列帐户并进行绑定。</w:t>
      </w:r>
    </w:p>
    <w:p w14:paraId="07CCBA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3.4.2 投标人投标保证金交纳特别提示：</w:t>
      </w:r>
    </w:p>
    <w:p w14:paraId="1538B1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各投标人：</w:t>
      </w:r>
    </w:p>
    <w:p w14:paraId="5C6838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为使投标人在投标过程中，顺利完成投标保证金的交纳，特别提醒投标人注意以下事项：</w:t>
      </w:r>
    </w:p>
    <w:p w14:paraId="2FFBF5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①投标人交纳保证金的账户须为企业基本银行账户， 并和新乡市公共资源交易中心投标人会员库中填写的银行账户信息一致，且如投报多个标段的必须按标段分别交纳保证金。</w:t>
      </w:r>
    </w:p>
    <w:p w14:paraId="4BF92B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如存在实际转账账号与会员库中账号不一致的情况， 请修改会员库“基本信息”中“开户账号”为实际转账账号，修改完信息后提交审核，审核电话： 0373-3687650</w:t>
      </w:r>
    </w:p>
    <w:p w14:paraId="36A623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②投标人须从本单位开户行用转账或电汇的方式将保证金交到下列账户。</w:t>
      </w:r>
    </w:p>
    <w:p w14:paraId="39DABA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投标保证金交纳银行信息：</w:t>
      </w:r>
    </w:p>
    <w:p w14:paraId="66F2E8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收款单位： 新乡市公共资源交易中心</w:t>
      </w:r>
    </w:p>
    <w:p w14:paraId="30137D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开 户 行：见投标人须知前附表</w:t>
      </w:r>
    </w:p>
    <w:p w14:paraId="0C0FE7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帐 号：见投标人须知前附表</w:t>
      </w:r>
    </w:p>
    <w:p w14:paraId="466832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③保证金交纳步骤：</w:t>
      </w:r>
    </w:p>
    <w:p w14:paraId="245C45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当把保证金（注：投标人必须单笔足额缴纳保证金）转入系统获取的保证金虚拟子账号之后，</w:t>
      </w:r>
    </w:p>
    <w:p w14:paraId="5DB733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到系统中点击“业务查询—查看保证金”，点击“单笔查询”查看金额是否到账，如下图：</w:t>
      </w:r>
    </w:p>
    <w:p w14:paraId="33866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highlight w:val="none"/>
        </w:rPr>
      </w:pPr>
      <w:r>
        <w:rPr>
          <w:color w:val="auto"/>
          <w:position w:val="-54"/>
          <w:highlight w:val="none"/>
        </w:rPr>
        <w:drawing>
          <wp:inline distT="0" distB="0" distL="0" distR="0">
            <wp:extent cx="5400675" cy="1733550"/>
            <wp:effectExtent l="0" t="0" r="952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5400675" cy="1733550"/>
                    </a:xfrm>
                    <a:prstGeom prst="rect">
                      <a:avLst/>
                    </a:prstGeom>
                  </pic:spPr>
                </pic:pic>
              </a:graphicData>
            </a:graphic>
          </wp:inline>
        </w:drawing>
      </w:r>
    </w:p>
    <w:p w14:paraId="6AB7A3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r>
        <w:rPr>
          <w:color w:val="auto"/>
          <w:position w:val="14"/>
          <w:sz w:val="21"/>
          <w:szCs w:val="21"/>
          <w:highlight w:val="none"/>
        </w:rPr>
        <w:t>当保证金状态显示为已缴纳，点击“单笔查询”进入界面，点击“打印保证金回执单”</w:t>
      </w:r>
      <w:r>
        <w:rPr>
          <w:color w:val="auto"/>
          <w:spacing w:val="-1"/>
          <w:position w:val="14"/>
          <w:sz w:val="21"/>
          <w:szCs w:val="21"/>
          <w:highlight w:val="none"/>
        </w:rPr>
        <w:t>。如下</w:t>
      </w:r>
    </w:p>
    <w:p w14:paraId="1EA05E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40" w:firstLineChars="200"/>
        <w:textAlignment w:val="baseline"/>
        <w:rPr>
          <w:color w:val="auto"/>
          <w:sz w:val="21"/>
          <w:szCs w:val="21"/>
          <w:highlight w:val="none"/>
        </w:rPr>
      </w:pPr>
      <w:r>
        <w:rPr>
          <w:color w:val="auto"/>
          <w:spacing w:val="-20"/>
          <w:sz w:val="21"/>
          <w:szCs w:val="21"/>
          <w:highlight w:val="none"/>
        </w:rPr>
        <w:t>图：</w:t>
      </w:r>
    </w:p>
    <w:p w14:paraId="678612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highlight w:val="none"/>
        </w:rPr>
      </w:pPr>
      <w:r>
        <w:rPr>
          <w:color w:val="auto"/>
          <w:position w:val="-40"/>
          <w:highlight w:val="none"/>
        </w:rPr>
        <w:drawing>
          <wp:inline distT="0" distB="0" distL="0" distR="0">
            <wp:extent cx="5391150" cy="12954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
                    <a:stretch>
                      <a:fillRect/>
                    </a:stretch>
                  </pic:blipFill>
                  <pic:spPr>
                    <a:xfrm>
                      <a:off x="0" y="0"/>
                      <a:ext cx="5391150" cy="1295400"/>
                    </a:xfrm>
                    <a:prstGeom prst="rect">
                      <a:avLst/>
                    </a:prstGeom>
                  </pic:spPr>
                </pic:pic>
              </a:graphicData>
            </a:graphic>
          </wp:inline>
        </w:drawing>
      </w:r>
    </w:p>
    <w:p w14:paraId="707C0C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highlight w:val="none"/>
        </w:rPr>
      </w:pPr>
      <w:r>
        <w:rPr>
          <w:color w:val="auto"/>
          <w:position w:val="-79"/>
          <w:highlight w:val="none"/>
        </w:rPr>
        <w:drawing>
          <wp:inline distT="0" distB="0" distL="0" distR="0">
            <wp:extent cx="5486400" cy="25146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8"/>
                    <a:stretch>
                      <a:fillRect/>
                    </a:stretch>
                  </pic:blipFill>
                  <pic:spPr>
                    <a:xfrm>
                      <a:off x="0" y="0"/>
                      <a:ext cx="5486400" cy="2514600"/>
                    </a:xfrm>
                    <a:prstGeom prst="rect">
                      <a:avLst/>
                    </a:prstGeom>
                  </pic:spPr>
                </pic:pic>
              </a:graphicData>
            </a:graphic>
          </wp:inline>
        </w:drawing>
      </w:r>
    </w:p>
    <w:p w14:paraId="4B2829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点击打印，打印出回执单。</w:t>
      </w:r>
    </w:p>
    <w:p w14:paraId="42F477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3.4.3 投标人不按本章第 3.4.1、3.4.2 项要求提交投标保证金的，其投标文件作否决处理。</w:t>
      </w:r>
    </w:p>
    <w:p w14:paraId="2291C3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3.4.4招标人与中标人签订合同后5 个工作日内，向中标人退还投标保证金。</w:t>
      </w:r>
    </w:p>
    <w:p w14:paraId="3AC564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3.4.5 有下列情形之一的，投标保证金将不予退还：</w:t>
      </w:r>
    </w:p>
    <w:p w14:paraId="483EDF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（1）投标人在规定的投标有效期内撤销或修改其投标文件；</w:t>
      </w:r>
    </w:p>
    <w:p w14:paraId="288CAB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（2）中标人在收到中标通知书后，无正当理由拒签合同协议书或未按招标文件规定提交履约担保。</w:t>
      </w:r>
    </w:p>
    <w:p w14:paraId="79C3EF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（3）发生投标人须知前附表规定的其他可以不予退还投标保证金的情形。</w:t>
      </w:r>
    </w:p>
    <w:p w14:paraId="34F1D3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2"/>
        <w:rPr>
          <w:color w:val="auto"/>
          <w:sz w:val="21"/>
          <w:szCs w:val="21"/>
          <w:highlight w:val="none"/>
        </w:rPr>
      </w:pPr>
      <w:bookmarkStart w:id="31" w:name="_Toc5121"/>
      <w:r>
        <w:rPr>
          <w:color w:val="auto"/>
          <w:spacing w:val="-2"/>
          <w:sz w:val="21"/>
          <w:szCs w:val="21"/>
          <w:highlight w:val="none"/>
          <w14:textOutline w14:w="3810" w14:cap="flat" w14:cmpd="sng">
            <w14:solidFill>
              <w14:srgbClr w14:val="000000"/>
            </w14:solidFill>
            <w14:prstDash w14:val="solid"/>
            <w14:miter w14:val="0"/>
          </w14:textOutline>
        </w:rPr>
        <w:t>3.5</w:t>
      </w:r>
      <w:r>
        <w:rPr>
          <w:color w:val="auto"/>
          <w:spacing w:val="21"/>
          <w:sz w:val="21"/>
          <w:szCs w:val="21"/>
          <w:highlight w:val="none"/>
        </w:rPr>
        <w:t xml:space="preserve"> </w:t>
      </w:r>
      <w:r>
        <w:rPr>
          <w:color w:val="auto"/>
          <w:spacing w:val="-2"/>
          <w:sz w:val="21"/>
          <w:szCs w:val="21"/>
          <w:highlight w:val="none"/>
          <w14:textOutline w14:w="3810" w14:cap="flat" w14:cmpd="sng">
            <w14:solidFill>
              <w14:srgbClr w14:val="000000"/>
            </w14:solidFill>
            <w14:prstDash w14:val="solid"/>
            <w14:miter w14:val="0"/>
          </w14:textOutline>
        </w:rPr>
        <w:t>资格审查资料</w:t>
      </w:r>
      <w:bookmarkEnd w:id="31"/>
    </w:p>
    <w:p w14:paraId="58C637F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rFonts w:hint="eastAsia"/>
          <w:color w:val="auto"/>
          <w:spacing w:val="-1"/>
          <w:sz w:val="21"/>
          <w:szCs w:val="21"/>
          <w:highlight w:val="none"/>
          <w:lang w:val="en-US" w:eastAsia="zh-CN"/>
        </w:rPr>
        <w:t>详见本项目评分办法；</w:t>
      </w:r>
      <w:r>
        <w:rPr>
          <w:color w:val="auto"/>
          <w:spacing w:val="-1"/>
          <w:sz w:val="21"/>
          <w:szCs w:val="21"/>
          <w:highlight w:val="none"/>
        </w:rPr>
        <w:t>除投标人须知前附表另有规定外，投标人应按下列规定提供资格审查资料，以证明其满足本章第1.4款规定的资质、财务、信誉等要求。</w:t>
      </w:r>
    </w:p>
    <w:p w14:paraId="13069C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3.5.1 “投标人基本情况表”应附投标人营业执照和组织机构代码证（按照“三证合一”或“五证合一”登记制度进行登记的，可仅提供营业执照）、投标人监理资质证书副本等材料。</w:t>
      </w:r>
    </w:p>
    <w:p w14:paraId="31578A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3.5.2 “近年财务状况表”应附经会计师事务所或审计机构审计的审计报告， 包括资产负债表、 现金流量表、利润表，具体年份要求见投标人须知前附表。投标人的成立时间少于投标人须知前附表规定年份的，应提供成立以来的财务状况表。</w:t>
      </w:r>
    </w:p>
    <w:p w14:paraId="66C5C3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z w:val="21"/>
          <w:szCs w:val="21"/>
          <w:highlight w:val="none"/>
          <w14:textOutline w14:w="3810" w14:cap="flat" w14:cmpd="sng">
            <w14:solidFill>
              <w14:srgbClr w14:val="000000"/>
            </w14:solidFill>
            <w14:prstDash w14:val="solid"/>
            <w14:miter w14:val="0"/>
          </w14:textOutline>
        </w:rPr>
      </w:pPr>
      <w:bookmarkStart w:id="32" w:name="_Toc16247"/>
      <w:r>
        <w:rPr>
          <w:color w:val="auto"/>
          <w:sz w:val="21"/>
          <w:szCs w:val="21"/>
          <w:highlight w:val="none"/>
          <w14:textOutline w14:w="3810" w14:cap="flat" w14:cmpd="sng">
            <w14:solidFill>
              <w14:srgbClr w14:val="000000"/>
            </w14:solidFill>
            <w14:prstDash w14:val="solid"/>
            <w14:miter w14:val="0"/>
          </w14:textOutline>
        </w:rPr>
        <w:t>3.6</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备选投标方案</w:t>
      </w:r>
      <w:bookmarkEnd w:id="32"/>
    </w:p>
    <w:p w14:paraId="2DBB87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除投标人须知前附表另有规定外，投标人不得递交备选投标方案。允许投标人递交备选投标方 案的，只有中标人所递交的备选投标方案方可予以考虑。评标委员会认为中标人的备选投标方案优于其按照招标文件要求编制的投标方案的，招标人可以接受该备选投标方案。</w:t>
      </w:r>
    </w:p>
    <w:p w14:paraId="11FBBE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3.7</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投标文件的编制（本项目招标采用电子标，如有不一致以投</w:t>
      </w:r>
      <w:r>
        <w:rPr>
          <w:color w:val="auto"/>
          <w:sz w:val="21"/>
          <w:szCs w:val="21"/>
          <w:highlight w:val="none"/>
          <w14:textOutline w14:w="3810" w14:cap="flat" w14:cmpd="sng">
            <w14:solidFill>
              <w14:srgbClr w14:val="000000"/>
            </w14:solidFill>
            <w14:prstDash w14:val="solid"/>
            <w14:miter w14:val="0"/>
          </w14:textOutline>
        </w:rPr>
        <w:t>标人须知前附表为准）</w:t>
      </w:r>
    </w:p>
    <w:p w14:paraId="4EEFBD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3.7.1 投标文件应按第六章“投标文件格式 ”进行编写，如有必要， 可以增加附页，作为投标文 件的组成部分。其中，投标函附录在满足招标文件实质性要求的基础上，可以提出比招标文件要求更有利于招标人的承诺。</w:t>
      </w:r>
    </w:p>
    <w:p w14:paraId="3E951E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3.7.2 投标文件应当对招标文件有关监理服务期限、投标有效期、招标范围等实质性内容作出响应。</w:t>
      </w:r>
    </w:p>
    <w:p w14:paraId="1A53CA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3.7.3签字或盖章要求：见投标人须知前附表。</w:t>
      </w:r>
    </w:p>
    <w:p w14:paraId="72A476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outlineLvl w:val="1"/>
        <w:rPr>
          <w:color w:val="auto"/>
          <w:sz w:val="21"/>
          <w:szCs w:val="21"/>
          <w:highlight w:val="none"/>
        </w:rPr>
      </w:pPr>
      <w:bookmarkStart w:id="33" w:name="_Toc7940"/>
      <w:r>
        <w:rPr>
          <w:color w:val="auto"/>
          <w:spacing w:val="-4"/>
          <w:sz w:val="21"/>
          <w:szCs w:val="21"/>
          <w:highlight w:val="none"/>
          <w14:textOutline w14:w="3810" w14:cap="flat" w14:cmpd="sng">
            <w14:solidFill>
              <w14:srgbClr w14:val="000000"/>
            </w14:solidFill>
            <w14:prstDash w14:val="solid"/>
            <w14:miter w14:val="0"/>
          </w14:textOutline>
        </w:rPr>
        <w:t>4.</w:t>
      </w:r>
      <w:r>
        <w:rPr>
          <w:color w:val="auto"/>
          <w:spacing w:val="13"/>
          <w:sz w:val="21"/>
          <w:szCs w:val="21"/>
          <w:highlight w:val="none"/>
        </w:rPr>
        <w:t xml:space="preserve"> </w:t>
      </w:r>
      <w:r>
        <w:rPr>
          <w:color w:val="auto"/>
          <w:spacing w:val="-4"/>
          <w:sz w:val="21"/>
          <w:szCs w:val="21"/>
          <w:highlight w:val="none"/>
          <w14:textOutline w14:w="3810" w14:cap="flat" w14:cmpd="sng">
            <w14:solidFill>
              <w14:srgbClr w14:val="000000"/>
            </w14:solidFill>
            <w14:prstDash w14:val="solid"/>
            <w14:miter w14:val="0"/>
          </w14:textOutline>
        </w:rPr>
        <w:t>投标</w:t>
      </w:r>
      <w:bookmarkEnd w:id="33"/>
    </w:p>
    <w:p w14:paraId="3BC472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34" w:name="_Toc16773"/>
      <w:r>
        <w:rPr>
          <w:color w:val="auto"/>
          <w:sz w:val="21"/>
          <w:szCs w:val="21"/>
          <w:highlight w:val="none"/>
          <w14:textOutline w14:w="3810" w14:cap="flat" w14:cmpd="sng">
            <w14:solidFill>
              <w14:srgbClr w14:val="000000"/>
            </w14:solidFill>
            <w14:prstDash w14:val="solid"/>
            <w14:miter w14:val="0"/>
          </w14:textOutline>
        </w:rPr>
        <w:t>4.1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投标文件的密封和标记</w:t>
      </w:r>
      <w:bookmarkEnd w:id="34"/>
    </w:p>
    <w:p w14:paraId="21CCF7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4.1.1 网上上传的电子投标文件应使用数字证书认证并加密。</w:t>
      </w:r>
    </w:p>
    <w:p w14:paraId="26EF57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4.1.3 未按本章第4.1.1项要求的投标文件，招标人不予接受。</w:t>
      </w:r>
    </w:p>
    <w:p w14:paraId="4C906F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35" w:name="_Toc8630"/>
      <w:r>
        <w:rPr>
          <w:color w:val="auto"/>
          <w:sz w:val="21"/>
          <w:szCs w:val="21"/>
          <w:highlight w:val="none"/>
          <w14:textOutline w14:w="3810" w14:cap="flat" w14:cmpd="sng">
            <w14:solidFill>
              <w14:srgbClr w14:val="000000"/>
            </w14:solidFill>
            <w14:prstDash w14:val="solid"/>
            <w14:miter w14:val="0"/>
          </w14:textOutline>
        </w:rPr>
        <w:t>4.2</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投标文件的递交</w:t>
      </w:r>
      <w:bookmarkEnd w:id="35"/>
    </w:p>
    <w:p w14:paraId="751A20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4.2.1投标人应在本章第4.2.3项规定的投标截止时间前完成投标文件的递交。</w:t>
      </w:r>
    </w:p>
    <w:p w14:paraId="327882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4.2.2 网上投标上传的电子投标文件应使用CA数字证书认证并加密， 未按要求加密和CA数字证书认证的投标文件，将被视为无效投标文件，其投标文件将被拒绝，招标人不予受理。</w:t>
      </w:r>
    </w:p>
    <w:p w14:paraId="04C63B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4.2.3 投标文件递交的截止时间：见投标人须知前附表。</w:t>
      </w:r>
    </w:p>
    <w:p w14:paraId="0D20F8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4.2.4 除投标人须知前附表另有规定外，投标人所递交的投标文件不予退还。</w:t>
      </w:r>
    </w:p>
    <w:p w14:paraId="653DAC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36" w:name="_Toc18549"/>
      <w:r>
        <w:rPr>
          <w:color w:val="auto"/>
          <w:sz w:val="21"/>
          <w:szCs w:val="21"/>
          <w:highlight w:val="none"/>
          <w14:textOutline w14:w="3810" w14:cap="flat" w14:cmpd="sng">
            <w14:solidFill>
              <w14:srgbClr w14:val="000000"/>
            </w14:solidFill>
            <w14:prstDash w14:val="solid"/>
            <w14:miter w14:val="0"/>
          </w14:textOutline>
        </w:rPr>
        <w:t>4.3</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投标文件的修改与撤回</w:t>
      </w:r>
      <w:bookmarkEnd w:id="36"/>
    </w:p>
    <w:p w14:paraId="5D0864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4.3.1 在投标人须知前附表规定的投标截止时间前，投标人可以修改或撤回已递交的投标文件， 最终投标文件以投标截止时间前完成上传至新乡市公共资源交易中心电子交易系统最后一份投标文件为准。</w:t>
      </w:r>
    </w:p>
    <w:p w14:paraId="3D5B44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4.3.2投标截止时间之后，在投标有效期内，投标人不得撤回投标文件，否则投标保证金将不予退回。</w:t>
      </w:r>
    </w:p>
    <w:p w14:paraId="792183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1"/>
        <w:rPr>
          <w:color w:val="auto"/>
          <w:sz w:val="21"/>
          <w:szCs w:val="21"/>
          <w:highlight w:val="none"/>
        </w:rPr>
      </w:pPr>
      <w:bookmarkStart w:id="37" w:name="_Toc25333"/>
      <w:r>
        <w:rPr>
          <w:color w:val="auto"/>
          <w:spacing w:val="-5"/>
          <w:sz w:val="21"/>
          <w:szCs w:val="21"/>
          <w:highlight w:val="none"/>
          <w14:textOutline w14:w="3810" w14:cap="flat" w14:cmpd="sng">
            <w14:solidFill>
              <w14:srgbClr w14:val="000000"/>
            </w14:solidFill>
            <w14:prstDash w14:val="solid"/>
            <w14:miter w14:val="0"/>
          </w14:textOutline>
        </w:rPr>
        <w:t>5.</w:t>
      </w:r>
      <w:r>
        <w:rPr>
          <w:color w:val="auto"/>
          <w:spacing w:val="11"/>
          <w:sz w:val="21"/>
          <w:szCs w:val="21"/>
          <w:highlight w:val="none"/>
        </w:rPr>
        <w:t xml:space="preserve"> </w:t>
      </w:r>
      <w:r>
        <w:rPr>
          <w:color w:val="auto"/>
          <w:spacing w:val="-5"/>
          <w:sz w:val="21"/>
          <w:szCs w:val="21"/>
          <w:highlight w:val="none"/>
          <w14:textOutline w14:w="3810" w14:cap="flat" w14:cmpd="sng">
            <w14:solidFill>
              <w14:srgbClr w14:val="000000"/>
            </w14:solidFill>
            <w14:prstDash w14:val="solid"/>
            <w14:miter w14:val="0"/>
          </w14:textOutline>
        </w:rPr>
        <w:t>开标</w:t>
      </w:r>
      <w:bookmarkEnd w:id="37"/>
    </w:p>
    <w:p w14:paraId="5F5B56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38" w:name="_Toc31026"/>
      <w:r>
        <w:rPr>
          <w:color w:val="auto"/>
          <w:sz w:val="21"/>
          <w:szCs w:val="21"/>
          <w:highlight w:val="none"/>
          <w14:textOutline w14:w="3810" w14:cap="flat" w14:cmpd="sng">
            <w14:solidFill>
              <w14:srgbClr w14:val="000000"/>
            </w14:solidFill>
            <w14:prstDash w14:val="solid"/>
            <w14:miter w14:val="0"/>
          </w14:textOutline>
        </w:rPr>
        <w:t>5.1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开标时间和地点</w:t>
      </w:r>
      <w:bookmarkEnd w:id="38"/>
    </w:p>
    <w:p w14:paraId="36B4FA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5.1.1 招标人在本章第 4.2.3项规定的投标截止时间（开标时间）和投标人须知前附表规定的地点开标。投标人应当在投标截止时间前，登录远程开标大厅，在线准时参加开标活动，并在规定时间内进行投标文件解密、答疑澄清等。</w:t>
      </w:r>
    </w:p>
    <w:p w14:paraId="5BF251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5.1.2 投标人须按投标人须知前附表规定完成解密。</w:t>
      </w:r>
    </w:p>
    <w:p w14:paraId="525214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2"/>
        <w:rPr>
          <w:color w:val="auto"/>
          <w:sz w:val="21"/>
          <w:szCs w:val="21"/>
          <w:highlight w:val="none"/>
        </w:rPr>
      </w:pPr>
      <w:bookmarkStart w:id="39" w:name="_Toc3955"/>
      <w:r>
        <w:rPr>
          <w:color w:val="auto"/>
          <w:spacing w:val="-2"/>
          <w:sz w:val="21"/>
          <w:szCs w:val="21"/>
          <w:highlight w:val="none"/>
          <w14:textOutline w14:w="3810" w14:cap="flat" w14:cmpd="sng">
            <w14:solidFill>
              <w14:srgbClr w14:val="000000"/>
            </w14:solidFill>
            <w14:prstDash w14:val="solid"/>
            <w14:miter w14:val="0"/>
          </w14:textOutline>
        </w:rPr>
        <w:t>5.2</w:t>
      </w:r>
      <w:r>
        <w:rPr>
          <w:color w:val="auto"/>
          <w:spacing w:val="-2"/>
          <w:sz w:val="21"/>
          <w:szCs w:val="21"/>
          <w:highlight w:val="none"/>
        </w:rPr>
        <w:t xml:space="preserve"> </w:t>
      </w:r>
      <w:r>
        <w:rPr>
          <w:color w:val="auto"/>
          <w:spacing w:val="-2"/>
          <w:sz w:val="21"/>
          <w:szCs w:val="21"/>
          <w:highlight w:val="none"/>
          <w14:textOutline w14:w="3810" w14:cap="flat" w14:cmpd="sng">
            <w14:solidFill>
              <w14:srgbClr w14:val="000000"/>
            </w14:solidFill>
            <w14:prstDash w14:val="solid"/>
            <w14:miter w14:val="0"/>
          </w14:textOutline>
        </w:rPr>
        <w:t>开标程序</w:t>
      </w:r>
      <w:bookmarkEnd w:id="39"/>
    </w:p>
    <w:p w14:paraId="0FB430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招标人将按投标人须知前附表的时间和地点举行开标会议，招标人代表及有关工作人员参加。各潜在投标人因加密电子投标文件未能成功上传，其投标将被拒绝。</w:t>
      </w:r>
    </w:p>
    <w:p w14:paraId="5EE5C2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5.2.1按下列程序进行开标：</w:t>
      </w:r>
    </w:p>
    <w:p w14:paraId="3BDD15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（1）宣布开标纪律。</w:t>
      </w:r>
    </w:p>
    <w:p w14:paraId="418FCB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（2）电子投标文件解密；各投标人解密电子投标文件。开标主要内容线上和开标室大屏幕同步显示，计算机自动语音电声唱标。</w:t>
      </w:r>
    </w:p>
    <w:p w14:paraId="0311AF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（3）招标人代表、监标人等有关人员在开标记录上签字确认。</w:t>
      </w:r>
    </w:p>
    <w:p w14:paraId="5DD747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（4）开标结束。</w:t>
      </w:r>
    </w:p>
    <w:p w14:paraId="552DB9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outlineLvl w:val="2"/>
        <w:rPr>
          <w:color w:val="auto"/>
          <w:sz w:val="21"/>
          <w:szCs w:val="21"/>
          <w:highlight w:val="none"/>
        </w:rPr>
      </w:pPr>
      <w:bookmarkStart w:id="40" w:name="_Toc25394"/>
      <w:r>
        <w:rPr>
          <w:color w:val="auto"/>
          <w:spacing w:val="1"/>
          <w:sz w:val="21"/>
          <w:szCs w:val="21"/>
          <w:highlight w:val="none"/>
          <w14:textOutline w14:w="3810" w14:cap="flat" w14:cmpd="sng">
            <w14:solidFill>
              <w14:srgbClr w14:val="000000"/>
            </w14:solidFill>
            <w14:prstDash w14:val="solid"/>
            <w14:miter w14:val="0"/>
          </w14:textOutline>
        </w:rPr>
        <w:t>5.3</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开标时出现下列情况的，招标人将拒绝其投标</w:t>
      </w:r>
      <w:r>
        <w:rPr>
          <w:color w:val="auto"/>
          <w:sz w:val="21"/>
          <w:szCs w:val="21"/>
          <w:highlight w:val="none"/>
          <w14:textOutline w14:w="3810" w14:cap="flat" w14:cmpd="sng">
            <w14:solidFill>
              <w14:srgbClr w14:val="000000"/>
            </w14:solidFill>
            <w14:prstDash w14:val="solid"/>
            <w14:miter w14:val="0"/>
          </w14:textOutline>
        </w:rPr>
        <w:t>文件。</w:t>
      </w:r>
      <w:bookmarkEnd w:id="40"/>
    </w:p>
    <w:p w14:paraId="426C37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（1）经检查数字证书无效的投标文件；</w:t>
      </w:r>
    </w:p>
    <w:p w14:paraId="5EC778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color w:val="auto"/>
          <w:sz w:val="21"/>
          <w:szCs w:val="21"/>
          <w:highlight w:val="none"/>
        </w:rPr>
      </w:pPr>
      <w:r>
        <w:rPr>
          <w:color w:val="auto"/>
          <w:spacing w:val="-2"/>
          <w:sz w:val="21"/>
          <w:szCs w:val="21"/>
          <w:highlight w:val="none"/>
        </w:rPr>
        <w:t>（2）投标人未按投标人须知表 5.1 项规定完成投标文件解密的；</w:t>
      </w:r>
    </w:p>
    <w:p w14:paraId="08CAB6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outlineLvl w:val="1"/>
        <w:rPr>
          <w:color w:val="auto"/>
          <w:sz w:val="21"/>
          <w:szCs w:val="21"/>
          <w:highlight w:val="none"/>
        </w:rPr>
      </w:pPr>
      <w:bookmarkStart w:id="41" w:name="_Toc29"/>
      <w:r>
        <w:rPr>
          <w:color w:val="auto"/>
          <w:spacing w:val="-4"/>
          <w:sz w:val="21"/>
          <w:szCs w:val="21"/>
          <w:highlight w:val="none"/>
          <w14:textOutline w14:w="3810" w14:cap="flat" w14:cmpd="sng">
            <w14:solidFill>
              <w14:srgbClr w14:val="000000"/>
            </w14:solidFill>
            <w14:prstDash w14:val="solid"/>
            <w14:miter w14:val="0"/>
          </w14:textOutline>
        </w:rPr>
        <w:t>6.</w:t>
      </w:r>
      <w:r>
        <w:rPr>
          <w:color w:val="auto"/>
          <w:spacing w:val="8"/>
          <w:sz w:val="21"/>
          <w:szCs w:val="21"/>
          <w:highlight w:val="none"/>
        </w:rPr>
        <w:t xml:space="preserve"> </w:t>
      </w:r>
      <w:r>
        <w:rPr>
          <w:color w:val="auto"/>
          <w:spacing w:val="-4"/>
          <w:sz w:val="21"/>
          <w:szCs w:val="21"/>
          <w:highlight w:val="none"/>
          <w14:textOutline w14:w="3810" w14:cap="flat" w14:cmpd="sng">
            <w14:solidFill>
              <w14:srgbClr w14:val="000000"/>
            </w14:solidFill>
            <w14:prstDash w14:val="solid"/>
            <w14:miter w14:val="0"/>
          </w14:textOutline>
        </w:rPr>
        <w:t>评标</w:t>
      </w:r>
      <w:bookmarkEnd w:id="41"/>
    </w:p>
    <w:p w14:paraId="40DE8B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42" w:name="_Toc3544"/>
      <w:r>
        <w:rPr>
          <w:color w:val="auto"/>
          <w:sz w:val="21"/>
          <w:szCs w:val="21"/>
          <w:highlight w:val="none"/>
          <w14:textOutline w14:w="3810" w14:cap="flat" w14:cmpd="sng">
            <w14:solidFill>
              <w14:srgbClr w14:val="000000"/>
            </w14:solidFill>
            <w14:prstDash w14:val="solid"/>
            <w14:miter w14:val="0"/>
          </w14:textOutline>
        </w:rPr>
        <w:t>6.1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评标委员会</w:t>
      </w:r>
      <w:bookmarkEnd w:id="42"/>
    </w:p>
    <w:p w14:paraId="7119B2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6.1.1 评标由招标人依法组建的评标委员会负责。评标委员会由招标人代表及有关技术、经济等方面的专家组成。评标委员会成员人数以及技术、经济等方面专家的确定方式见投标人须知前附表。</w:t>
      </w:r>
    </w:p>
    <w:p w14:paraId="1F4780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6.1.2 评标委员会成员有下列情形之一的，应当回避：</w:t>
      </w:r>
    </w:p>
    <w:p w14:paraId="2EA33E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（1）投标人或投标人主要负责人的近亲属；</w:t>
      </w:r>
    </w:p>
    <w:p w14:paraId="4B27E9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（2）项目主管部门或者行政监督部门的人员；</w:t>
      </w:r>
    </w:p>
    <w:p w14:paraId="56ABF3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（3）与投标人有经济利益关系，可能影响对投标公正评审的；</w:t>
      </w:r>
    </w:p>
    <w:p w14:paraId="27A3BC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（4）曾因在招标、评标以及其他与招标投标有关活动中从事违法行为而受过行政处罚或刑事处罚的；</w:t>
      </w:r>
    </w:p>
    <w:p w14:paraId="1942E8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（5）与投标人有其他利害关系。</w:t>
      </w:r>
    </w:p>
    <w:p w14:paraId="47F260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6.1.3 评标过程中，评标委员会成员有回避事由、擅离职守或者因健康等原因不能继续评标的， 招标人有权更换。被更换的评标委员会成员作出的评审结论无效，由更换后的评标委员会成员重新进行评审。</w:t>
      </w:r>
    </w:p>
    <w:p w14:paraId="074025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2"/>
        <w:rPr>
          <w:color w:val="auto"/>
          <w:sz w:val="21"/>
          <w:szCs w:val="21"/>
          <w:highlight w:val="none"/>
        </w:rPr>
      </w:pPr>
      <w:bookmarkStart w:id="43" w:name="_Toc28768"/>
      <w:r>
        <w:rPr>
          <w:color w:val="auto"/>
          <w:spacing w:val="-1"/>
          <w:sz w:val="21"/>
          <w:szCs w:val="21"/>
          <w:highlight w:val="none"/>
          <w14:textOutline w14:w="3810" w14:cap="flat" w14:cmpd="sng">
            <w14:solidFill>
              <w14:srgbClr w14:val="000000"/>
            </w14:solidFill>
            <w14:prstDash w14:val="solid"/>
            <w14:miter w14:val="0"/>
          </w14:textOutline>
        </w:rPr>
        <w:t>6.2</w:t>
      </w:r>
      <w:r>
        <w:rPr>
          <w:color w:val="auto"/>
          <w:spacing w:val="-1"/>
          <w:sz w:val="21"/>
          <w:szCs w:val="21"/>
          <w:highlight w:val="none"/>
        </w:rPr>
        <w:t xml:space="preserve"> </w:t>
      </w:r>
      <w:r>
        <w:rPr>
          <w:color w:val="auto"/>
          <w:spacing w:val="-1"/>
          <w:sz w:val="21"/>
          <w:szCs w:val="21"/>
          <w:highlight w:val="none"/>
          <w14:textOutline w14:w="3810" w14:cap="flat" w14:cmpd="sng">
            <w14:solidFill>
              <w14:srgbClr w14:val="000000"/>
            </w14:solidFill>
            <w14:prstDash w14:val="solid"/>
            <w14:miter w14:val="0"/>
          </w14:textOutline>
        </w:rPr>
        <w:t>评标原则</w:t>
      </w:r>
      <w:bookmarkEnd w:id="43"/>
    </w:p>
    <w:p w14:paraId="73403EF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color w:val="auto"/>
          <w:sz w:val="21"/>
          <w:szCs w:val="21"/>
          <w:highlight w:val="none"/>
        </w:rPr>
      </w:pPr>
      <w:r>
        <w:rPr>
          <w:color w:val="auto"/>
          <w:spacing w:val="-2"/>
          <w:sz w:val="21"/>
          <w:szCs w:val="21"/>
          <w:highlight w:val="none"/>
        </w:rPr>
        <w:t>评标活动遵循公平、公正、科学和择优的原则。</w:t>
      </w:r>
    </w:p>
    <w:p w14:paraId="2690B9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color w:val="auto"/>
          <w:sz w:val="21"/>
          <w:szCs w:val="21"/>
          <w:highlight w:val="none"/>
        </w:rPr>
      </w:pPr>
      <w:bookmarkStart w:id="44" w:name="_Toc14858"/>
      <w:r>
        <w:rPr>
          <w:color w:val="auto"/>
          <w:spacing w:val="-3"/>
          <w:sz w:val="21"/>
          <w:szCs w:val="21"/>
          <w:highlight w:val="none"/>
          <w14:textOutline w14:w="3810" w14:cap="flat" w14:cmpd="sng">
            <w14:solidFill>
              <w14:srgbClr w14:val="000000"/>
            </w14:solidFill>
            <w14:prstDash w14:val="solid"/>
            <w14:miter w14:val="0"/>
          </w14:textOutline>
        </w:rPr>
        <w:t>6.3</w:t>
      </w:r>
      <w:r>
        <w:rPr>
          <w:color w:val="auto"/>
          <w:spacing w:val="8"/>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评标</w:t>
      </w:r>
      <w:bookmarkEnd w:id="44"/>
    </w:p>
    <w:p w14:paraId="0A89C8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6.3.1 评标委员会按照第三章“评标办法”规定的方法、评审因素、标准和程序对投标文件进行评审。 第三章“评标办法”没有规定的方法、评审因素和标准， 不作为评标依据。</w:t>
      </w:r>
    </w:p>
    <w:p w14:paraId="5BD6C0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6.3.2 评标完成后，评标委员会应当向招标人提交书面评标报告和中标候选人名单。评标委员会推荐中标候选人的人数见投标人须知前附表。</w:t>
      </w:r>
    </w:p>
    <w:p w14:paraId="20C8DA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outlineLvl w:val="1"/>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pPr>
      <w:bookmarkStart w:id="45" w:name="_Toc3065"/>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7. 合同授予</w:t>
      </w:r>
      <w:bookmarkEnd w:id="45"/>
    </w:p>
    <w:p w14:paraId="12DED4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t>7.1中标候选人公示</w:t>
      </w:r>
    </w:p>
    <w:p w14:paraId="1C771E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招标人在收到评标报告之日起3日内，按照投标人须知前附表规定的公示媒介和期限公示中标候选人，公示期不得少于3日，公示内容包括：</w:t>
      </w:r>
    </w:p>
    <w:p w14:paraId="13FF55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中标候选人名称、投标报价，对监理质量要求、安全目标和监理服务期限的响应情况；</w:t>
      </w:r>
    </w:p>
    <w:p w14:paraId="493562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（2）中标候选人在投标文件中承诺的总监理工程师姓名、相关证书名称和编号；</w:t>
      </w:r>
    </w:p>
    <w:p w14:paraId="76BAAC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（3）提出异议的渠道和方式；</w:t>
      </w:r>
    </w:p>
    <w:p w14:paraId="239876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（4）投标人须知前附表规定公示的其他内容。</w:t>
      </w:r>
    </w:p>
    <w:p w14:paraId="0B66C7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t>7.2评标结果异议</w:t>
      </w:r>
    </w:p>
    <w:p w14:paraId="329DA4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46356F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t>7.3中标候选人核查</w:t>
      </w:r>
    </w:p>
    <w:p w14:paraId="4704DC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招标人在收到评标报告3日内组建定标委员会，负责对中标候选人进行核查，定标委员会按照第</w:t>
      </w:r>
      <w:r>
        <w:rPr>
          <w:rFonts w:hint="eastAsia" w:cs="宋体"/>
          <w:color w:val="auto"/>
          <w:spacing w:val="-1"/>
          <w:sz w:val="21"/>
          <w:szCs w:val="21"/>
          <w:highlight w:val="none"/>
          <w:lang w:val="en-US" w:eastAsia="zh-CN"/>
        </w:rPr>
        <w:t>七</w:t>
      </w:r>
      <w:r>
        <w:rPr>
          <w:rFonts w:hint="eastAsia" w:ascii="宋体" w:hAnsi="宋体" w:eastAsia="宋体" w:cs="宋体"/>
          <w:color w:val="auto"/>
          <w:spacing w:val="-1"/>
          <w:sz w:val="21"/>
          <w:szCs w:val="21"/>
          <w:highlight w:val="none"/>
        </w:rPr>
        <w:t>章“定标办法”规定的核查内容和方法对中标候选人进行核查。</w:t>
      </w:r>
    </w:p>
    <w:p w14:paraId="110F3D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pacing w:val="-3"/>
          <w:sz w:val="21"/>
          <w:szCs w:val="21"/>
          <w:highlight w:val="none"/>
          <w14:textOutline w14:w="3810" w14:cap="flat" w14:cmpd="sng">
            <w14:solidFill>
              <w14:srgbClr w14:val="000000"/>
            </w14:solidFill>
            <w14:prstDash w14:val="solid"/>
            <w14:miter w14:val="0"/>
          </w14:textOutline>
        </w:rPr>
        <w:t>7.4定标方法</w:t>
      </w:r>
    </w:p>
    <w:p w14:paraId="006580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按照投标人须知前附表的规定，招标人收到评标报告10日内完成定标工作，定标过程包括核查、定标会议两个阶段。</w:t>
      </w:r>
    </w:p>
    <w:p w14:paraId="45FF61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2"/>
        <w:rPr>
          <w:color w:val="auto"/>
          <w:sz w:val="21"/>
          <w:szCs w:val="21"/>
          <w:highlight w:val="none"/>
        </w:rPr>
      </w:pPr>
      <w:bookmarkStart w:id="46" w:name="_Toc14331"/>
      <w:r>
        <w:rPr>
          <w:color w:val="auto"/>
          <w:spacing w:val="-5"/>
          <w:sz w:val="21"/>
          <w:szCs w:val="21"/>
          <w:highlight w:val="none"/>
          <w14:textOutline w14:w="3810" w14:cap="flat" w14:cmpd="sng">
            <w14:solidFill>
              <w14:srgbClr w14:val="000000"/>
            </w14:solidFill>
            <w14:prstDash w14:val="solid"/>
            <w14:miter w14:val="0"/>
          </w14:textOutline>
        </w:rPr>
        <w:t>7.</w:t>
      </w:r>
      <w:r>
        <w:rPr>
          <w:rFonts w:hint="eastAsia"/>
          <w:color w:val="auto"/>
          <w:spacing w:val="-5"/>
          <w:sz w:val="21"/>
          <w:szCs w:val="21"/>
          <w:highlight w:val="none"/>
          <w:lang w:val="en-US" w:eastAsia="zh-CN"/>
          <w14:textOutline w14:w="3810" w14:cap="flat" w14:cmpd="sng">
            <w14:solidFill>
              <w14:srgbClr w14:val="000000"/>
            </w14:solidFill>
            <w14:prstDash w14:val="solid"/>
            <w14:miter w14:val="0"/>
          </w14:textOutline>
        </w:rPr>
        <w:t>5</w:t>
      </w:r>
      <w:r>
        <w:rPr>
          <w:color w:val="auto"/>
          <w:spacing w:val="29"/>
          <w:sz w:val="21"/>
          <w:szCs w:val="21"/>
          <w:highlight w:val="none"/>
        </w:rPr>
        <w:t xml:space="preserve"> </w:t>
      </w:r>
      <w:r>
        <w:rPr>
          <w:color w:val="auto"/>
          <w:spacing w:val="-5"/>
          <w:sz w:val="21"/>
          <w:szCs w:val="21"/>
          <w:highlight w:val="none"/>
          <w14:textOutline w14:w="3810" w14:cap="flat" w14:cmpd="sng">
            <w14:solidFill>
              <w14:srgbClr w14:val="000000"/>
            </w14:solidFill>
            <w14:prstDash w14:val="solid"/>
            <w14:miter w14:val="0"/>
          </w14:textOutline>
        </w:rPr>
        <w:t>中标通知</w:t>
      </w:r>
      <w:bookmarkEnd w:id="46"/>
    </w:p>
    <w:p w14:paraId="6B934E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在本章第3.4款规定的投标有效期内，招标人以书面形式向中标人发出中标通知书，同时将中标结果通知未中标的投标人或在相关媒体上进行中标结果公示。</w:t>
      </w:r>
    </w:p>
    <w:p w14:paraId="3E101B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textAlignment w:val="baseline"/>
        <w:rPr>
          <w:rFonts w:hint="eastAsia" w:ascii="宋体" w:hAnsi="宋体" w:eastAsia="宋体" w:cs="宋体"/>
          <w:b/>
          <w:bCs/>
          <w:color w:val="auto"/>
          <w:spacing w:val="-1"/>
          <w:sz w:val="21"/>
          <w:szCs w:val="21"/>
          <w:highlight w:val="none"/>
          <w:lang w:val="en-US" w:eastAsia="en-US"/>
        </w:rPr>
      </w:pPr>
      <w:r>
        <w:rPr>
          <w:rFonts w:hint="eastAsia" w:ascii="宋体" w:hAnsi="宋体" w:eastAsia="宋体" w:cs="宋体"/>
          <w:b/>
          <w:bCs/>
          <w:color w:val="auto"/>
          <w:spacing w:val="-1"/>
          <w:sz w:val="21"/>
          <w:szCs w:val="21"/>
          <w:highlight w:val="none"/>
          <w:lang w:val="en-US" w:eastAsia="en-US"/>
        </w:rPr>
        <w:t>7.6中标结果公告</w:t>
      </w:r>
    </w:p>
    <w:p w14:paraId="6008BCD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auto"/>
          <w:spacing w:val="-1"/>
          <w:sz w:val="21"/>
          <w:szCs w:val="21"/>
          <w:highlight w:val="none"/>
          <w:lang w:val="en-US" w:eastAsia="en-US"/>
        </w:rPr>
      </w:pPr>
      <w:r>
        <w:rPr>
          <w:rFonts w:hint="eastAsia" w:ascii="宋体" w:hAnsi="宋体" w:eastAsia="宋体" w:cs="宋体"/>
          <w:color w:val="auto"/>
          <w:spacing w:val="-1"/>
          <w:sz w:val="21"/>
          <w:szCs w:val="21"/>
          <w:highlight w:val="none"/>
          <w:lang w:val="en-US" w:eastAsia="en-US"/>
        </w:rPr>
        <w:t>招标人在确定中标人之日起3日内，按照投标人须知前附表规定的公告媒介和期限公告中标结果，公告期不得少于3日。公告内容包括中标人名称、中标价。</w:t>
      </w:r>
    </w:p>
    <w:p w14:paraId="04A0B6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color w:val="auto"/>
          <w:sz w:val="21"/>
          <w:szCs w:val="21"/>
          <w:highlight w:val="none"/>
        </w:rPr>
      </w:pPr>
      <w:bookmarkStart w:id="47" w:name="_Toc1872"/>
      <w:r>
        <w:rPr>
          <w:color w:val="auto"/>
          <w:spacing w:val="-3"/>
          <w:sz w:val="21"/>
          <w:szCs w:val="21"/>
          <w:highlight w:val="none"/>
          <w14:textOutline w14:w="3810" w14:cap="flat" w14:cmpd="sng">
            <w14:solidFill>
              <w14:srgbClr w14:val="000000"/>
            </w14:solidFill>
            <w14:prstDash w14:val="solid"/>
            <w14:miter w14:val="0"/>
          </w14:textOutline>
        </w:rPr>
        <w:t>7.</w:t>
      </w:r>
      <w:r>
        <w:rPr>
          <w:rFonts w:hint="eastAsia"/>
          <w:color w:val="auto"/>
          <w:spacing w:val="-3"/>
          <w:sz w:val="21"/>
          <w:szCs w:val="21"/>
          <w:highlight w:val="none"/>
          <w:lang w:val="en-US" w:eastAsia="zh-CN"/>
          <w14:textOutline w14:w="3810" w14:cap="flat" w14:cmpd="sng">
            <w14:solidFill>
              <w14:srgbClr w14:val="000000"/>
            </w14:solidFill>
            <w14:prstDash w14:val="solid"/>
            <w14:miter w14:val="0"/>
          </w14:textOutline>
        </w:rPr>
        <w:t>7</w:t>
      </w:r>
      <w:r>
        <w:rPr>
          <w:color w:val="auto"/>
          <w:spacing w:val="12"/>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履约担保</w:t>
      </w:r>
      <w:bookmarkEnd w:id="47"/>
    </w:p>
    <w:p w14:paraId="6CA2F6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7.</w:t>
      </w:r>
      <w:r>
        <w:rPr>
          <w:rFonts w:hint="eastAsia"/>
          <w:color w:val="auto"/>
          <w:spacing w:val="-1"/>
          <w:sz w:val="21"/>
          <w:szCs w:val="21"/>
          <w:highlight w:val="none"/>
          <w:lang w:val="en-US" w:eastAsia="zh-CN"/>
        </w:rPr>
        <w:t>7</w:t>
      </w:r>
      <w:r>
        <w:rPr>
          <w:color w:val="auto"/>
          <w:spacing w:val="-1"/>
          <w:sz w:val="21"/>
          <w:szCs w:val="21"/>
          <w:highlight w:val="none"/>
        </w:rPr>
        <w:t>.1在签订合同前，中标人应按投标人须知前附表规定的金额、担保形式和招标文件第四章 “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494562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7.</w:t>
      </w:r>
      <w:r>
        <w:rPr>
          <w:rFonts w:hint="eastAsia"/>
          <w:color w:val="auto"/>
          <w:spacing w:val="-1"/>
          <w:sz w:val="21"/>
          <w:szCs w:val="21"/>
          <w:highlight w:val="none"/>
          <w:lang w:val="en-US" w:eastAsia="zh-CN"/>
        </w:rPr>
        <w:t>7</w:t>
      </w:r>
      <w:r>
        <w:rPr>
          <w:color w:val="auto"/>
          <w:spacing w:val="-1"/>
          <w:sz w:val="21"/>
          <w:szCs w:val="21"/>
          <w:highlight w:val="none"/>
        </w:rPr>
        <w:t>.2 中标人不能按本章第7.3.1项要求提交履约担保的，视为放弃中标，其投标保证金不予退还，给招标人造成的损失超过投标保证金数额的，中标人还应当对超过部分予以赔偿。</w:t>
      </w:r>
    </w:p>
    <w:p w14:paraId="62E7BD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7.</w:t>
      </w:r>
      <w:r>
        <w:rPr>
          <w:rFonts w:hint="eastAsia"/>
          <w:color w:val="auto"/>
          <w:spacing w:val="-1"/>
          <w:sz w:val="21"/>
          <w:szCs w:val="21"/>
          <w:highlight w:val="none"/>
          <w:lang w:val="en-US" w:eastAsia="zh-CN"/>
        </w:rPr>
        <w:t>7</w:t>
      </w:r>
      <w:r>
        <w:rPr>
          <w:color w:val="auto"/>
          <w:spacing w:val="-1"/>
          <w:sz w:val="21"/>
          <w:szCs w:val="21"/>
          <w:highlight w:val="none"/>
        </w:rPr>
        <w:t>.3 履约担保的方式和金额见“投标人须知前附表”。</w:t>
      </w:r>
    </w:p>
    <w:p w14:paraId="78C0E4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2"/>
        <w:rPr>
          <w:color w:val="auto"/>
          <w:sz w:val="21"/>
          <w:szCs w:val="21"/>
          <w:highlight w:val="none"/>
        </w:rPr>
      </w:pPr>
      <w:bookmarkStart w:id="48" w:name="_Toc22816"/>
      <w:r>
        <w:rPr>
          <w:color w:val="auto"/>
          <w:spacing w:val="-2"/>
          <w:sz w:val="21"/>
          <w:szCs w:val="21"/>
          <w:highlight w:val="none"/>
          <w14:textOutline w14:w="3810" w14:cap="flat" w14:cmpd="sng">
            <w14:solidFill>
              <w14:srgbClr w14:val="000000"/>
            </w14:solidFill>
            <w14:prstDash w14:val="solid"/>
            <w14:miter w14:val="0"/>
          </w14:textOutline>
        </w:rPr>
        <w:t>7.</w:t>
      </w:r>
      <w:r>
        <w:rPr>
          <w:rFonts w:hint="eastAsia"/>
          <w:color w:val="auto"/>
          <w:spacing w:val="-2"/>
          <w:sz w:val="21"/>
          <w:szCs w:val="21"/>
          <w:highlight w:val="none"/>
          <w:lang w:val="en-US" w:eastAsia="zh-CN"/>
          <w14:textOutline w14:w="3810" w14:cap="flat" w14:cmpd="sng">
            <w14:solidFill>
              <w14:srgbClr w14:val="000000"/>
            </w14:solidFill>
            <w14:prstDash w14:val="solid"/>
            <w14:miter w14:val="0"/>
          </w14:textOutline>
        </w:rPr>
        <w:t>8</w:t>
      </w:r>
      <w:r>
        <w:rPr>
          <w:color w:val="auto"/>
          <w:spacing w:val="-2"/>
          <w:sz w:val="21"/>
          <w:szCs w:val="21"/>
          <w:highlight w:val="none"/>
        </w:rPr>
        <w:t xml:space="preserve"> </w:t>
      </w:r>
      <w:r>
        <w:rPr>
          <w:color w:val="auto"/>
          <w:spacing w:val="-2"/>
          <w:sz w:val="21"/>
          <w:szCs w:val="21"/>
          <w:highlight w:val="none"/>
          <w14:textOutline w14:w="3810" w14:cap="flat" w14:cmpd="sng">
            <w14:solidFill>
              <w14:srgbClr w14:val="000000"/>
            </w14:solidFill>
            <w14:prstDash w14:val="solid"/>
            <w14:miter w14:val="0"/>
          </w14:textOutline>
        </w:rPr>
        <w:t>签订合同</w:t>
      </w:r>
      <w:bookmarkEnd w:id="48"/>
    </w:p>
    <w:p w14:paraId="788CB0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7.</w:t>
      </w:r>
      <w:r>
        <w:rPr>
          <w:rFonts w:hint="eastAsia"/>
          <w:color w:val="auto"/>
          <w:spacing w:val="-1"/>
          <w:sz w:val="21"/>
          <w:szCs w:val="21"/>
          <w:highlight w:val="none"/>
          <w:lang w:val="en-US" w:eastAsia="zh-CN"/>
        </w:rPr>
        <w:t>8</w:t>
      </w:r>
      <w:r>
        <w:rPr>
          <w:color w:val="auto"/>
          <w:spacing w:val="-1"/>
          <w:sz w:val="21"/>
          <w:szCs w:val="21"/>
          <w:highlight w:val="none"/>
        </w:rPr>
        <w:t>.1招标人和中标人应当自中标通知书发出之日起30天内，根据招标文件和中标人的投标文件订立书面合同。中标人无正当理由拒签合同的， 招标人取消其中标资格， 其投标保证金不予退还；给招标人造成的损失超过投标保证金数额的，中标人还应当对超过部分予以赔偿。</w:t>
      </w:r>
    </w:p>
    <w:p w14:paraId="37707E7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7.</w:t>
      </w:r>
      <w:r>
        <w:rPr>
          <w:rFonts w:hint="eastAsia" w:ascii="宋体" w:hAnsi="宋体" w:eastAsia="宋体" w:cs="宋体"/>
          <w:color w:val="auto"/>
          <w:spacing w:val="-1"/>
          <w:sz w:val="21"/>
          <w:szCs w:val="21"/>
          <w:highlight w:val="none"/>
          <w:lang w:val="en-US" w:eastAsia="zh-CN"/>
        </w:rPr>
        <w:t>8</w:t>
      </w:r>
      <w:r>
        <w:rPr>
          <w:rFonts w:ascii="宋体" w:hAnsi="宋体" w:eastAsia="宋体" w:cs="宋体"/>
          <w:color w:val="auto"/>
          <w:spacing w:val="-1"/>
          <w:sz w:val="21"/>
          <w:szCs w:val="21"/>
          <w:highlight w:val="none"/>
        </w:rPr>
        <w:t>.2发出中标通知书后，招标人无正当理由拒签合同的，招标人向中标人退还投标保证金；给中标人造成损失的，还应当赔偿损失。</w:t>
      </w:r>
    </w:p>
    <w:p w14:paraId="62A4F2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7.8.3 招标人和中标人在签订合同协议书的同时，须按照本招标文件规定的格式和要求签订廉政合同，明确双方在廉政建设方面的权利和义务以及应承担的违约责任。签订合同后，中标人不得将本项目进行转包。未经招标人同意，中标人不得采用分包的形式履行合同，否则招标人有权终止合同。转包或分包造成招标人损失的，中标人还应承担相应赔偿责任。</w:t>
      </w:r>
    </w:p>
    <w:p w14:paraId="108B7E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1"/>
        <w:rPr>
          <w:color w:val="auto"/>
          <w:sz w:val="21"/>
          <w:szCs w:val="21"/>
          <w:highlight w:val="none"/>
        </w:rPr>
      </w:pPr>
      <w:bookmarkStart w:id="49" w:name="_Toc22321"/>
      <w:r>
        <w:rPr>
          <w:color w:val="auto"/>
          <w:spacing w:val="-3"/>
          <w:sz w:val="21"/>
          <w:szCs w:val="21"/>
          <w:highlight w:val="none"/>
          <w14:textOutline w14:w="3810" w14:cap="flat" w14:cmpd="sng">
            <w14:solidFill>
              <w14:srgbClr w14:val="000000"/>
            </w14:solidFill>
            <w14:prstDash w14:val="solid"/>
            <w14:miter w14:val="0"/>
          </w14:textOutline>
        </w:rPr>
        <w:t>8.</w:t>
      </w:r>
      <w:r>
        <w:rPr>
          <w:color w:val="auto"/>
          <w:spacing w:val="15"/>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纪律和监督</w:t>
      </w:r>
      <w:bookmarkEnd w:id="49"/>
    </w:p>
    <w:p w14:paraId="62FEC5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50" w:name="_Toc10672"/>
      <w:r>
        <w:rPr>
          <w:color w:val="auto"/>
          <w:sz w:val="21"/>
          <w:szCs w:val="21"/>
          <w:highlight w:val="none"/>
          <w14:textOutline w14:w="3810" w14:cap="flat" w14:cmpd="sng">
            <w14:solidFill>
              <w14:srgbClr w14:val="000000"/>
            </w14:solidFill>
            <w14:prstDash w14:val="solid"/>
            <w14:miter w14:val="0"/>
          </w14:textOutline>
        </w:rPr>
        <w:t>8.1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对招标人的纪律要求</w:t>
      </w:r>
      <w:bookmarkEnd w:id="50"/>
    </w:p>
    <w:p w14:paraId="67E7D25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招标人不得泄漏招标投标活动中应当保密的情况和资料， 不得与投标人串通损害国家利益、社会公共利益或者他人合法权益。</w:t>
      </w:r>
    </w:p>
    <w:p w14:paraId="09C008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51" w:name="_Toc5779"/>
      <w:r>
        <w:rPr>
          <w:color w:val="auto"/>
          <w:sz w:val="21"/>
          <w:szCs w:val="21"/>
          <w:highlight w:val="none"/>
          <w14:textOutline w14:w="3810" w14:cap="flat" w14:cmpd="sng">
            <w14:solidFill>
              <w14:srgbClr w14:val="000000"/>
            </w14:solidFill>
            <w14:prstDash w14:val="solid"/>
            <w14:miter w14:val="0"/>
          </w14:textOutline>
        </w:rPr>
        <w:t>8.2</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对投标人的纪律要求</w:t>
      </w:r>
      <w:bookmarkEnd w:id="51"/>
    </w:p>
    <w:p w14:paraId="7BC35C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投标人不得相互串通投标或者与招标人串通投标， 不得向招标人或者评标委员会成员行贿谋取 中标，不得以他人名义投标或者以其他方式弄虚作假骗取中标；投标人不得以任何方式干扰、影响评标工作。</w:t>
      </w:r>
    </w:p>
    <w:p w14:paraId="12CED4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52" w:name="_Toc887"/>
      <w:r>
        <w:rPr>
          <w:color w:val="auto"/>
          <w:sz w:val="21"/>
          <w:szCs w:val="21"/>
          <w:highlight w:val="none"/>
          <w14:textOutline w14:w="3810" w14:cap="flat" w14:cmpd="sng">
            <w14:solidFill>
              <w14:srgbClr w14:val="000000"/>
            </w14:solidFill>
            <w14:prstDash w14:val="solid"/>
            <w14:miter w14:val="0"/>
          </w14:textOutline>
        </w:rPr>
        <w:t>8.3</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对评标委员会成员的纪律要求</w:t>
      </w:r>
      <w:bookmarkEnd w:id="52"/>
    </w:p>
    <w:p w14:paraId="2C2DBB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CEB3C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2"/>
        <w:rPr>
          <w:color w:val="auto"/>
          <w:sz w:val="21"/>
          <w:szCs w:val="21"/>
          <w:highlight w:val="none"/>
        </w:rPr>
      </w:pPr>
      <w:bookmarkStart w:id="53" w:name="_Toc16400"/>
      <w:r>
        <w:rPr>
          <w:color w:val="auto"/>
          <w:sz w:val="21"/>
          <w:szCs w:val="21"/>
          <w:highlight w:val="none"/>
          <w14:textOutline w14:w="3810" w14:cap="flat" w14:cmpd="sng">
            <w14:solidFill>
              <w14:srgbClr w14:val="000000"/>
            </w14:solidFill>
            <w14:prstDash w14:val="solid"/>
            <w14:miter w14:val="0"/>
          </w14:textOutline>
        </w:rPr>
        <w:t>8.4</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对与评标活动有关的工作人员的纪律要求</w:t>
      </w:r>
      <w:bookmarkEnd w:id="53"/>
    </w:p>
    <w:p w14:paraId="01AA99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与评标活动有关的工作人员不得收受他人的财物或者其他好处， 不得向他人透漏对投标文件的 评审和比较、中标候选人的推荐情况以及评标有关的其他情况。在评标活动中，与评标活动有关的工作人员不得擅离职守，影响评标程序正常进行。</w:t>
      </w:r>
    </w:p>
    <w:p w14:paraId="602E8C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2"/>
        <w:rPr>
          <w:color w:val="auto"/>
          <w:sz w:val="21"/>
          <w:szCs w:val="21"/>
          <w:highlight w:val="none"/>
        </w:rPr>
      </w:pPr>
      <w:bookmarkStart w:id="54" w:name="_Toc26281"/>
      <w:r>
        <w:rPr>
          <w:color w:val="auto"/>
          <w:spacing w:val="-3"/>
          <w:sz w:val="21"/>
          <w:szCs w:val="21"/>
          <w:highlight w:val="none"/>
          <w14:textOutline w14:w="3810" w14:cap="flat" w14:cmpd="sng">
            <w14:solidFill>
              <w14:srgbClr w14:val="000000"/>
            </w14:solidFill>
            <w14:prstDash w14:val="solid"/>
            <w14:miter w14:val="0"/>
          </w14:textOutline>
        </w:rPr>
        <w:t>8.5</w:t>
      </w:r>
      <w:r>
        <w:rPr>
          <w:color w:val="auto"/>
          <w:spacing w:val="11"/>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投诉</w:t>
      </w:r>
      <w:bookmarkEnd w:id="54"/>
    </w:p>
    <w:p w14:paraId="117943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8.5.1 投标人或者其他利害关系人认为招标投标活动不符合法律、行政法规规定的， 可以自知 道或者应当知道之日起10日内向有关行政监督部门投诉。投诉应当有明确的请求和必要的证明材料。</w:t>
      </w:r>
    </w:p>
    <w:p w14:paraId="38126C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8.5.2 投标人或者其他利害关系人对招标文件、开标和评标结果提出投诉的， 应当按照投标人 须知第2.4款、第5.3款和第7.2款的规定先向招标人提出异议。异议答复期间不计算在第8.5.1项规定的期限内。</w:t>
      </w:r>
    </w:p>
    <w:p w14:paraId="0D68D9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1"/>
        <w:rPr>
          <w:color w:val="auto"/>
          <w:sz w:val="21"/>
          <w:szCs w:val="21"/>
          <w:highlight w:val="none"/>
        </w:rPr>
      </w:pPr>
      <w:bookmarkStart w:id="55" w:name="_Toc27424"/>
      <w:r>
        <w:rPr>
          <w:color w:val="auto"/>
          <w:sz w:val="21"/>
          <w:szCs w:val="21"/>
          <w:highlight w:val="none"/>
          <w14:textOutline w14:w="3810" w14:cap="flat" w14:cmpd="sng">
            <w14:solidFill>
              <w14:srgbClr w14:val="000000"/>
            </w14:solidFill>
            <w14:prstDash w14:val="solid"/>
            <w14:miter w14:val="0"/>
          </w14:textOutline>
        </w:rPr>
        <w:t>9.</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是否采用电子招标投标</w:t>
      </w:r>
      <w:bookmarkEnd w:id="55"/>
    </w:p>
    <w:p w14:paraId="628EBA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z w:val="21"/>
          <w:szCs w:val="21"/>
          <w:highlight w:val="none"/>
        </w:rPr>
      </w:pPr>
      <w:r>
        <w:rPr>
          <w:color w:val="auto"/>
          <w:spacing w:val="-1"/>
          <w:sz w:val="21"/>
          <w:szCs w:val="21"/>
          <w:highlight w:val="none"/>
        </w:rPr>
        <w:t>本招标项目是否采用电子招标投标方式，见投标人须知前附表。</w:t>
      </w:r>
    </w:p>
    <w:p w14:paraId="607987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outlineLvl w:val="1"/>
        <w:rPr>
          <w:color w:val="auto"/>
          <w:sz w:val="21"/>
          <w:szCs w:val="21"/>
          <w:highlight w:val="none"/>
        </w:rPr>
      </w:pPr>
      <w:bookmarkStart w:id="56" w:name="_Toc3236"/>
      <w:r>
        <w:rPr>
          <w:color w:val="auto"/>
          <w:spacing w:val="-3"/>
          <w:sz w:val="21"/>
          <w:szCs w:val="21"/>
          <w:highlight w:val="none"/>
          <w14:textOutline w14:w="3810" w14:cap="flat" w14:cmpd="sng">
            <w14:solidFill>
              <w14:srgbClr w14:val="000000"/>
            </w14:solidFill>
            <w14:prstDash w14:val="solid"/>
            <w14:miter w14:val="0"/>
          </w14:textOutline>
        </w:rPr>
        <w:t>10.</w:t>
      </w:r>
      <w:r>
        <w:rPr>
          <w:color w:val="auto"/>
          <w:spacing w:val="30"/>
          <w:sz w:val="21"/>
          <w:szCs w:val="21"/>
          <w:highlight w:val="none"/>
        </w:rPr>
        <w:t xml:space="preserve"> </w:t>
      </w:r>
      <w:r>
        <w:rPr>
          <w:color w:val="auto"/>
          <w:spacing w:val="-3"/>
          <w:sz w:val="21"/>
          <w:szCs w:val="21"/>
          <w:highlight w:val="none"/>
          <w14:textOutline w14:w="3810" w14:cap="flat" w14:cmpd="sng">
            <w14:solidFill>
              <w14:srgbClr w14:val="000000"/>
            </w14:solidFill>
            <w14:prstDash w14:val="solid"/>
            <w14:miter w14:val="0"/>
          </w14:textOutline>
        </w:rPr>
        <w:t>需要补充的其他内容</w:t>
      </w:r>
      <w:bookmarkEnd w:id="56"/>
    </w:p>
    <w:p w14:paraId="156CFBB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color w:val="auto"/>
          <w:sz w:val="21"/>
          <w:szCs w:val="21"/>
          <w:highlight w:val="none"/>
        </w:rPr>
      </w:pPr>
      <w:r>
        <w:rPr>
          <w:color w:val="auto"/>
          <w:spacing w:val="-2"/>
          <w:sz w:val="21"/>
          <w:szCs w:val="21"/>
          <w:highlight w:val="none"/>
        </w:rPr>
        <w:t>需要补充的其他内容，详见投标人须知前附表。</w:t>
      </w:r>
    </w:p>
    <w:p w14:paraId="31CE3A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1"/>
        <w:rPr>
          <w:color w:val="auto"/>
          <w:sz w:val="21"/>
          <w:szCs w:val="21"/>
          <w:highlight w:val="none"/>
        </w:rPr>
      </w:pPr>
      <w:bookmarkStart w:id="57" w:name="_Toc5197"/>
      <w:r>
        <w:rPr>
          <w:color w:val="auto"/>
          <w:sz w:val="21"/>
          <w:szCs w:val="21"/>
          <w:highlight w:val="none"/>
          <w14:textOutline w14:w="3810" w14:cap="flat" w14:cmpd="sng">
            <w14:solidFill>
              <w14:srgbClr w14:val="000000"/>
            </w14:solidFill>
            <w14:prstDash w14:val="solid"/>
            <w14:miter w14:val="0"/>
          </w14:textOutline>
        </w:rPr>
        <w:t>11.河南省政府采购合同融资政策告知函（详见附件）</w:t>
      </w:r>
      <w:bookmarkEnd w:id="57"/>
    </w:p>
    <w:p w14:paraId="15252FC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附件：</w:t>
      </w:r>
    </w:p>
    <w:p w14:paraId="2F43C4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河南省政府采购合同融资政策告知函</w:t>
      </w:r>
    </w:p>
    <w:p w14:paraId="348FA0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各供应商：</w:t>
      </w:r>
    </w:p>
    <w:p w14:paraId="53E87D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欢迎贵公司参与河南省政府采购活动！</w:t>
      </w:r>
    </w:p>
    <w:p w14:paraId="31C3214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政府采购合同融资是河南省财政厅支持中小微企业发展， 针对参与政府采购活动的供应商融资 难、融资贵问题推出的一项融资政策。贵公司若成为本次政府采购项目的中标成交供应商，可持政 府采购合同向金融机构申请贷款，无需抵押、担保，融资机构将根据《河南省政府采购合同融资工作实施方案》（豫财购〔2017〕10号），按照双方自愿的原则提供便捷、优惠的贷款服务。</w:t>
      </w:r>
    </w:p>
    <w:p w14:paraId="1EBCD2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color w:val="auto"/>
          <w:spacing w:val="-1"/>
          <w:sz w:val="21"/>
          <w:szCs w:val="21"/>
          <w:highlight w:val="none"/>
        </w:rPr>
      </w:pPr>
      <w:r>
        <w:rPr>
          <w:color w:val="auto"/>
          <w:spacing w:val="-1"/>
          <w:sz w:val="21"/>
          <w:szCs w:val="21"/>
          <w:highlight w:val="none"/>
        </w:rPr>
        <w:t>贷款渠道和提供贷款的金融机构，可在河南省政府采购网“河南省政府采购合同融资平台”查询联系。</w:t>
      </w:r>
    </w:p>
    <w:p w14:paraId="7BB155F9">
      <w:pPr>
        <w:rPr>
          <w:color w:val="auto"/>
          <w:spacing w:val="-1"/>
          <w:sz w:val="21"/>
          <w:szCs w:val="21"/>
          <w:highlight w:val="none"/>
        </w:rPr>
      </w:pPr>
    </w:p>
    <w:p w14:paraId="16713099">
      <w:pPr>
        <w:rPr>
          <w:color w:val="auto"/>
          <w:spacing w:val="-1"/>
          <w:sz w:val="21"/>
          <w:szCs w:val="21"/>
          <w:highlight w:val="none"/>
        </w:rPr>
      </w:pPr>
    </w:p>
    <w:p w14:paraId="66D5C703">
      <w:pPr>
        <w:pStyle w:val="4"/>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16" w:firstLineChars="200"/>
        <w:textAlignment w:val="baseline"/>
        <w:rPr>
          <w:color w:val="auto"/>
          <w:spacing w:val="-1"/>
          <w:sz w:val="21"/>
          <w:szCs w:val="21"/>
          <w:highlight w:val="none"/>
        </w:rPr>
        <w:sectPr>
          <w:footerReference r:id="rId7" w:type="default"/>
          <w:pgSz w:w="11850" w:h="16785"/>
          <w:pgMar w:top="1399" w:right="1387" w:bottom="1022" w:left="1419" w:header="0" w:footer="862" w:gutter="0"/>
          <w:pgNumType w:fmt="decimal"/>
          <w:cols w:space="720" w:num="1"/>
        </w:sectPr>
      </w:pPr>
    </w:p>
    <w:p w14:paraId="67DE9290">
      <w:pPr>
        <w:pStyle w:val="4"/>
        <w:spacing w:before="72" w:line="218" w:lineRule="auto"/>
        <w:ind w:left="2236"/>
        <w:outlineLvl w:val="0"/>
        <w:rPr>
          <w:color w:val="auto"/>
          <w:sz w:val="36"/>
          <w:szCs w:val="36"/>
          <w:highlight w:val="none"/>
        </w:rPr>
      </w:pPr>
      <w:bookmarkStart w:id="58" w:name="_Toc3559"/>
      <w:r>
        <w:rPr>
          <w:color w:val="auto"/>
          <w:sz w:val="36"/>
          <w:szCs w:val="36"/>
          <w:highlight w:val="none"/>
          <w14:textOutline w14:w="6540" w14:cap="flat" w14:cmpd="sng">
            <w14:solidFill>
              <w14:srgbClr w14:val="000000"/>
            </w14:solidFill>
            <w14:prstDash w14:val="solid"/>
            <w14:miter w14:val="0"/>
          </w14:textOutline>
        </w:rPr>
        <w:t>第三章</w:t>
      </w:r>
      <w:r>
        <w:rPr>
          <w:color w:val="auto"/>
          <w:sz w:val="36"/>
          <w:szCs w:val="36"/>
          <w:highlight w:val="none"/>
        </w:rPr>
        <w:t xml:space="preserve"> </w:t>
      </w:r>
      <w:r>
        <w:rPr>
          <w:color w:val="auto"/>
          <w:sz w:val="36"/>
          <w:szCs w:val="36"/>
          <w:highlight w:val="none"/>
          <w14:textOutline w14:w="6540" w14:cap="flat" w14:cmpd="sng">
            <w14:solidFill>
              <w14:srgbClr w14:val="000000"/>
            </w14:solidFill>
            <w14:prstDash w14:val="solid"/>
            <w14:miter w14:val="0"/>
          </w14:textOutline>
        </w:rPr>
        <w:t>评标办法（综合评估法）</w:t>
      </w:r>
      <w:bookmarkEnd w:id="58"/>
    </w:p>
    <w:p w14:paraId="3737829F">
      <w:pPr>
        <w:spacing w:line="124" w:lineRule="exact"/>
        <w:rPr>
          <w:color w:val="auto"/>
          <w:highlight w:val="none"/>
        </w:rPr>
      </w:pPr>
    </w:p>
    <w:tbl>
      <w:tblPr>
        <w:tblStyle w:val="30"/>
        <w:tblW w:w="968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1052"/>
        <w:gridCol w:w="28"/>
        <w:gridCol w:w="1472"/>
        <w:gridCol w:w="371"/>
        <w:gridCol w:w="5901"/>
      </w:tblGrid>
      <w:tr w14:paraId="625B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1942" w:type="dxa"/>
            <w:gridSpan w:val="3"/>
            <w:vAlign w:val="top"/>
          </w:tcPr>
          <w:p w14:paraId="74798BE7">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10" w14:cap="flat" w14:cmpd="sng">
                  <w14:solidFill>
                    <w14:srgbClr w14:val="000000"/>
                  </w14:solidFill>
                  <w14:prstDash w14:val="solid"/>
                  <w14:miter w14:val="0"/>
                </w14:textOutline>
              </w:rPr>
              <w:t>条款号</w:t>
            </w:r>
          </w:p>
        </w:tc>
        <w:tc>
          <w:tcPr>
            <w:tcW w:w="1843" w:type="dxa"/>
            <w:gridSpan w:val="2"/>
            <w:vAlign w:val="top"/>
          </w:tcPr>
          <w:p w14:paraId="4D470DB9">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10" w14:cap="flat" w14:cmpd="sng">
                  <w14:solidFill>
                    <w14:srgbClr w14:val="000000"/>
                  </w14:solidFill>
                  <w14:prstDash w14:val="solid"/>
                  <w14:miter w14:val="0"/>
                </w14:textOutline>
              </w:rPr>
              <w:t>评审因素</w:t>
            </w:r>
          </w:p>
        </w:tc>
        <w:tc>
          <w:tcPr>
            <w:tcW w:w="5901" w:type="dxa"/>
            <w:vAlign w:val="top"/>
          </w:tcPr>
          <w:p w14:paraId="69DF8D48">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10" w14:cap="flat" w14:cmpd="sng">
                  <w14:solidFill>
                    <w14:srgbClr w14:val="000000"/>
                  </w14:solidFill>
                  <w14:prstDash w14:val="solid"/>
                  <w14:miter w14:val="0"/>
                </w14:textOutline>
              </w:rPr>
              <w:t>评审标准</w:t>
            </w:r>
          </w:p>
        </w:tc>
      </w:tr>
      <w:tr w14:paraId="6A17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restart"/>
            <w:tcBorders>
              <w:bottom w:val="nil"/>
            </w:tcBorders>
            <w:vAlign w:val="top"/>
          </w:tcPr>
          <w:p w14:paraId="6688952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416B27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25B1CAA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CC3D95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50113EE">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w:t>
            </w:r>
          </w:p>
        </w:tc>
        <w:tc>
          <w:tcPr>
            <w:tcW w:w="1080" w:type="dxa"/>
            <w:gridSpan w:val="2"/>
            <w:vMerge w:val="restart"/>
            <w:tcBorders>
              <w:bottom w:val="nil"/>
            </w:tcBorders>
            <w:vAlign w:val="top"/>
          </w:tcPr>
          <w:p w14:paraId="4A2A219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8615BB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59546C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F9A85A4">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position w:val="14"/>
                <w:sz w:val="21"/>
                <w:szCs w:val="21"/>
                <w:highlight w:val="none"/>
              </w:rPr>
              <w:t>形式评审</w:t>
            </w:r>
          </w:p>
          <w:p w14:paraId="612BDD3E">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标准</w:t>
            </w:r>
          </w:p>
        </w:tc>
        <w:tc>
          <w:tcPr>
            <w:tcW w:w="1843" w:type="dxa"/>
            <w:gridSpan w:val="2"/>
            <w:vAlign w:val="center"/>
          </w:tcPr>
          <w:p w14:paraId="183BDFDA">
            <w:pPr>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投标人名称</w:t>
            </w:r>
          </w:p>
        </w:tc>
        <w:tc>
          <w:tcPr>
            <w:tcW w:w="5901" w:type="dxa"/>
            <w:vAlign w:val="center"/>
          </w:tcPr>
          <w:p w14:paraId="7BC561B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与投标报名、营业执照、资质证书一致</w:t>
            </w:r>
          </w:p>
        </w:tc>
      </w:tr>
      <w:tr w14:paraId="323C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862" w:type="dxa"/>
            <w:vMerge w:val="continue"/>
            <w:tcBorders>
              <w:top w:val="nil"/>
              <w:bottom w:val="nil"/>
            </w:tcBorders>
            <w:vAlign w:val="top"/>
          </w:tcPr>
          <w:p w14:paraId="783A2C8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tcBorders>
              <w:top w:val="nil"/>
              <w:bottom w:val="nil"/>
            </w:tcBorders>
            <w:vAlign w:val="top"/>
          </w:tcPr>
          <w:p w14:paraId="1E71EA3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55B92AB6">
            <w:pPr>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投标函签字盖章</w:t>
            </w:r>
          </w:p>
        </w:tc>
        <w:tc>
          <w:tcPr>
            <w:tcW w:w="5901" w:type="dxa"/>
            <w:vAlign w:val="center"/>
          </w:tcPr>
          <w:p w14:paraId="14A082F5">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有投标人、法定代表人电子签章（详见招标文件格式中签章要求）</w:t>
            </w:r>
          </w:p>
        </w:tc>
      </w:tr>
      <w:tr w14:paraId="3FDB0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nil"/>
            </w:tcBorders>
            <w:vAlign w:val="top"/>
          </w:tcPr>
          <w:p w14:paraId="698A362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tcBorders>
              <w:top w:val="nil"/>
              <w:bottom w:val="nil"/>
            </w:tcBorders>
            <w:vAlign w:val="top"/>
          </w:tcPr>
          <w:p w14:paraId="6FC9004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260C3B26">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投标文件格式</w:t>
            </w:r>
          </w:p>
        </w:tc>
        <w:tc>
          <w:tcPr>
            <w:tcW w:w="5901" w:type="dxa"/>
            <w:vAlign w:val="top"/>
          </w:tcPr>
          <w:p w14:paraId="370FA505">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符合“投标文件格式”的规定</w:t>
            </w:r>
          </w:p>
        </w:tc>
      </w:tr>
      <w:tr w14:paraId="4027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tcBorders>
            <w:vAlign w:val="top"/>
          </w:tcPr>
          <w:p w14:paraId="55CC8357">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tcBorders>
              <w:top w:val="nil"/>
            </w:tcBorders>
            <w:vAlign w:val="top"/>
          </w:tcPr>
          <w:p w14:paraId="2CE298D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3E2CD6EA">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报价唯一</w:t>
            </w:r>
          </w:p>
        </w:tc>
        <w:tc>
          <w:tcPr>
            <w:tcW w:w="5901" w:type="dxa"/>
            <w:vAlign w:val="top"/>
          </w:tcPr>
          <w:p w14:paraId="7C3ECDA6">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只能有一个有效报价且未超过招标控制价</w:t>
            </w:r>
          </w:p>
        </w:tc>
      </w:tr>
      <w:tr w14:paraId="6743C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restart"/>
            <w:vAlign w:val="top"/>
          </w:tcPr>
          <w:p w14:paraId="525A1F9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2ADBE3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A19CF75">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0D550A9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0D04D4E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F661A20">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5F55FD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5036095">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w:t>
            </w:r>
          </w:p>
        </w:tc>
        <w:tc>
          <w:tcPr>
            <w:tcW w:w="1080" w:type="dxa"/>
            <w:gridSpan w:val="2"/>
            <w:vMerge w:val="restart"/>
            <w:vAlign w:val="top"/>
          </w:tcPr>
          <w:p w14:paraId="5FA3F1C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52674B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29C9876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7D1531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8F65837">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ABE75E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608AA3B">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position w:val="13"/>
                <w:sz w:val="21"/>
                <w:szCs w:val="21"/>
                <w:highlight w:val="none"/>
              </w:rPr>
              <w:t>资格评审</w:t>
            </w:r>
          </w:p>
          <w:p w14:paraId="0119B32F">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标准</w:t>
            </w:r>
          </w:p>
        </w:tc>
        <w:tc>
          <w:tcPr>
            <w:tcW w:w="1843" w:type="dxa"/>
            <w:gridSpan w:val="2"/>
            <w:vAlign w:val="top"/>
          </w:tcPr>
          <w:p w14:paraId="24A88970">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营业执照</w:t>
            </w:r>
          </w:p>
        </w:tc>
        <w:tc>
          <w:tcPr>
            <w:tcW w:w="5901" w:type="dxa"/>
            <w:vAlign w:val="center"/>
          </w:tcPr>
          <w:p w14:paraId="306FABB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具备有效的企业法人营业执照</w:t>
            </w:r>
          </w:p>
        </w:tc>
      </w:tr>
      <w:tr w14:paraId="06885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vAlign w:val="top"/>
          </w:tcPr>
          <w:p w14:paraId="5FD024C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14BA63B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27BEF011">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资质要求</w:t>
            </w:r>
          </w:p>
        </w:tc>
        <w:tc>
          <w:tcPr>
            <w:tcW w:w="5901" w:type="dxa"/>
            <w:vAlign w:val="center"/>
          </w:tcPr>
          <w:p w14:paraId="5658B83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符合“投标人须知前附表”第1.4.1项要求</w:t>
            </w:r>
          </w:p>
        </w:tc>
      </w:tr>
      <w:tr w14:paraId="34159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62" w:type="dxa"/>
            <w:vMerge w:val="continue"/>
            <w:vAlign w:val="top"/>
          </w:tcPr>
          <w:p w14:paraId="115A4EB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1D0E25D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794A1B0A">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人员要求</w:t>
            </w:r>
          </w:p>
        </w:tc>
        <w:tc>
          <w:tcPr>
            <w:tcW w:w="5901" w:type="dxa"/>
            <w:vAlign w:val="center"/>
          </w:tcPr>
          <w:p w14:paraId="14D1C87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符合“投标人须知前附表”第1.4.1项要求</w:t>
            </w:r>
          </w:p>
        </w:tc>
      </w:tr>
      <w:tr w14:paraId="40B51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vAlign w:val="top"/>
          </w:tcPr>
          <w:p w14:paraId="023355B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4E02752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600C8BD3">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财务要求</w:t>
            </w:r>
          </w:p>
        </w:tc>
        <w:tc>
          <w:tcPr>
            <w:tcW w:w="5901" w:type="dxa"/>
            <w:vAlign w:val="center"/>
          </w:tcPr>
          <w:p w14:paraId="33EEB05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符合“投标人须知前附表”第1.4.1项要求</w:t>
            </w:r>
          </w:p>
        </w:tc>
      </w:tr>
      <w:tr w14:paraId="270EB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62" w:type="dxa"/>
            <w:vMerge w:val="continue"/>
            <w:vAlign w:val="top"/>
          </w:tcPr>
          <w:p w14:paraId="081BEAA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23DD8E1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16E737FE">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信誉要求</w:t>
            </w:r>
          </w:p>
        </w:tc>
        <w:tc>
          <w:tcPr>
            <w:tcW w:w="5901" w:type="dxa"/>
            <w:vAlign w:val="center"/>
          </w:tcPr>
          <w:p w14:paraId="47C96B47">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符合“投标人须知前附表”第1.4.1项要求</w:t>
            </w:r>
          </w:p>
        </w:tc>
      </w:tr>
      <w:tr w14:paraId="226E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vAlign w:val="top"/>
          </w:tcPr>
          <w:p w14:paraId="4519351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449D052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56067887">
            <w:pPr>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color w:val="auto"/>
                <w:spacing w:val="-4"/>
                <w:sz w:val="21"/>
                <w:szCs w:val="21"/>
                <w:highlight w:val="none"/>
              </w:rPr>
            </w:pPr>
            <w:r>
              <w:rPr>
                <w:rFonts w:hint="eastAsia" w:ascii="宋体" w:hAnsi="宋体" w:eastAsia="宋体" w:cs="宋体"/>
                <w:color w:val="auto"/>
                <w:kern w:val="0"/>
                <w:sz w:val="21"/>
                <w:szCs w:val="21"/>
                <w:highlight w:val="none"/>
                <w:lang w:val="en-US" w:eastAsia="zh-CN"/>
              </w:rPr>
              <w:t>社保要求</w:t>
            </w:r>
          </w:p>
        </w:tc>
        <w:tc>
          <w:tcPr>
            <w:tcW w:w="5901" w:type="dxa"/>
            <w:vAlign w:val="center"/>
          </w:tcPr>
          <w:p w14:paraId="63FF8C6D">
            <w:pPr>
              <w:pStyle w:val="31"/>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符合“投标人须知前附表”第1.4.1项要求</w:t>
            </w:r>
          </w:p>
        </w:tc>
      </w:tr>
      <w:tr w14:paraId="02F3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vAlign w:val="top"/>
          </w:tcPr>
          <w:p w14:paraId="5E20A39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29921A3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top"/>
          </w:tcPr>
          <w:p w14:paraId="23F7EEFC">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5901" w:type="dxa"/>
            <w:vAlign w:val="center"/>
          </w:tcPr>
          <w:p w14:paraId="4A28FA6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符合“投标人须知前附表”第1.4.1项要求</w:t>
            </w:r>
          </w:p>
        </w:tc>
      </w:tr>
      <w:tr w14:paraId="595B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vAlign w:val="top"/>
          </w:tcPr>
          <w:p w14:paraId="18BC100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00F3788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7744" w:type="dxa"/>
            <w:gridSpan w:val="3"/>
            <w:vAlign w:val="top"/>
          </w:tcPr>
          <w:p w14:paraId="6112B702">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lang w:val="en-US" w:eastAsia="zh-CN"/>
              </w:rPr>
              <w:t>注：以上资格性审查资料，在投标文件中附原件的扫描件（信用查询附网上查询截图），扫描件清晰可见，否则视为资格审查不通过，资格性审查未通过的投标文件将不再进行后续评审。</w:t>
            </w:r>
          </w:p>
        </w:tc>
      </w:tr>
      <w:tr w14:paraId="5A004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restart"/>
            <w:vAlign w:val="top"/>
          </w:tcPr>
          <w:p w14:paraId="29F8433E">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0C6A16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6D10AB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F4CD53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500139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8AC864C">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2.1.3</w:t>
            </w:r>
          </w:p>
        </w:tc>
        <w:tc>
          <w:tcPr>
            <w:tcW w:w="1080" w:type="dxa"/>
            <w:gridSpan w:val="2"/>
            <w:vMerge w:val="restart"/>
            <w:vAlign w:val="top"/>
          </w:tcPr>
          <w:p w14:paraId="406BD73E">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72E3797">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54250B0">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988413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2C3FB280">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position w:val="14"/>
                <w:sz w:val="21"/>
                <w:szCs w:val="21"/>
                <w:highlight w:val="none"/>
              </w:rPr>
              <w:t>响应性</w:t>
            </w:r>
          </w:p>
          <w:p w14:paraId="1C2CA712">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评审标准</w:t>
            </w:r>
          </w:p>
        </w:tc>
        <w:tc>
          <w:tcPr>
            <w:tcW w:w="1843" w:type="dxa"/>
            <w:gridSpan w:val="2"/>
            <w:vAlign w:val="center"/>
          </w:tcPr>
          <w:p w14:paraId="005C463B">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 (监理范围)</w:t>
            </w:r>
          </w:p>
        </w:tc>
        <w:tc>
          <w:tcPr>
            <w:tcW w:w="5901" w:type="dxa"/>
            <w:vAlign w:val="center"/>
          </w:tcPr>
          <w:p w14:paraId="74DD763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 符合第二章“投标人须知”第 1.3.1 项规定</w:t>
            </w:r>
          </w:p>
        </w:tc>
      </w:tr>
      <w:tr w14:paraId="70F4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vAlign w:val="top"/>
          </w:tcPr>
          <w:p w14:paraId="23155A2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01CE7ED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7C3AEF21">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监理期限</w:t>
            </w:r>
          </w:p>
        </w:tc>
        <w:tc>
          <w:tcPr>
            <w:tcW w:w="5901" w:type="dxa"/>
            <w:vAlign w:val="center"/>
          </w:tcPr>
          <w:p w14:paraId="29D5C9B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 符合第二章“投标人须知”第 1.3.2 项规定</w:t>
            </w:r>
          </w:p>
        </w:tc>
      </w:tr>
      <w:tr w14:paraId="642E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vAlign w:val="top"/>
          </w:tcPr>
          <w:p w14:paraId="7ADE305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76E6703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31F93A46">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质量</w:t>
            </w:r>
            <w:r>
              <w:rPr>
                <w:rFonts w:hint="eastAsia" w:ascii="宋体" w:hAnsi="宋体" w:eastAsia="宋体" w:cs="宋体"/>
                <w:color w:val="auto"/>
                <w:kern w:val="0"/>
                <w:sz w:val="21"/>
                <w:szCs w:val="21"/>
                <w:highlight w:val="none"/>
                <w:lang w:eastAsia="zh-CN"/>
              </w:rPr>
              <w:t>标准</w:t>
            </w:r>
          </w:p>
        </w:tc>
        <w:tc>
          <w:tcPr>
            <w:tcW w:w="5901" w:type="dxa"/>
            <w:vAlign w:val="center"/>
          </w:tcPr>
          <w:p w14:paraId="62E1535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 符合第二章“投标人须知”第 1.3.3 项规定</w:t>
            </w:r>
          </w:p>
        </w:tc>
      </w:tr>
      <w:tr w14:paraId="1396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vAlign w:val="top"/>
          </w:tcPr>
          <w:p w14:paraId="2D90F96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63381CA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6D968EA5">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投标有效期</w:t>
            </w:r>
          </w:p>
        </w:tc>
        <w:tc>
          <w:tcPr>
            <w:tcW w:w="5901" w:type="dxa"/>
            <w:vAlign w:val="center"/>
          </w:tcPr>
          <w:p w14:paraId="148C422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 符合第二章“投标人须知”第 3.3.1 项规定</w:t>
            </w:r>
          </w:p>
        </w:tc>
      </w:tr>
      <w:tr w14:paraId="6E74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vAlign w:val="top"/>
          </w:tcPr>
          <w:p w14:paraId="73CF95A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24BB2C0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751DEBCE">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w:t>
            </w:r>
          </w:p>
        </w:tc>
        <w:tc>
          <w:tcPr>
            <w:tcW w:w="5901" w:type="dxa"/>
            <w:vAlign w:val="center"/>
          </w:tcPr>
          <w:p w14:paraId="1708481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 符合第二章“投标人须知”第 3.4.1 项规定</w:t>
            </w:r>
          </w:p>
        </w:tc>
      </w:tr>
      <w:tr w14:paraId="760C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vAlign w:val="top"/>
          </w:tcPr>
          <w:p w14:paraId="48C4718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80" w:type="dxa"/>
            <w:gridSpan w:val="2"/>
            <w:vMerge w:val="continue"/>
            <w:vAlign w:val="top"/>
          </w:tcPr>
          <w:p w14:paraId="5938C087">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843" w:type="dxa"/>
            <w:gridSpan w:val="2"/>
            <w:vAlign w:val="center"/>
          </w:tcPr>
          <w:p w14:paraId="46B0D062">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投标价格</w:t>
            </w:r>
          </w:p>
        </w:tc>
        <w:tc>
          <w:tcPr>
            <w:tcW w:w="5901" w:type="dxa"/>
            <w:vAlign w:val="center"/>
          </w:tcPr>
          <w:p w14:paraId="73B946A5">
            <w:pPr>
              <w:keepNext w:val="0"/>
              <w:keepLines w:val="0"/>
              <w:pageBreakBefore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低于（含等于）招标控制价</w:t>
            </w:r>
          </w:p>
        </w:tc>
      </w:tr>
      <w:tr w14:paraId="370E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Align w:val="top"/>
          </w:tcPr>
          <w:p w14:paraId="3D1FAAAB">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10" w14:cap="flat" w14:cmpd="sng">
                  <w14:solidFill>
                    <w14:srgbClr w14:val="000000"/>
                  </w14:solidFill>
                  <w14:prstDash w14:val="solid"/>
                  <w14:miter w14:val="0"/>
                </w14:textOutline>
              </w:rPr>
              <w:t>条款号</w:t>
            </w:r>
          </w:p>
        </w:tc>
        <w:tc>
          <w:tcPr>
            <w:tcW w:w="2552" w:type="dxa"/>
            <w:gridSpan w:val="3"/>
            <w:vAlign w:val="top"/>
          </w:tcPr>
          <w:p w14:paraId="59518C84">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10" w14:cap="flat" w14:cmpd="sng">
                  <w14:solidFill>
                    <w14:srgbClr w14:val="000000"/>
                  </w14:solidFill>
                  <w14:prstDash w14:val="solid"/>
                  <w14:miter w14:val="0"/>
                </w14:textOutline>
              </w:rPr>
              <w:t>条款内容</w:t>
            </w:r>
          </w:p>
        </w:tc>
        <w:tc>
          <w:tcPr>
            <w:tcW w:w="6272" w:type="dxa"/>
            <w:gridSpan w:val="2"/>
            <w:vAlign w:val="top"/>
          </w:tcPr>
          <w:p w14:paraId="1095097C">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10" w14:cap="flat" w14:cmpd="sng">
                  <w14:solidFill>
                    <w14:srgbClr w14:val="000000"/>
                  </w14:solidFill>
                  <w14:prstDash w14:val="solid"/>
                  <w14:miter w14:val="0"/>
                </w14:textOutline>
              </w:rPr>
              <w:t>编列内容</w:t>
            </w:r>
          </w:p>
        </w:tc>
      </w:tr>
      <w:tr w14:paraId="10C2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62" w:type="dxa"/>
            <w:vAlign w:val="top"/>
          </w:tcPr>
          <w:p w14:paraId="1805496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6DACC5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1F0CB12">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2.2.1</w:t>
            </w:r>
          </w:p>
        </w:tc>
        <w:tc>
          <w:tcPr>
            <w:tcW w:w="2552" w:type="dxa"/>
            <w:gridSpan w:val="3"/>
            <w:vAlign w:val="top"/>
          </w:tcPr>
          <w:p w14:paraId="1D2AC12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097EB41A">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分值构成</w:t>
            </w:r>
          </w:p>
          <w:p w14:paraId="07347D6E">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(总分</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0"/>
                <w:sz w:val="21"/>
                <w:szCs w:val="21"/>
                <w:highlight w:val="none"/>
              </w:rPr>
              <w:t>分)</w:t>
            </w:r>
          </w:p>
        </w:tc>
        <w:tc>
          <w:tcPr>
            <w:tcW w:w="6272" w:type="dxa"/>
            <w:gridSpan w:val="2"/>
            <w:vAlign w:val="top"/>
          </w:tcPr>
          <w:p w14:paraId="299CF58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监理大纲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p w14:paraId="6F051EE5">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511C53E2">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企业综合实力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712FE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3" w:hRule="atLeast"/>
        </w:trPr>
        <w:tc>
          <w:tcPr>
            <w:tcW w:w="862" w:type="dxa"/>
            <w:vAlign w:val="top"/>
          </w:tcPr>
          <w:p w14:paraId="1398E2A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6FF8474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02CE753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2.2.2</w:t>
            </w:r>
          </w:p>
        </w:tc>
        <w:tc>
          <w:tcPr>
            <w:tcW w:w="2552" w:type="dxa"/>
            <w:gridSpan w:val="3"/>
            <w:vAlign w:val="top"/>
          </w:tcPr>
          <w:p w14:paraId="6CC88BF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14FA3169">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评标基准价计算方法</w:t>
            </w:r>
          </w:p>
        </w:tc>
        <w:tc>
          <w:tcPr>
            <w:tcW w:w="6272" w:type="dxa"/>
            <w:gridSpan w:val="2"/>
            <w:vAlign w:val="top"/>
          </w:tcPr>
          <w:p w14:paraId="08968428">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有效投标报价在最高投标限价 95%（含）-100%（含）之间的参与评标基准价的计算，否则不参与评标基准价的计算，但参与计算报价得分。</w:t>
            </w:r>
          </w:p>
          <w:p w14:paraId="4CA10F6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（1）当参与评标基准价计算的投标人数量在 5 家（不含 5 家） 以上时，评标基准价=最高投标限价×50%+在最高投标限价 95% （含）-100%（含）之间去掉一个最高值和一个最低值后有效投标</w:t>
            </w:r>
          </w:p>
          <w:p w14:paraId="1338C07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人评标价的算术平均值×50%；</w:t>
            </w:r>
          </w:p>
          <w:p w14:paraId="65E6092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（2）当参与评标基准价计算的投标人数量少于 5 家（含 5 家） 时，评标基准价=最高投标限价×50%+在最高投标限价 95%（含）-100%（含）之间的所有有效投标人评标价的算术平均值×50%；</w:t>
            </w:r>
          </w:p>
          <w:p w14:paraId="7C1346B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（3）当所有有效投标人投标报价均不在最高投标限价 95%（含）-100%（含）之间的，评标基准价=最高投标限价×97.5%。</w:t>
            </w:r>
          </w:p>
        </w:tc>
      </w:tr>
      <w:tr w14:paraId="332AC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Align w:val="top"/>
          </w:tcPr>
          <w:p w14:paraId="1F1975F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2.2.3</w:t>
            </w:r>
          </w:p>
        </w:tc>
        <w:tc>
          <w:tcPr>
            <w:tcW w:w="2552" w:type="dxa"/>
            <w:gridSpan w:val="3"/>
            <w:vAlign w:val="top"/>
          </w:tcPr>
          <w:p w14:paraId="27420AA9">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投标报价的偏差率计算公式</w:t>
            </w:r>
          </w:p>
        </w:tc>
        <w:tc>
          <w:tcPr>
            <w:tcW w:w="6272" w:type="dxa"/>
            <w:gridSpan w:val="2"/>
            <w:vAlign w:val="top"/>
          </w:tcPr>
          <w:p w14:paraId="788B237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偏差率=投标报价的偏差率计算公式：偏差率=100%×（投标报价－评标基准价）/评标基准价</w:t>
            </w:r>
          </w:p>
          <w:p w14:paraId="36D992B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偏差率计算结果保留小数点后两位，小数点后第三位四舍五入。</w:t>
            </w:r>
          </w:p>
        </w:tc>
      </w:tr>
      <w:tr w14:paraId="5E66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Align w:val="top"/>
          </w:tcPr>
          <w:p w14:paraId="6AE4468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条款号</w:t>
            </w:r>
          </w:p>
        </w:tc>
        <w:tc>
          <w:tcPr>
            <w:tcW w:w="2552" w:type="dxa"/>
            <w:gridSpan w:val="3"/>
            <w:vAlign w:val="top"/>
          </w:tcPr>
          <w:p w14:paraId="752FEAE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评分因素</w:t>
            </w:r>
          </w:p>
        </w:tc>
        <w:tc>
          <w:tcPr>
            <w:tcW w:w="6272" w:type="dxa"/>
            <w:gridSpan w:val="2"/>
            <w:vAlign w:val="top"/>
          </w:tcPr>
          <w:p w14:paraId="7DCD117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评分标准</w:t>
            </w:r>
          </w:p>
        </w:tc>
      </w:tr>
      <w:tr w14:paraId="03538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restart"/>
            <w:tcBorders>
              <w:top w:val="nil"/>
            </w:tcBorders>
            <w:vAlign w:val="top"/>
          </w:tcPr>
          <w:p w14:paraId="77BE275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2.2.4（1）</w:t>
            </w:r>
          </w:p>
        </w:tc>
        <w:tc>
          <w:tcPr>
            <w:tcW w:w="1052" w:type="dxa"/>
            <w:vMerge w:val="restart"/>
            <w:tcBorders>
              <w:top w:val="nil"/>
            </w:tcBorders>
            <w:vAlign w:val="top"/>
          </w:tcPr>
          <w:p w14:paraId="4528842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技术标（50分）</w:t>
            </w:r>
          </w:p>
        </w:tc>
        <w:tc>
          <w:tcPr>
            <w:tcW w:w="1500" w:type="dxa"/>
            <w:gridSpan w:val="2"/>
            <w:tcBorders>
              <w:bottom w:val="single" w:color="auto" w:sz="4" w:space="0"/>
            </w:tcBorders>
            <w:vAlign w:val="top"/>
          </w:tcPr>
          <w:p w14:paraId="70C1959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对招标项目的特点、关键性技术问题的认识及其对策（6分）</w:t>
            </w:r>
          </w:p>
        </w:tc>
        <w:tc>
          <w:tcPr>
            <w:tcW w:w="6272" w:type="dxa"/>
            <w:gridSpan w:val="2"/>
            <w:tcBorders>
              <w:bottom w:val="single" w:color="auto" w:sz="4" w:space="0"/>
            </w:tcBorders>
            <w:vAlign w:val="top"/>
          </w:tcPr>
          <w:p w14:paraId="62449C8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1、对本项目的特点、重点、难点的把握准确、分析透彻；（0-2）</w:t>
            </w:r>
          </w:p>
          <w:p w14:paraId="7E74E74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2、针对工程特点提出切实对策措施及总体方案。（0-4）</w:t>
            </w:r>
          </w:p>
        </w:tc>
      </w:tr>
      <w:tr w14:paraId="4761C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nil"/>
            </w:tcBorders>
            <w:vAlign w:val="top"/>
          </w:tcPr>
          <w:p w14:paraId="530B77C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7B6AECE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bottom w:val="single" w:color="auto" w:sz="4" w:space="0"/>
            </w:tcBorders>
            <w:vAlign w:val="top"/>
          </w:tcPr>
          <w:p w14:paraId="74C6E84C">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7271C82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组织机构设置（4分）</w:t>
            </w:r>
          </w:p>
        </w:tc>
        <w:tc>
          <w:tcPr>
            <w:tcW w:w="6272" w:type="dxa"/>
            <w:gridSpan w:val="2"/>
            <w:tcBorders>
              <w:bottom w:val="single" w:color="auto" w:sz="4" w:space="0"/>
            </w:tcBorders>
            <w:vAlign w:val="top"/>
          </w:tcPr>
          <w:p w14:paraId="58FF1DA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1、有现场监理组织机构图，组织机构设置中考虑到公司对现</w:t>
            </w:r>
          </w:p>
          <w:p w14:paraId="20536802">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场监理部监督管理；（0-2）</w:t>
            </w:r>
          </w:p>
          <w:p w14:paraId="08E988C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2、有明确的各级监理人员岗位职责。（0-2）</w:t>
            </w:r>
          </w:p>
        </w:tc>
      </w:tr>
      <w:tr w14:paraId="4BBBA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nil"/>
            </w:tcBorders>
            <w:vAlign w:val="top"/>
          </w:tcPr>
          <w:p w14:paraId="1AE3417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5E03736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bottom w:val="single" w:color="auto" w:sz="4" w:space="0"/>
            </w:tcBorders>
            <w:vAlign w:val="top"/>
          </w:tcPr>
          <w:p w14:paraId="14AF304C">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4E5CA28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24D3BE3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质量控制（5分）</w:t>
            </w:r>
          </w:p>
        </w:tc>
        <w:tc>
          <w:tcPr>
            <w:tcW w:w="6272" w:type="dxa"/>
            <w:gridSpan w:val="2"/>
            <w:tcBorders>
              <w:bottom w:val="single" w:color="auto" w:sz="4" w:space="0"/>
            </w:tcBorders>
            <w:vAlign w:val="top"/>
          </w:tcPr>
          <w:p w14:paraId="4FC2122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1、事前质量控制的措施和方法；（0-1）</w:t>
            </w:r>
          </w:p>
          <w:p w14:paraId="646CE0DA">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2、原材料质量控制的措施和方法；（0-1）</w:t>
            </w:r>
          </w:p>
          <w:p w14:paraId="0DA58F6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3、事中质量控制的措施和方法；（0-1）</w:t>
            </w:r>
          </w:p>
          <w:p w14:paraId="40D24F58">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4、事后质量控制的措施和方法；（0-1）</w:t>
            </w:r>
          </w:p>
          <w:p w14:paraId="6D229E7C">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5、旁站监理的措施和方法。（0-1）</w:t>
            </w:r>
          </w:p>
        </w:tc>
      </w:tr>
      <w:tr w14:paraId="403D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nil"/>
            </w:tcBorders>
            <w:vAlign w:val="top"/>
          </w:tcPr>
          <w:p w14:paraId="4DB6CDB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69B4EBB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bottom w:val="single" w:color="auto" w:sz="4" w:space="0"/>
            </w:tcBorders>
            <w:vAlign w:val="top"/>
          </w:tcPr>
          <w:p w14:paraId="5CBA5D8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4BB68C8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进度控制（5分）</w:t>
            </w:r>
          </w:p>
        </w:tc>
        <w:tc>
          <w:tcPr>
            <w:tcW w:w="6272" w:type="dxa"/>
            <w:gridSpan w:val="2"/>
            <w:tcBorders>
              <w:bottom w:val="single" w:color="auto" w:sz="4" w:space="0"/>
            </w:tcBorders>
            <w:vAlign w:val="top"/>
          </w:tcPr>
          <w:p w14:paraId="48649EA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1、对实现工期目标的可行性论述；（0-1）</w:t>
            </w:r>
          </w:p>
          <w:p w14:paraId="5668A0E2">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2、进度控制的监理工作内容、原则、程序、方法；（0-2）</w:t>
            </w:r>
          </w:p>
          <w:p w14:paraId="6C3ECDC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3、进度控制监理措施详细，技术措施、组织措施、经济措施、</w:t>
            </w:r>
          </w:p>
          <w:p w14:paraId="5525FF5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合同措施齐全。（0-2）</w:t>
            </w:r>
          </w:p>
        </w:tc>
      </w:tr>
      <w:tr w14:paraId="7958A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bottom w:val="nil"/>
            </w:tcBorders>
            <w:vAlign w:val="top"/>
          </w:tcPr>
          <w:p w14:paraId="5C65B729">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6C705C3A">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4075BA7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6A2A4FE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投资控制（5分）</w:t>
            </w:r>
          </w:p>
        </w:tc>
        <w:tc>
          <w:tcPr>
            <w:tcW w:w="6272" w:type="dxa"/>
            <w:gridSpan w:val="2"/>
            <w:tcBorders>
              <w:top w:val="single" w:color="auto" w:sz="4" w:space="0"/>
              <w:bottom w:val="single" w:color="auto" w:sz="4" w:space="0"/>
            </w:tcBorders>
            <w:vAlign w:val="top"/>
          </w:tcPr>
          <w:p w14:paraId="2043997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1、投资控制的监理工作内容、原则、程序和方法；（0-1）</w:t>
            </w:r>
          </w:p>
          <w:p w14:paraId="4DB3317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2、投资控制的监理措施详细，技术措施、组织措施、经济措</w:t>
            </w:r>
          </w:p>
          <w:p w14:paraId="1CA2CAB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施、合同措施齐全；（0-2）</w:t>
            </w:r>
          </w:p>
          <w:p w14:paraId="25AEE9A2">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3、有工程变更、费用索赔的管理方法。（0-2）</w:t>
            </w:r>
          </w:p>
        </w:tc>
      </w:tr>
      <w:tr w14:paraId="24BE1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nil"/>
            </w:tcBorders>
            <w:vAlign w:val="top"/>
          </w:tcPr>
          <w:p w14:paraId="32878E7A">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08077E0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328A21E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7AB6DD3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安全文明管理（4分）</w:t>
            </w:r>
          </w:p>
        </w:tc>
        <w:tc>
          <w:tcPr>
            <w:tcW w:w="6272" w:type="dxa"/>
            <w:gridSpan w:val="2"/>
            <w:tcBorders>
              <w:top w:val="single" w:color="auto" w:sz="4" w:space="0"/>
              <w:bottom w:val="single" w:color="auto" w:sz="4" w:space="0"/>
            </w:tcBorders>
            <w:vAlign w:val="top"/>
          </w:tcPr>
          <w:p w14:paraId="153526C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1、安全文明的监理工作内容、原则、程序和方法；（0-2）</w:t>
            </w:r>
          </w:p>
          <w:p w14:paraId="0A64A478">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2、安全文明监理措施详细，技术措施、组织措施、经济措施、</w:t>
            </w:r>
          </w:p>
          <w:p w14:paraId="5D947E5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合同措施齐全。（0-2）</w:t>
            </w:r>
          </w:p>
        </w:tc>
      </w:tr>
      <w:tr w14:paraId="7C31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bottom w:val="nil"/>
            </w:tcBorders>
            <w:vAlign w:val="top"/>
          </w:tcPr>
          <w:p w14:paraId="65973D5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3F36F3A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649ECEF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485A8D82">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合同管理（4分）</w:t>
            </w:r>
          </w:p>
        </w:tc>
        <w:tc>
          <w:tcPr>
            <w:tcW w:w="6272" w:type="dxa"/>
            <w:gridSpan w:val="2"/>
            <w:tcBorders>
              <w:top w:val="single" w:color="auto" w:sz="4" w:space="0"/>
            </w:tcBorders>
            <w:vAlign w:val="top"/>
          </w:tcPr>
          <w:p w14:paraId="29B52D9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1、合同管理的监理工作内容、原则、程序和方法；（0-2）</w:t>
            </w:r>
          </w:p>
          <w:p w14:paraId="2223E85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2、合同管理的监理措施详细，技术措施、组织措施、经济措</w:t>
            </w:r>
          </w:p>
          <w:p w14:paraId="7E360D6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施、合同措施齐全。（0-2）</w:t>
            </w:r>
          </w:p>
        </w:tc>
      </w:tr>
      <w:tr w14:paraId="3A0C2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nil"/>
            </w:tcBorders>
            <w:vAlign w:val="top"/>
          </w:tcPr>
          <w:p w14:paraId="22BAFBA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11C96B0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00C8F112">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76AAE9A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181C84D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信息管理（5分）</w:t>
            </w:r>
          </w:p>
        </w:tc>
        <w:tc>
          <w:tcPr>
            <w:tcW w:w="6272" w:type="dxa"/>
            <w:gridSpan w:val="2"/>
            <w:tcBorders>
              <w:bottom w:val="single" w:color="auto" w:sz="4" w:space="0"/>
            </w:tcBorders>
            <w:vAlign w:val="top"/>
          </w:tcPr>
          <w:p w14:paraId="35CFF9B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1、信息管理的监理工作内容、原则、程序和方法；（0-2）</w:t>
            </w:r>
          </w:p>
          <w:p w14:paraId="30F125D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2、信息管理的监理措施齐全，针对性强；（0-2）</w:t>
            </w:r>
          </w:p>
          <w:p w14:paraId="769AAA0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3、承诺在招标项目上应用信息管理平台进行管理，提供信息</w:t>
            </w:r>
          </w:p>
          <w:p w14:paraId="73B68B3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管理平台相关证明文件。（0-1）</w:t>
            </w:r>
          </w:p>
          <w:p w14:paraId="3693F2F9">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注：需提供自主研发平台软件著作权或第三方租赁协议。</w:t>
            </w:r>
          </w:p>
        </w:tc>
      </w:tr>
      <w:tr w14:paraId="7D91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bottom w:val="nil"/>
            </w:tcBorders>
            <w:vAlign w:val="top"/>
          </w:tcPr>
          <w:p w14:paraId="264F181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74418C8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770929E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749AC0A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工作协调（4分）</w:t>
            </w:r>
          </w:p>
        </w:tc>
        <w:tc>
          <w:tcPr>
            <w:tcW w:w="6272" w:type="dxa"/>
            <w:gridSpan w:val="2"/>
            <w:tcBorders>
              <w:top w:val="single" w:color="auto" w:sz="4" w:space="0"/>
              <w:bottom w:val="single" w:color="auto" w:sz="4" w:space="0"/>
            </w:tcBorders>
            <w:vAlign w:val="top"/>
          </w:tcPr>
          <w:p w14:paraId="211D3A3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1、项目工作协调的监理工作内容、原则、程序和方法；（0-2）</w:t>
            </w:r>
          </w:p>
          <w:p w14:paraId="4B7B12D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2、项目工作协调的监理措施详细，技术措施、组织措施、经</w:t>
            </w:r>
          </w:p>
          <w:p w14:paraId="3FDC882A">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济措施、合同措施齐全。（0-2）</w:t>
            </w:r>
          </w:p>
        </w:tc>
      </w:tr>
      <w:tr w14:paraId="0D83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bottom w:val="nil"/>
            </w:tcBorders>
            <w:vAlign w:val="top"/>
          </w:tcPr>
          <w:p w14:paraId="116885A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1D2B293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46FAAE6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71E0AD1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环保监理（2分）</w:t>
            </w:r>
          </w:p>
        </w:tc>
        <w:tc>
          <w:tcPr>
            <w:tcW w:w="6272" w:type="dxa"/>
            <w:gridSpan w:val="2"/>
            <w:tcBorders>
              <w:top w:val="single" w:color="auto" w:sz="4" w:space="0"/>
              <w:bottom w:val="single" w:color="auto" w:sz="4" w:space="0"/>
            </w:tcBorders>
            <w:vAlign w:val="top"/>
          </w:tcPr>
          <w:p w14:paraId="5E0B29E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环保监理的方案科学、合理，达到环保要求，有针对性。（0-2）</w:t>
            </w:r>
          </w:p>
          <w:p w14:paraId="444FF8DC">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（须包含大气污染防治、防尘治理及建筑垃圾处理监理方案）</w:t>
            </w:r>
          </w:p>
        </w:tc>
      </w:tr>
      <w:tr w14:paraId="1DD11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bottom w:val="nil"/>
            </w:tcBorders>
            <w:vAlign w:val="top"/>
          </w:tcPr>
          <w:p w14:paraId="5CF0150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06D171EC">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245AA60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监理工作条件及仪器设备配置（2分）</w:t>
            </w:r>
          </w:p>
        </w:tc>
        <w:tc>
          <w:tcPr>
            <w:tcW w:w="6272" w:type="dxa"/>
            <w:gridSpan w:val="2"/>
            <w:tcBorders>
              <w:top w:val="single" w:color="auto" w:sz="4" w:space="0"/>
              <w:bottom w:val="single" w:color="auto" w:sz="4" w:space="0"/>
            </w:tcBorders>
            <w:vAlign w:val="top"/>
          </w:tcPr>
          <w:p w14:paraId="2D4DC448">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拟投入本项目的工作条件及监理仪器设备配置先进、科学、 合理， 自行配备有经纬仪、水准仪、计算机、预算软件、监理管</w:t>
            </w:r>
          </w:p>
          <w:p w14:paraId="119A1D5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理软件、打印机设备等，缺一项扣 0.5 分。（0-2）</w:t>
            </w:r>
          </w:p>
        </w:tc>
      </w:tr>
      <w:tr w14:paraId="7EF55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62" w:type="dxa"/>
            <w:vMerge w:val="continue"/>
            <w:tcBorders>
              <w:top w:val="nil"/>
              <w:bottom w:val="nil"/>
            </w:tcBorders>
            <w:vAlign w:val="top"/>
          </w:tcPr>
          <w:p w14:paraId="1DCEC1D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052" w:type="dxa"/>
            <w:vMerge w:val="continue"/>
            <w:tcBorders>
              <w:top w:val="nil"/>
              <w:bottom w:val="nil"/>
            </w:tcBorders>
            <w:vAlign w:val="top"/>
          </w:tcPr>
          <w:p w14:paraId="18D84DB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tc>
        <w:tc>
          <w:tcPr>
            <w:tcW w:w="1500" w:type="dxa"/>
            <w:gridSpan w:val="2"/>
            <w:tcBorders>
              <w:top w:val="single" w:color="auto" w:sz="4" w:space="0"/>
              <w:bottom w:val="single" w:color="auto" w:sz="4" w:space="0"/>
            </w:tcBorders>
            <w:vAlign w:val="top"/>
          </w:tcPr>
          <w:p w14:paraId="429A7A3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针对本项目的</w:t>
            </w:r>
          </w:p>
          <w:p w14:paraId="7250238D">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en-US" w:bidi="ar"/>
              </w:rPr>
            </w:pPr>
            <w:r>
              <w:rPr>
                <w:rFonts w:hint="eastAsia" w:ascii="宋体" w:hAnsi="宋体" w:eastAsia="宋体" w:cs="宋体"/>
                <w:snapToGrid w:val="0"/>
                <w:color w:val="auto"/>
                <w:kern w:val="0"/>
                <w:sz w:val="21"/>
                <w:szCs w:val="21"/>
                <w:highlight w:val="none"/>
                <w:lang w:val="en-US" w:eastAsia="zh-CN" w:bidi="ar"/>
              </w:rPr>
              <w:t>理化建议（4分）</w:t>
            </w:r>
          </w:p>
        </w:tc>
        <w:tc>
          <w:tcPr>
            <w:tcW w:w="6272" w:type="dxa"/>
            <w:gridSpan w:val="2"/>
            <w:tcBorders>
              <w:top w:val="single" w:color="auto" w:sz="4" w:space="0"/>
              <w:bottom w:val="single" w:color="auto" w:sz="4" w:space="0"/>
            </w:tcBorders>
            <w:vAlign w:val="top"/>
          </w:tcPr>
          <w:p w14:paraId="1944383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7B76E865">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合理化建议针对性强、切实可行。（0-4）</w:t>
            </w:r>
          </w:p>
        </w:tc>
      </w:tr>
      <w:tr w14:paraId="1F37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62" w:type="dxa"/>
            <w:vMerge w:val="continue"/>
            <w:tcBorders>
              <w:top w:val="nil"/>
              <w:bottom w:val="single" w:color="auto" w:sz="4" w:space="0"/>
            </w:tcBorders>
            <w:vAlign w:val="top"/>
          </w:tcPr>
          <w:p w14:paraId="605B94F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52" w:type="dxa"/>
            <w:vMerge w:val="continue"/>
            <w:tcBorders>
              <w:top w:val="nil"/>
              <w:bottom w:val="single" w:color="auto" w:sz="4" w:space="0"/>
            </w:tcBorders>
            <w:vAlign w:val="top"/>
          </w:tcPr>
          <w:p w14:paraId="405BC8A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7772" w:type="dxa"/>
            <w:gridSpan w:val="4"/>
            <w:tcBorders>
              <w:top w:val="single" w:color="auto" w:sz="4" w:space="0"/>
              <w:bottom w:val="single" w:color="auto" w:sz="4" w:space="0"/>
            </w:tcBorders>
            <w:vAlign w:val="top"/>
          </w:tcPr>
          <w:p w14:paraId="3C9E079A">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1.各档次的标准设定如下： </w:t>
            </w:r>
          </w:p>
          <w:p w14:paraId="4E2B52E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优：内容详实，方案科学、合理、安全，考虑周全，措施到位，针对性强，完全能够满足 </w:t>
            </w:r>
          </w:p>
          <w:p w14:paraId="62539413">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招标工程的需要。计分范围为分项分值范围的 80%-100%； </w:t>
            </w:r>
          </w:p>
          <w:p w14:paraId="687CFFF7">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良：内容完整，方案基本科学、合理、安全，基本考虑周全，措施基本到位，针对性较强， </w:t>
            </w:r>
          </w:p>
          <w:p w14:paraId="7E6B58B1">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可以满足招标工程的需要，但有个别细节需要进一步完善或提高。计分范围为分值范围的 </w:t>
            </w:r>
          </w:p>
          <w:p w14:paraId="5B30EE6C">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60%-80%； </w:t>
            </w:r>
          </w:p>
          <w:p w14:paraId="552F1F19">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一般：内容基本完整，方案在科学、合理、安全性方面一般，考虑不够周全，措施不够到 </w:t>
            </w:r>
          </w:p>
          <w:p w14:paraId="1E3434EE">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位，针对性不强，虽然能够基本满足招标工程的需要，但有很多方面需要进一步完善甚至 </w:t>
            </w:r>
          </w:p>
          <w:p w14:paraId="3450F19B">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重新考虑。计分范围为分值范围的 40%-60%； </w:t>
            </w:r>
          </w:p>
          <w:p w14:paraId="4FFD5069">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差：内容不完整，方案在科学、合理、安全性方面差，考虑非常不周，措施基本不到位， </w:t>
            </w:r>
          </w:p>
          <w:p w14:paraId="52B7A088">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没有针对性，不能满足招标工程的需要。计分范围为分值范围的 20%-40%；</w:t>
            </w:r>
          </w:p>
          <w:p w14:paraId="194020F0">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
              </w:rPr>
              <w:t>2.各分项内容如缺项，相应项目得分为 0。</w:t>
            </w:r>
          </w:p>
        </w:tc>
      </w:tr>
      <w:tr w14:paraId="04EB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62" w:type="dxa"/>
            <w:vAlign w:val="top"/>
          </w:tcPr>
          <w:p w14:paraId="271E1B7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0F765E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448B3F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EE2C58B">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2.2.1</w:t>
            </w:r>
          </w:p>
          <w:p w14:paraId="73529081">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p>
        </w:tc>
        <w:tc>
          <w:tcPr>
            <w:tcW w:w="1052" w:type="dxa"/>
            <w:vAlign w:val="top"/>
          </w:tcPr>
          <w:p w14:paraId="2EE0DC9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0A5B2D2">
            <w:pPr>
              <w:pStyle w:val="29"/>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商务标</w:t>
            </w:r>
            <w:r>
              <w:rPr>
                <w:rFonts w:hint="eastAsia" w:ascii="宋体" w:hAnsi="宋体" w:eastAsia="宋体" w:cs="宋体"/>
                <w:color w:val="auto"/>
                <w:spacing w:val="-2"/>
                <w:sz w:val="21"/>
                <w:szCs w:val="21"/>
                <w:highlight w:val="none"/>
              </w:rPr>
              <w:t>评审标准</w:t>
            </w:r>
            <w:r>
              <w:rPr>
                <w:rFonts w:hint="eastAsia" w:ascii="宋体" w:hAnsi="宋体" w:eastAsia="宋体" w:cs="宋体"/>
                <w:color w:val="auto"/>
                <w:spacing w:val="-4"/>
                <w:sz w:val="21"/>
                <w:szCs w:val="21"/>
                <w:highlight w:val="none"/>
              </w:rPr>
              <w:t>（</w:t>
            </w:r>
            <w:r>
              <w:rPr>
                <w:rFonts w:hint="eastAsia"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0分）</w:t>
            </w:r>
          </w:p>
        </w:tc>
        <w:tc>
          <w:tcPr>
            <w:tcW w:w="1500" w:type="dxa"/>
            <w:gridSpan w:val="2"/>
            <w:vAlign w:val="top"/>
          </w:tcPr>
          <w:p w14:paraId="2E9D1622">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14F33AB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6852F174">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p>
          <w:p w14:paraId="1A815F2F">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投标报价（30分）</w:t>
            </w:r>
          </w:p>
        </w:tc>
        <w:tc>
          <w:tcPr>
            <w:tcW w:w="6272" w:type="dxa"/>
            <w:gridSpan w:val="2"/>
            <w:vAlign w:val="top"/>
          </w:tcPr>
          <w:p w14:paraId="1DC8D6FA">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投标报价等于评标基准值得基本分25分，投标报价每高于评标基准值 1%在基本分25分的基础上扣 1分 ， 扣完为止；</w:t>
            </w:r>
          </w:p>
          <w:p w14:paraId="518438D6">
            <w:pPr>
              <w:keepNext w:val="0"/>
              <w:keepLines w:val="0"/>
              <w:pageBreakBefore w:val="0"/>
              <w:widowControl/>
              <w:suppressLineNumbers w:val="0"/>
              <w:wordWrap/>
              <w:topLinePunct w:val="0"/>
              <w:autoSpaceDE w:val="0"/>
              <w:autoSpaceDN w:val="0"/>
              <w:bidi w:val="0"/>
              <w:snapToGrid w:val="0"/>
              <w:spacing w:line="240" w:lineRule="auto"/>
              <w:ind w:left="0" w:right="0" w:firstLine="0" w:firstLineChars="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投标报价每低于评标基准值 1%在基本分25分的基础上加 1分，最高加5分； 当投标报价低于评标基准值5%（不含）以上时，每再低1%在满分30分的基础上扣2分，扣完为止。</w:t>
            </w:r>
          </w:p>
        </w:tc>
      </w:tr>
      <w:tr w14:paraId="575D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862" w:type="dxa"/>
            <w:vMerge w:val="restart"/>
            <w:vAlign w:val="top"/>
          </w:tcPr>
          <w:p w14:paraId="5843F180">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48AAF5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2590662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2D50149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5232B5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0E6B68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21C708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6B635C0">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AAD456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3B84270">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95DD4E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058475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2C5F7F35">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3677FF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028D91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A145D8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FD7BD3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363026E">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position w:val="14"/>
                <w:sz w:val="21"/>
                <w:szCs w:val="21"/>
                <w:highlight w:val="none"/>
              </w:rPr>
              <w:t>2.2.3</w:t>
            </w:r>
          </w:p>
          <w:p w14:paraId="0F333875">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w:t>
            </w:r>
          </w:p>
        </w:tc>
        <w:tc>
          <w:tcPr>
            <w:tcW w:w="1052" w:type="dxa"/>
            <w:vMerge w:val="restart"/>
            <w:vAlign w:val="top"/>
          </w:tcPr>
          <w:p w14:paraId="7449059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B88CBB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30398E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3FFE637">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55060A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73089A92">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0F0EFAE">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4F12A6C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8F57B3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035A8825">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67BCBD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97D5E2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BAA263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50BCFC8">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159AD3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DD3DBB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054A66A">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企业综合实力(</w:t>
            </w:r>
            <w:r>
              <w:rPr>
                <w:rFonts w:hint="eastAsia" w:ascii="宋体" w:hAnsi="宋体" w:eastAsia="宋体" w:cs="宋体"/>
                <w:color w:val="auto"/>
                <w:kern w:val="0"/>
                <w:sz w:val="21"/>
                <w:szCs w:val="21"/>
                <w:highlight w:val="none"/>
                <w:lang w:val="en-US" w:eastAsia="zh-CN"/>
              </w:rPr>
              <w:t>2</w:t>
            </w:r>
            <w:r>
              <w:rPr>
                <w:rFonts w:hint="eastAsia"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1500" w:type="dxa"/>
            <w:gridSpan w:val="2"/>
            <w:vAlign w:val="center"/>
          </w:tcPr>
          <w:p w14:paraId="3AC9398E">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7A37C160">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（4分）</w:t>
            </w:r>
          </w:p>
        </w:tc>
        <w:tc>
          <w:tcPr>
            <w:tcW w:w="6272" w:type="dxa"/>
            <w:gridSpan w:val="2"/>
            <w:vAlign w:val="center"/>
          </w:tcPr>
          <w:p w14:paraId="2DDF023F">
            <w:pPr>
              <w:pStyle w:val="31"/>
              <w:keepNext w:val="0"/>
              <w:keepLines w:val="0"/>
              <w:pageBreakBefore w:val="0"/>
              <w:kinsoku w:val="0"/>
              <w:wordWrap/>
              <w:overflowPunct w:val="0"/>
              <w:topLinePunct w:val="0"/>
              <w:autoSpaceDE w:val="0"/>
              <w:autoSpaceDN w:val="0"/>
              <w:bidi w:val="0"/>
              <w:snapToGrid w:val="0"/>
              <w:spacing w:line="240" w:lineRule="auto"/>
              <w:ind w:left="0" w:leftChars="0" w:right="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 2022年 1 月 1 日以来承接过类似的市政工程监理项目业绩的，每提供一项得2分，最多得4分。</w:t>
            </w:r>
          </w:p>
          <w:p w14:paraId="70F9E2B6">
            <w:pPr>
              <w:pStyle w:val="31"/>
              <w:keepNext w:val="0"/>
              <w:keepLines w:val="0"/>
              <w:pageBreakBefore w:val="0"/>
              <w:kinsoku w:val="0"/>
              <w:wordWrap/>
              <w:overflowPunct w:val="0"/>
              <w:topLinePunct w:val="0"/>
              <w:autoSpaceDE w:val="0"/>
              <w:autoSpaceDN w:val="0"/>
              <w:bidi w:val="0"/>
              <w:snapToGrid w:val="0"/>
              <w:spacing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注：类似项目业绩证明材料以合同为准；投标人应提供合同扫描件等关键内容，提供的业绩合同不符合上述要求的，均不得分。</w:t>
            </w:r>
          </w:p>
        </w:tc>
      </w:tr>
      <w:tr w14:paraId="7717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862" w:type="dxa"/>
            <w:vMerge w:val="continue"/>
            <w:vAlign w:val="top"/>
          </w:tcPr>
          <w:p w14:paraId="4C1B67C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52" w:type="dxa"/>
            <w:vMerge w:val="continue"/>
            <w:vAlign w:val="top"/>
          </w:tcPr>
          <w:p w14:paraId="191A0D54">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500" w:type="dxa"/>
            <w:gridSpan w:val="2"/>
            <w:vAlign w:val="center"/>
          </w:tcPr>
          <w:p w14:paraId="36B14EE4">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项目管理机构</w:t>
            </w:r>
          </w:p>
          <w:p w14:paraId="326B463C">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（4分）</w:t>
            </w:r>
          </w:p>
        </w:tc>
        <w:tc>
          <w:tcPr>
            <w:tcW w:w="6272" w:type="dxa"/>
            <w:gridSpan w:val="2"/>
            <w:vAlign w:val="center"/>
          </w:tcPr>
          <w:p w14:paraId="15802A61">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拟派项目管理机构中总监代表、专业监理工程师、监理员、资料员配备齐全的，符合上述要求的得 4 分，有一项不符合要求不得分。扣完为止。</w:t>
            </w:r>
          </w:p>
          <w:p w14:paraId="41295FF6">
            <w:pPr>
              <w:pStyle w:val="31"/>
              <w:keepNext w:val="0"/>
              <w:keepLines w:val="0"/>
              <w:pageBreakBefore w:val="0"/>
              <w:kinsoku w:val="0"/>
              <w:wordWrap/>
              <w:overflowPunct w:val="0"/>
              <w:topLinePunct w:val="0"/>
              <w:autoSpaceDE w:val="0"/>
              <w:autoSpaceDN w:val="0"/>
              <w:bidi w:val="0"/>
              <w:snapToGrid w:val="0"/>
              <w:spacing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kern w:val="2"/>
                <w:sz w:val="21"/>
                <w:szCs w:val="21"/>
                <w:highlight w:val="none"/>
                <w:lang w:val="en-US" w:eastAsia="zh-CN" w:bidi="ar-SA"/>
              </w:rPr>
              <w:t>注：投标文件附拟派监理项目部组成人员的身份证、注册证书或职称证书或资格证书或上岗证书的扫描件，缺少资料或未满足上述要求的均不予赋分。</w:t>
            </w:r>
          </w:p>
        </w:tc>
      </w:tr>
      <w:tr w14:paraId="2126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862" w:type="dxa"/>
            <w:vMerge w:val="continue"/>
            <w:vAlign w:val="top"/>
          </w:tcPr>
          <w:p w14:paraId="1E71912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52" w:type="dxa"/>
            <w:vMerge w:val="continue"/>
            <w:vAlign w:val="top"/>
          </w:tcPr>
          <w:p w14:paraId="143B301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500" w:type="dxa"/>
            <w:gridSpan w:val="2"/>
            <w:vAlign w:val="top"/>
          </w:tcPr>
          <w:p w14:paraId="7B9A128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E3918C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36DE338A">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102606E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01432094">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3"/>
                <w:position w:val="20"/>
                <w:sz w:val="21"/>
                <w:szCs w:val="21"/>
                <w:highlight w:val="none"/>
              </w:rPr>
              <w:t>项目监理机构到位率（2 分）</w:t>
            </w:r>
          </w:p>
        </w:tc>
        <w:tc>
          <w:tcPr>
            <w:tcW w:w="6272" w:type="dxa"/>
            <w:gridSpan w:val="2"/>
            <w:vAlign w:val="top"/>
          </w:tcPr>
          <w:p w14:paraId="71D89A8A">
            <w:pPr>
              <w:pStyle w:val="29"/>
              <w:keepNext w:val="0"/>
              <w:keepLines w:val="0"/>
              <w:pageBreakBefore w:val="0"/>
              <w:wordWrap/>
              <w:topLinePunct w:val="0"/>
              <w:autoSpaceDE w:val="0"/>
              <w:autoSpaceDN w:val="0"/>
              <w:bidi w:val="0"/>
              <w:snapToGrid w:val="0"/>
              <w:spacing w:line="240" w:lineRule="auto"/>
              <w:ind w:left="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pacing w:val="13"/>
                <w:position w:val="20"/>
                <w:sz w:val="21"/>
                <w:szCs w:val="21"/>
                <w:highlight w:val="none"/>
              </w:rPr>
              <w:t>河南省建筑市场监管公共服务平台项目总监理工程师实名制</w:t>
            </w:r>
          </w:p>
          <w:p w14:paraId="5351F9C3">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和监理工程师实名制平均考勤率数据接入前，此项采用承诺制。</w:t>
            </w:r>
          </w:p>
          <w:p w14:paraId="0598C384">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position w:val="-4"/>
                <w:sz w:val="21"/>
                <w:szCs w:val="21"/>
                <w:highlight w:val="none"/>
                <w14:textOutline w14:w="2846" w14:cap="sq" w14:cmpd="sng">
                  <w14:solidFill>
                    <w14:srgbClr w14:val="000000"/>
                  </w14:solidFill>
                  <w14:prstDash w14:val="solid"/>
                  <w14:bevel/>
                </w14:textOutline>
              </w:rPr>
              <w:drawing>
                <wp:inline distT="0" distB="0" distL="0" distR="0">
                  <wp:extent cx="102870" cy="139700"/>
                  <wp:effectExtent l="0" t="0" r="11430" b="12700"/>
                  <wp:docPr id="4" name="IM 14"/>
                  <wp:cNvGraphicFramePr/>
                  <a:graphic xmlns:a="http://schemas.openxmlformats.org/drawingml/2006/main">
                    <a:graphicData uri="http://schemas.openxmlformats.org/drawingml/2006/picture">
                      <pic:pic xmlns:pic="http://schemas.openxmlformats.org/drawingml/2006/picture">
                        <pic:nvPicPr>
                          <pic:cNvPr id="4" name="IM 14"/>
                          <pic:cNvPicPr/>
                        </pic:nvPicPr>
                        <pic:blipFill>
                          <a:blip r:embed="rId29"/>
                          <a:stretch>
                            <a:fillRect/>
                          </a:stretch>
                        </pic:blipFill>
                        <pic:spPr>
                          <a:xfrm>
                            <a:off x="0" y="0"/>
                            <a:ext cx="103385" cy="139748"/>
                          </a:xfrm>
                          <a:prstGeom prst="rect">
                            <a:avLst/>
                          </a:prstGeom>
                        </pic:spPr>
                      </pic:pic>
                    </a:graphicData>
                  </a:graphic>
                </wp:inline>
              </w:drawing>
            </w:r>
            <w:r>
              <w:rPr>
                <w:rFonts w:hint="eastAsia" w:ascii="宋体" w:hAnsi="宋体" w:eastAsia="宋体" w:cs="宋体"/>
                <w:color w:val="auto"/>
                <w:spacing w:val="1"/>
                <w:sz w:val="21"/>
                <w:szCs w:val="21"/>
                <w:highlight w:val="none"/>
                <w14:textOutline w14:w="3795" w14:cap="sq" w14:cmpd="sng">
                  <w14:solidFill>
                    <w14:srgbClr w14:val="000000"/>
                  </w14:solidFill>
                  <w14:prstDash w14:val="solid"/>
                  <w14:bevel/>
                </w14:textOutline>
              </w:rPr>
              <w:t>方法</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14:textOutline w14:w="3795" w14:cap="sq" w14:cmpd="sng">
                  <w14:solidFill>
                    <w14:srgbClr w14:val="000000"/>
                  </w14:solidFill>
                  <w14:prstDash w14:val="solid"/>
                  <w14:bevel/>
                </w14:textOutline>
              </w:rPr>
              <w:t>1：</w:t>
            </w:r>
          </w:p>
          <w:p w14:paraId="00ED9B79">
            <w:pPr>
              <w:pStyle w:val="29"/>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3"/>
                <w:sz w:val="21"/>
                <w:szCs w:val="21"/>
                <w:highlight w:val="none"/>
              </w:rPr>
              <w:t>投标人自行承诺在工程管理过程中，项目总监理工程师常驻</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7"/>
                <w:sz w:val="21"/>
                <w:szCs w:val="21"/>
                <w:highlight w:val="none"/>
              </w:rPr>
              <w:t>工地，每月到位率不低于</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80%；项目监理机</w:t>
            </w:r>
            <w:r>
              <w:rPr>
                <w:rFonts w:hint="eastAsia" w:ascii="宋体" w:hAnsi="宋体" w:eastAsia="宋体" w:cs="宋体"/>
                <w:color w:val="auto"/>
                <w:spacing w:val="6"/>
                <w:sz w:val="21"/>
                <w:szCs w:val="21"/>
                <w:highlight w:val="none"/>
              </w:rPr>
              <w:t>构关键岗位配备人员根</w:t>
            </w:r>
            <w:r>
              <w:rPr>
                <w:rFonts w:hint="eastAsia" w:ascii="宋体" w:hAnsi="宋体" w:eastAsia="宋体" w:cs="宋体"/>
                <w:color w:val="auto"/>
                <w:spacing w:val="8"/>
                <w:sz w:val="21"/>
                <w:szCs w:val="21"/>
                <w:highlight w:val="none"/>
              </w:rPr>
              <w:t>据工程进度进场，施工期间常驻工地。</w:t>
            </w:r>
          </w:p>
        </w:tc>
      </w:tr>
      <w:tr w14:paraId="6FE0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862" w:type="dxa"/>
            <w:vMerge w:val="continue"/>
            <w:vAlign w:val="top"/>
          </w:tcPr>
          <w:p w14:paraId="33687EDC">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52" w:type="dxa"/>
            <w:vMerge w:val="continue"/>
            <w:vAlign w:val="top"/>
          </w:tcPr>
          <w:p w14:paraId="4F69DC43">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500" w:type="dxa"/>
            <w:gridSpan w:val="2"/>
            <w:vAlign w:val="top"/>
          </w:tcPr>
          <w:p w14:paraId="4343649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5863523A">
            <w:pPr>
              <w:pStyle w:val="29"/>
              <w:keepNext w:val="0"/>
              <w:keepLines w:val="0"/>
              <w:pageBreakBefore w:val="0"/>
              <w:wordWrap/>
              <w:topLinePunct w:val="0"/>
              <w:autoSpaceDE w:val="0"/>
              <w:autoSpaceDN w:val="0"/>
              <w:bidi w:val="0"/>
              <w:snapToGrid w:val="0"/>
              <w:spacing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rPr>
              <w:t>企业信用（8</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5"/>
                <w:sz w:val="21"/>
                <w:szCs w:val="21"/>
                <w:highlight w:val="none"/>
              </w:rPr>
              <w:t>分）</w:t>
            </w:r>
          </w:p>
        </w:tc>
        <w:tc>
          <w:tcPr>
            <w:tcW w:w="6272" w:type="dxa"/>
            <w:gridSpan w:val="2"/>
            <w:vAlign w:val="top"/>
          </w:tcPr>
          <w:p w14:paraId="1461CC6C">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position w:val="-4"/>
                <w:sz w:val="21"/>
                <w:szCs w:val="21"/>
                <w:highlight w:val="none"/>
                <w14:textOutline w14:w="2846" w14:cap="sq" w14:cmpd="sng">
                  <w14:solidFill>
                    <w14:srgbClr w14:val="000000"/>
                  </w14:solidFill>
                  <w14:prstDash w14:val="solid"/>
                  <w14:bevel/>
                </w14:textOutline>
              </w:rPr>
              <w:drawing>
                <wp:inline distT="0" distB="0" distL="0" distR="0">
                  <wp:extent cx="102870" cy="139700"/>
                  <wp:effectExtent l="0" t="0" r="11430" b="12700"/>
                  <wp:docPr id="5" name="IM 16"/>
                  <wp:cNvGraphicFramePr/>
                  <a:graphic xmlns:a="http://schemas.openxmlformats.org/drawingml/2006/main">
                    <a:graphicData uri="http://schemas.openxmlformats.org/drawingml/2006/picture">
                      <pic:pic xmlns:pic="http://schemas.openxmlformats.org/drawingml/2006/picture">
                        <pic:nvPicPr>
                          <pic:cNvPr id="5" name="IM 16"/>
                          <pic:cNvPicPr/>
                        </pic:nvPicPr>
                        <pic:blipFill>
                          <a:blip r:embed="rId30"/>
                          <a:stretch>
                            <a:fillRect/>
                          </a:stretch>
                        </pic:blipFill>
                        <pic:spPr>
                          <a:xfrm>
                            <a:off x="0" y="0"/>
                            <a:ext cx="103385" cy="139748"/>
                          </a:xfrm>
                          <a:prstGeom prst="rect">
                            <a:avLst/>
                          </a:prstGeom>
                        </pic:spPr>
                      </pic:pic>
                    </a:graphicData>
                  </a:graphic>
                </wp:inline>
              </w:drawing>
            </w:r>
            <w:r>
              <w:rPr>
                <w:rFonts w:hint="eastAsia" w:ascii="宋体" w:hAnsi="宋体" w:eastAsia="宋体" w:cs="宋体"/>
                <w:color w:val="auto"/>
                <w:spacing w:val="5"/>
                <w:sz w:val="21"/>
                <w:szCs w:val="21"/>
                <w:highlight w:val="none"/>
                <w14:textOutline w14:w="3795" w14:cap="sq" w14:cmpd="sng">
                  <w14:solidFill>
                    <w14:srgbClr w14:val="000000"/>
                  </w14:solidFill>
                  <w14:prstDash w14:val="solid"/>
                  <w14:bevel/>
                </w14:textOutline>
              </w:rPr>
              <w:t>方法</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5"/>
                <w:sz w:val="21"/>
                <w:szCs w:val="21"/>
                <w:highlight w:val="none"/>
                <w14:textOutline w14:w="3795" w14:cap="sq" w14:cmpd="sng">
                  <w14:solidFill>
                    <w14:srgbClr w14:val="000000"/>
                  </w14:solidFill>
                  <w14:prstDash w14:val="solid"/>
                  <w14:bevel/>
                </w14:textOutline>
              </w:rPr>
              <w:t>2：</w:t>
            </w:r>
          </w:p>
          <w:p w14:paraId="10C4761F">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position w:val="20"/>
                <w:sz w:val="21"/>
                <w:szCs w:val="21"/>
                <w:highlight w:val="none"/>
              </w:rPr>
              <w:t>某有效投标人市场企业信用评价分为</w:t>
            </w:r>
            <w:r>
              <w:rPr>
                <w:rFonts w:hint="eastAsia" w:ascii="宋体" w:hAnsi="宋体" w:eastAsia="宋体" w:cs="宋体"/>
                <w:color w:val="auto"/>
                <w:spacing w:val="-22"/>
                <w:position w:val="20"/>
                <w:sz w:val="21"/>
                <w:szCs w:val="21"/>
                <w:highlight w:val="none"/>
              </w:rPr>
              <w:t xml:space="preserve"> </w:t>
            </w:r>
            <w:r>
              <w:rPr>
                <w:rFonts w:hint="eastAsia" w:ascii="宋体" w:hAnsi="宋体" w:eastAsia="宋体" w:cs="宋体"/>
                <w:color w:val="auto"/>
                <w:position w:val="20"/>
                <w:sz w:val="21"/>
                <w:szCs w:val="21"/>
                <w:highlight w:val="none"/>
              </w:rPr>
              <w:t>L</w:t>
            </w:r>
            <w:r>
              <w:rPr>
                <w:rFonts w:hint="eastAsia" w:ascii="宋体" w:hAnsi="宋体" w:eastAsia="宋体" w:cs="宋体"/>
                <w:color w:val="auto"/>
                <w:position w:val="17"/>
                <w:sz w:val="21"/>
                <w:szCs w:val="21"/>
                <w:highlight w:val="none"/>
              </w:rPr>
              <w:t>n</w:t>
            </w:r>
            <w:r>
              <w:rPr>
                <w:rFonts w:hint="eastAsia" w:ascii="宋体" w:hAnsi="宋体" w:eastAsia="宋体" w:cs="宋体"/>
                <w:color w:val="auto"/>
                <w:spacing w:val="3"/>
                <w:position w:val="17"/>
                <w:sz w:val="21"/>
                <w:szCs w:val="21"/>
                <w:highlight w:val="none"/>
              </w:rPr>
              <w:t xml:space="preserve"> </w:t>
            </w:r>
            <w:r>
              <w:rPr>
                <w:rFonts w:hint="eastAsia" w:ascii="宋体" w:hAnsi="宋体" w:eastAsia="宋体" w:cs="宋体"/>
                <w:color w:val="auto"/>
                <w:spacing w:val="3"/>
                <w:position w:val="20"/>
                <w:sz w:val="21"/>
                <w:szCs w:val="21"/>
                <w:highlight w:val="none"/>
              </w:rPr>
              <w:t>(n</w:t>
            </w:r>
            <w:r>
              <w:rPr>
                <w:rFonts w:hint="eastAsia" w:ascii="宋体" w:hAnsi="宋体" w:eastAsia="宋体" w:cs="宋体"/>
                <w:color w:val="auto"/>
                <w:spacing w:val="-37"/>
                <w:position w:val="20"/>
                <w:sz w:val="21"/>
                <w:szCs w:val="21"/>
                <w:highlight w:val="none"/>
              </w:rPr>
              <w:t xml:space="preserve"> </w:t>
            </w:r>
            <w:r>
              <w:rPr>
                <w:rFonts w:hint="eastAsia" w:ascii="宋体" w:hAnsi="宋体" w:eastAsia="宋体" w:cs="宋体"/>
                <w:color w:val="auto"/>
                <w:spacing w:val="3"/>
                <w:position w:val="20"/>
                <w:sz w:val="21"/>
                <w:szCs w:val="21"/>
                <w:highlight w:val="none"/>
              </w:rPr>
              <w:t>为从</w:t>
            </w:r>
            <w:r>
              <w:rPr>
                <w:rFonts w:hint="eastAsia" w:ascii="宋体" w:hAnsi="宋体" w:eastAsia="宋体" w:cs="宋体"/>
                <w:color w:val="auto"/>
                <w:spacing w:val="-22"/>
                <w:position w:val="20"/>
                <w:sz w:val="21"/>
                <w:szCs w:val="21"/>
                <w:highlight w:val="none"/>
              </w:rPr>
              <w:t xml:space="preserve"> </w:t>
            </w:r>
            <w:r>
              <w:rPr>
                <w:rFonts w:hint="eastAsia" w:ascii="宋体" w:hAnsi="宋体" w:eastAsia="宋体" w:cs="宋体"/>
                <w:color w:val="auto"/>
                <w:spacing w:val="3"/>
                <w:position w:val="20"/>
                <w:sz w:val="21"/>
                <w:szCs w:val="21"/>
                <w:highlight w:val="none"/>
              </w:rPr>
              <w:t>1</w:t>
            </w:r>
            <w:r>
              <w:rPr>
                <w:rFonts w:hint="eastAsia" w:ascii="宋体" w:hAnsi="宋体" w:eastAsia="宋体" w:cs="宋体"/>
                <w:color w:val="auto"/>
                <w:spacing w:val="-35"/>
                <w:position w:val="20"/>
                <w:sz w:val="21"/>
                <w:szCs w:val="21"/>
                <w:highlight w:val="none"/>
              </w:rPr>
              <w:t xml:space="preserve"> </w:t>
            </w:r>
            <w:r>
              <w:rPr>
                <w:rFonts w:hint="eastAsia" w:ascii="宋体" w:hAnsi="宋体" w:eastAsia="宋体" w:cs="宋体"/>
                <w:color w:val="auto"/>
                <w:spacing w:val="3"/>
                <w:position w:val="20"/>
                <w:sz w:val="21"/>
                <w:szCs w:val="21"/>
                <w:highlight w:val="none"/>
              </w:rPr>
              <w:t>到</w:t>
            </w:r>
            <w:r>
              <w:rPr>
                <w:rFonts w:hint="eastAsia" w:ascii="宋体" w:hAnsi="宋体" w:eastAsia="宋体" w:cs="宋体"/>
                <w:color w:val="auto"/>
                <w:spacing w:val="-38"/>
                <w:position w:val="20"/>
                <w:sz w:val="21"/>
                <w:szCs w:val="21"/>
                <w:highlight w:val="none"/>
              </w:rPr>
              <w:t xml:space="preserve"> </w:t>
            </w:r>
            <w:r>
              <w:rPr>
                <w:rFonts w:hint="eastAsia" w:ascii="宋体" w:hAnsi="宋体" w:eastAsia="宋体" w:cs="宋体"/>
                <w:color w:val="auto"/>
                <w:spacing w:val="3"/>
                <w:position w:val="20"/>
                <w:sz w:val="21"/>
                <w:szCs w:val="21"/>
                <w:highlight w:val="none"/>
              </w:rPr>
              <w:t>n</w:t>
            </w:r>
            <w:r>
              <w:rPr>
                <w:rFonts w:hint="eastAsia" w:ascii="宋体" w:hAnsi="宋体" w:eastAsia="宋体" w:cs="宋体"/>
                <w:color w:val="auto"/>
                <w:spacing w:val="-23"/>
                <w:position w:val="20"/>
                <w:sz w:val="21"/>
                <w:szCs w:val="21"/>
                <w:highlight w:val="none"/>
              </w:rPr>
              <w:t xml:space="preserve"> </w:t>
            </w:r>
            <w:r>
              <w:rPr>
                <w:rFonts w:hint="eastAsia" w:ascii="宋体" w:hAnsi="宋体" w:eastAsia="宋体" w:cs="宋体"/>
                <w:color w:val="auto"/>
                <w:spacing w:val="3"/>
                <w:position w:val="20"/>
                <w:sz w:val="21"/>
                <w:szCs w:val="21"/>
                <w:highlight w:val="none"/>
              </w:rPr>
              <w:t>的自然数，</w:t>
            </w:r>
          </w:p>
          <w:p w14:paraId="48005FA4">
            <w:pPr>
              <w:pStyle w:val="29"/>
              <w:keepNext w:val="0"/>
              <w:keepLines w:val="0"/>
              <w:pageBreakBefore w:val="0"/>
              <w:wordWrap/>
              <w:topLinePunct w:val="0"/>
              <w:autoSpaceDE w:val="0"/>
              <w:autoSpaceDN w:val="0"/>
              <w:bidi w:val="0"/>
              <w:snapToGrid w:val="0"/>
              <w:spacing w:line="240" w:lineRule="auto"/>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示例:L</w:t>
            </w:r>
            <w:r>
              <w:rPr>
                <w:rFonts w:hint="eastAsia" w:ascii="宋体" w:hAnsi="宋体" w:eastAsia="宋体" w:cs="宋体"/>
                <w:color w:val="auto"/>
                <w:spacing w:val="6"/>
                <w:position w:val="-3"/>
                <w:sz w:val="21"/>
                <w:szCs w:val="21"/>
                <w:highlight w:val="none"/>
              </w:rPr>
              <w:t>1</w:t>
            </w:r>
            <w:r>
              <w:rPr>
                <w:rFonts w:hint="eastAsia" w:ascii="宋体" w:hAnsi="宋体" w:eastAsia="宋体" w:cs="宋体"/>
                <w:color w:val="auto"/>
                <w:spacing w:val="-30"/>
                <w:position w:val="-3"/>
                <w:sz w:val="21"/>
                <w:szCs w:val="21"/>
                <w:highlight w:val="none"/>
              </w:rPr>
              <w:t xml:space="preserve"> </w:t>
            </w:r>
            <w:r>
              <w:rPr>
                <w:rFonts w:hint="eastAsia" w:ascii="宋体" w:hAnsi="宋体" w:eastAsia="宋体" w:cs="宋体"/>
                <w:color w:val="auto"/>
                <w:spacing w:val="6"/>
                <w:sz w:val="21"/>
                <w:szCs w:val="21"/>
                <w:highlight w:val="none"/>
              </w:rPr>
              <w:t>、L</w:t>
            </w:r>
            <w:r>
              <w:rPr>
                <w:rFonts w:hint="eastAsia" w:ascii="宋体" w:hAnsi="宋体" w:eastAsia="宋体" w:cs="宋体"/>
                <w:color w:val="auto"/>
                <w:spacing w:val="6"/>
                <w:position w:val="-3"/>
                <w:sz w:val="21"/>
                <w:szCs w:val="21"/>
                <w:highlight w:val="none"/>
              </w:rPr>
              <w:t>2</w:t>
            </w:r>
            <w:r>
              <w:rPr>
                <w:rFonts w:hint="eastAsia" w:ascii="宋体" w:hAnsi="宋体" w:eastAsia="宋体" w:cs="宋体"/>
                <w:color w:val="auto"/>
                <w:spacing w:val="-27"/>
                <w:position w:val="-3"/>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L</w:t>
            </w:r>
            <w:r>
              <w:rPr>
                <w:rFonts w:hint="eastAsia" w:ascii="宋体" w:hAnsi="宋体" w:eastAsia="宋体" w:cs="宋体"/>
                <w:color w:val="auto"/>
                <w:position w:val="-3"/>
                <w:sz w:val="21"/>
                <w:szCs w:val="21"/>
                <w:highlight w:val="none"/>
              </w:rPr>
              <w:t>n</w:t>
            </w:r>
            <w:r>
              <w:rPr>
                <w:rFonts w:hint="eastAsia" w:ascii="宋体" w:hAnsi="宋体" w:eastAsia="宋体" w:cs="宋体"/>
                <w:color w:val="auto"/>
                <w:spacing w:val="6"/>
                <w:sz w:val="21"/>
                <w:szCs w:val="21"/>
                <w:highlight w:val="none"/>
              </w:rPr>
              <w:t>)，投标人的企业信用得分</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L</w:t>
            </w:r>
            <w:r>
              <w:rPr>
                <w:rFonts w:hint="eastAsia" w:ascii="宋体" w:hAnsi="宋体" w:eastAsia="宋体" w:cs="宋体"/>
                <w:color w:val="auto"/>
                <w:position w:val="-3"/>
                <w:sz w:val="21"/>
                <w:szCs w:val="21"/>
                <w:highlight w:val="none"/>
              </w:rPr>
              <w:t>i</w:t>
            </w:r>
            <w:r>
              <w:rPr>
                <w:rFonts w:hint="eastAsia" w:ascii="宋体" w:hAnsi="宋体" w:eastAsia="宋体" w:cs="宋体"/>
                <w:color w:val="auto"/>
                <w:spacing w:val="6"/>
                <w:sz w:val="21"/>
                <w:szCs w:val="21"/>
                <w:highlight w:val="none"/>
              </w:rPr>
              <w:t>=2+(</w:t>
            </w:r>
            <w:r>
              <w:rPr>
                <w:rFonts w:hint="eastAsia" w:ascii="宋体" w:hAnsi="宋体" w:eastAsia="宋体" w:cs="宋体"/>
                <w:color w:val="auto"/>
                <w:sz w:val="21"/>
                <w:szCs w:val="21"/>
                <w:highlight w:val="none"/>
              </w:rPr>
              <w:t>L</w:t>
            </w:r>
            <w:r>
              <w:rPr>
                <w:rFonts w:hint="eastAsia" w:ascii="宋体" w:hAnsi="宋体" w:eastAsia="宋体" w:cs="宋体"/>
                <w:color w:val="auto"/>
                <w:position w:val="-3"/>
                <w:sz w:val="21"/>
                <w:szCs w:val="21"/>
                <w:highlight w:val="none"/>
              </w:rPr>
              <w:t>n</w:t>
            </w:r>
            <w:r>
              <w:rPr>
                <w:rFonts w:hint="eastAsia" w:ascii="宋体" w:hAnsi="宋体" w:eastAsia="宋体" w:cs="宋体"/>
                <w:color w:val="auto"/>
                <w:spacing w:val="6"/>
                <w:sz w:val="21"/>
                <w:szCs w:val="21"/>
                <w:highlight w:val="none"/>
              </w:rPr>
              <w:t>-80)/10。</w:t>
            </w:r>
          </w:p>
        </w:tc>
      </w:tr>
      <w:tr w14:paraId="4AFA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862" w:type="dxa"/>
            <w:vMerge w:val="continue"/>
            <w:vAlign w:val="top"/>
          </w:tcPr>
          <w:p w14:paraId="7A0C019B">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52" w:type="dxa"/>
            <w:vMerge w:val="continue"/>
            <w:vAlign w:val="top"/>
          </w:tcPr>
          <w:p w14:paraId="5CC156C5">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500" w:type="dxa"/>
            <w:gridSpan w:val="2"/>
            <w:vAlign w:val="top"/>
          </w:tcPr>
          <w:p w14:paraId="2C8E0EB1">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p w14:paraId="6385C068">
            <w:pPr>
              <w:pStyle w:val="2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3"/>
                <w:position w:val="20"/>
                <w:sz w:val="21"/>
                <w:szCs w:val="21"/>
                <w:highlight w:val="none"/>
              </w:rPr>
              <w:t>拟派项目总监理工程师信用（2 分）</w:t>
            </w:r>
          </w:p>
        </w:tc>
        <w:tc>
          <w:tcPr>
            <w:tcW w:w="6272" w:type="dxa"/>
            <w:gridSpan w:val="2"/>
            <w:vAlign w:val="top"/>
          </w:tcPr>
          <w:p w14:paraId="34BBA0B4">
            <w:pPr>
              <w:pStyle w:val="29"/>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9"/>
                <w:sz w:val="21"/>
                <w:szCs w:val="21"/>
                <w:highlight w:val="none"/>
              </w:rPr>
              <w:t>有效投标人的拟派项目总监理工程师个人信用评价分值为</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z w:val="21"/>
                <w:szCs w:val="21"/>
                <w:highlight w:val="none"/>
              </w:rPr>
              <w:t>Wn</w:t>
            </w:r>
            <w:r>
              <w:rPr>
                <w:rFonts w:hint="eastAsia" w:ascii="宋体" w:hAnsi="宋体" w:eastAsia="宋体" w:cs="宋体"/>
                <w:color w:val="auto"/>
                <w:spacing w:val="9"/>
                <w:sz w:val="21"/>
                <w:szCs w:val="21"/>
                <w:highlight w:val="none"/>
              </w:rPr>
              <w:t>（n</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为从</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5"/>
                <w:sz w:val="21"/>
                <w:szCs w:val="21"/>
                <w:highlight w:val="none"/>
              </w:rPr>
              <w:t>到</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n</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5"/>
                <w:sz w:val="21"/>
                <w:szCs w:val="21"/>
                <w:highlight w:val="none"/>
              </w:rPr>
              <w:t>的自然数,示例:W1、W2、W3)，其中最高值为</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W</w:t>
            </w:r>
            <w:r>
              <w:rPr>
                <w:rFonts w:hint="eastAsia" w:ascii="宋体" w:hAnsi="宋体" w:eastAsia="宋体" w:cs="宋体"/>
                <w:color w:val="auto"/>
                <w:position w:val="-2"/>
                <w:sz w:val="21"/>
                <w:szCs w:val="21"/>
                <w:highlight w:val="none"/>
              </w:rPr>
              <w:t>MAX</w:t>
            </w:r>
            <w:r>
              <w:rPr>
                <w:rFonts w:hint="eastAsia" w:ascii="宋体" w:hAnsi="宋体" w:eastAsia="宋体" w:cs="宋体"/>
                <w:color w:val="auto"/>
                <w:spacing w:val="-27"/>
                <w:position w:val="-2"/>
                <w:sz w:val="21"/>
                <w:szCs w:val="21"/>
                <w:highlight w:val="none"/>
              </w:rPr>
              <w:t xml:space="preserve"> </w:t>
            </w:r>
            <w:r>
              <w:rPr>
                <w:rFonts w:hint="eastAsia" w:ascii="宋体" w:hAnsi="宋体" w:eastAsia="宋体" w:cs="宋体"/>
                <w:color w:val="auto"/>
                <w:spacing w:val="5"/>
                <w:sz w:val="21"/>
                <w:szCs w:val="21"/>
                <w:highlight w:val="none"/>
              </w:rPr>
              <w:t>，投</w:t>
            </w:r>
            <w:r>
              <w:rPr>
                <w:rFonts w:hint="eastAsia" w:ascii="宋体" w:hAnsi="宋体" w:eastAsia="宋体" w:cs="宋体"/>
                <w:color w:val="auto"/>
                <w:spacing w:val="9"/>
                <w:sz w:val="21"/>
                <w:szCs w:val="21"/>
                <w:highlight w:val="none"/>
              </w:rPr>
              <w:t>标人拟派项目总监理工程师信用得分:</w:t>
            </w:r>
            <w:r>
              <w:rPr>
                <w:rFonts w:hint="eastAsia" w:ascii="宋体" w:hAnsi="宋体" w:eastAsia="宋体" w:cs="宋体"/>
                <w:color w:val="auto"/>
                <w:sz w:val="21"/>
                <w:szCs w:val="21"/>
                <w:highlight w:val="none"/>
              </w:rPr>
              <w:t>Wi</w:t>
            </w:r>
            <w:r>
              <w:rPr>
                <w:rFonts w:hint="eastAsia" w:ascii="宋体" w:hAnsi="宋体" w:eastAsia="宋体" w:cs="宋体"/>
                <w:color w:val="auto"/>
                <w:spacing w:val="9"/>
                <w:sz w:val="21"/>
                <w:szCs w:val="21"/>
                <w:highlight w:val="none"/>
              </w:rPr>
              <w:t>=2×</w:t>
            </w:r>
            <w:r>
              <w:rPr>
                <w:rFonts w:hint="eastAsia" w:ascii="宋体" w:hAnsi="宋体" w:eastAsia="宋体" w:cs="宋体"/>
                <w:color w:val="auto"/>
                <w:sz w:val="21"/>
                <w:szCs w:val="21"/>
                <w:highlight w:val="none"/>
              </w:rPr>
              <w:t>Wn</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W</w:t>
            </w:r>
            <w:r>
              <w:rPr>
                <w:rFonts w:hint="eastAsia" w:ascii="宋体" w:hAnsi="宋体" w:eastAsia="宋体" w:cs="宋体"/>
                <w:color w:val="auto"/>
                <w:position w:val="-2"/>
                <w:sz w:val="21"/>
                <w:szCs w:val="21"/>
                <w:highlight w:val="none"/>
              </w:rPr>
              <w:t>MAX</w:t>
            </w:r>
            <w:r>
              <w:rPr>
                <w:rFonts w:hint="eastAsia" w:ascii="宋体" w:hAnsi="宋体" w:eastAsia="宋体" w:cs="宋体"/>
                <w:color w:val="auto"/>
                <w:spacing w:val="9"/>
                <w:sz w:val="21"/>
                <w:szCs w:val="21"/>
                <w:highlight w:val="none"/>
              </w:rPr>
              <w:t>。</w:t>
            </w:r>
          </w:p>
        </w:tc>
      </w:tr>
      <w:tr w14:paraId="102E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862" w:type="dxa"/>
            <w:vMerge w:val="continue"/>
            <w:vAlign w:val="top"/>
          </w:tcPr>
          <w:p w14:paraId="2C29B83D">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1052" w:type="dxa"/>
            <w:vMerge w:val="continue"/>
            <w:vAlign w:val="top"/>
          </w:tcPr>
          <w:p w14:paraId="3E9E0086">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rPr>
            </w:pPr>
          </w:p>
        </w:tc>
        <w:tc>
          <w:tcPr>
            <w:tcW w:w="7772" w:type="dxa"/>
            <w:gridSpan w:val="4"/>
            <w:vAlign w:val="center"/>
          </w:tcPr>
          <w:p w14:paraId="787CC59F">
            <w:pPr>
              <w:pStyle w:val="31"/>
              <w:keepNext w:val="0"/>
              <w:keepLines w:val="0"/>
              <w:pageBreakBefore w:val="0"/>
              <w:kinsoku w:val="0"/>
              <w:wordWrap/>
              <w:overflowPunct w:val="0"/>
              <w:topLinePunct w:val="0"/>
              <w:autoSpaceDE w:val="0"/>
              <w:autoSpaceDN w:val="0"/>
              <w:bidi w:val="0"/>
              <w:snapToGrid w:val="0"/>
              <w:spacing w:line="240" w:lineRule="auto"/>
              <w:ind w:left="0" w:leftChars="0" w:right="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按照河南省住房和城乡建设厅关于废止《河南省建筑市场信用管理实施办法（暂行）》《河南省建筑市场主体信用评价办法（暂行）》的通知内容及公告内容，鉴于《河南省建筑市场信用管理实施办法（暂行）》《河南省建筑市场主体信用评价办法（暂行）》（豫建行规〔2021〕2号）已废止，在新的信用管理制度公布实施前，依法必须招投标的房屋建筑和市政基础设施工程，采用工程量清单计价方式进行施工招标时，企业信用、拟派项目经理信用分值，暂按满分计算。</w:t>
            </w:r>
          </w:p>
        </w:tc>
      </w:tr>
      <w:tr w14:paraId="07BC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1914" w:type="dxa"/>
            <w:gridSpan w:val="2"/>
            <w:tcBorders>
              <w:top w:val="single" w:color="auto" w:sz="4" w:space="0"/>
              <w:bottom w:val="single" w:color="auto" w:sz="4" w:space="0"/>
            </w:tcBorders>
            <w:vAlign w:val="center"/>
          </w:tcPr>
          <w:p w14:paraId="6638C2EF">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条款号</w:t>
            </w:r>
          </w:p>
        </w:tc>
        <w:tc>
          <w:tcPr>
            <w:tcW w:w="7772" w:type="dxa"/>
            <w:gridSpan w:val="4"/>
            <w:tcBorders>
              <w:top w:val="single" w:color="auto" w:sz="4" w:space="0"/>
            </w:tcBorders>
            <w:vAlign w:val="center"/>
          </w:tcPr>
          <w:p w14:paraId="44D183B3">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编列内容</w:t>
            </w:r>
          </w:p>
        </w:tc>
      </w:tr>
      <w:tr w14:paraId="4125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862" w:type="dxa"/>
            <w:tcBorders>
              <w:top w:val="single" w:color="auto" w:sz="4" w:space="0"/>
              <w:bottom w:val="single" w:color="auto" w:sz="4" w:space="0"/>
            </w:tcBorders>
            <w:vAlign w:val="top"/>
          </w:tcPr>
          <w:p w14:paraId="1E8B0969">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2" w:type="dxa"/>
            <w:tcBorders>
              <w:top w:val="single" w:color="auto" w:sz="4" w:space="0"/>
              <w:bottom w:val="single" w:color="auto" w:sz="4" w:space="0"/>
              <w:right w:val="single" w:color="auto" w:sz="4" w:space="0"/>
            </w:tcBorders>
            <w:vAlign w:val="center"/>
          </w:tcPr>
          <w:p w14:paraId="0188E1A4">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评标</w:t>
            </w:r>
          </w:p>
          <w:p w14:paraId="0AD8E1A4">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程序</w:t>
            </w:r>
          </w:p>
        </w:tc>
        <w:tc>
          <w:tcPr>
            <w:tcW w:w="7772" w:type="dxa"/>
            <w:gridSpan w:val="4"/>
            <w:tcBorders>
              <w:left w:val="single" w:color="auto" w:sz="4" w:space="0"/>
              <w:bottom w:val="single" w:color="auto" w:sz="4" w:space="0"/>
            </w:tcBorders>
            <w:vAlign w:val="center"/>
          </w:tcPr>
          <w:p w14:paraId="39D980F2">
            <w:pPr>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详见本章附件 评标详细程序</w:t>
            </w:r>
          </w:p>
        </w:tc>
      </w:tr>
      <w:tr w14:paraId="2729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862" w:type="dxa"/>
            <w:tcBorders>
              <w:top w:val="single" w:color="auto" w:sz="4" w:space="0"/>
            </w:tcBorders>
            <w:vAlign w:val="top"/>
          </w:tcPr>
          <w:p w14:paraId="73E3C28F">
            <w:pPr>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w:t>
            </w:r>
          </w:p>
        </w:tc>
        <w:tc>
          <w:tcPr>
            <w:tcW w:w="1052" w:type="dxa"/>
            <w:tcBorders>
              <w:top w:val="single" w:color="auto" w:sz="4" w:space="0"/>
            </w:tcBorders>
            <w:vAlign w:val="center"/>
          </w:tcPr>
          <w:p w14:paraId="5D0A7286">
            <w:pPr>
              <w:keepNext w:val="0"/>
              <w:keepLines w:val="0"/>
              <w:pageBreakBefore w:val="0"/>
              <w:wordWrap/>
              <w:topLinePunct w:val="0"/>
              <w:autoSpaceDE w:val="0"/>
              <w:autoSpaceDN w:val="0"/>
              <w:bidi w:val="0"/>
              <w:snapToGrid w:val="0"/>
              <w:spacing w:line="240" w:lineRule="auto"/>
              <w:ind w:left="0" w:right="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废标条件</w:t>
            </w:r>
          </w:p>
        </w:tc>
        <w:tc>
          <w:tcPr>
            <w:tcW w:w="7772" w:type="dxa"/>
            <w:gridSpan w:val="4"/>
            <w:tcBorders>
              <w:top w:val="single" w:color="auto" w:sz="4" w:space="0"/>
            </w:tcBorders>
            <w:vAlign w:val="center"/>
          </w:tcPr>
          <w:p w14:paraId="4AF427EE">
            <w:pPr>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总 则</w:t>
            </w:r>
          </w:p>
          <w:p w14:paraId="58C92542">
            <w:pPr>
              <w:keepNext w:val="0"/>
              <w:keepLines w:val="0"/>
              <w:pageBreakBefore w:val="0"/>
              <w:wordWrap/>
              <w:topLinePunct w:val="0"/>
              <w:autoSpaceDE w:val="0"/>
              <w:autoSpaceDN w:val="0"/>
              <w:bidi w:val="0"/>
              <w:snapToGrid w:val="0"/>
              <w:spacing w:line="240" w:lineRule="auto"/>
              <w:ind w:left="0" w:right="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529875FC">
            <w:pPr>
              <w:pStyle w:val="9"/>
              <w:keepNext w:val="0"/>
              <w:keepLines w:val="0"/>
              <w:pageBreakBefore w:val="0"/>
              <w:wordWrap/>
              <w:topLinePunct w:val="0"/>
              <w:autoSpaceDE w:val="0"/>
              <w:autoSpaceDN w:val="0"/>
              <w:bidi w:val="0"/>
              <w:snapToGrid w:val="0"/>
              <w:spacing w:line="240" w:lineRule="auto"/>
              <w:ind w:left="0" w:leftChars="0" w:right="0" w:firstLine="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废标条件</w:t>
            </w:r>
          </w:p>
          <w:p w14:paraId="75B2E425">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投标人或其投标文件有下列情形之一的，其投标作废标处理：</w:t>
            </w:r>
          </w:p>
          <w:p w14:paraId="0D32BDDF">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1、有第二章“投标人须知”第 1.4.3 项规定的任何一种情形的。</w:t>
            </w:r>
          </w:p>
          <w:p w14:paraId="631046E4">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
                <w:bCs/>
                <w:color w:val="auto"/>
                <w:sz w:val="21"/>
                <w:szCs w:val="21"/>
                <w:highlight w:val="none"/>
                <w:lang w:eastAsia="zh-CN"/>
              </w:rPr>
              <w:t>有串通投标或弄虚作假或有其他违法行为的。</w:t>
            </w:r>
          </w:p>
          <w:p w14:paraId="2CC81367">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3、不按评标委员会要求澄清、说明或补正的。</w:t>
            </w:r>
          </w:p>
          <w:p w14:paraId="42BBCAB6">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4、在形式评审、资格评审(适用于未进行资格预审的)、响应性评审中，评标委员会认定投标人的投标不符合评标办法前附表中规定的任何一项评审标准的。</w:t>
            </w:r>
          </w:p>
          <w:p w14:paraId="70CEAED1">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5、在监理大纲和项目管理机构评审中，评标委员会认定投标人的投标未能通过此项评审的。</w:t>
            </w:r>
          </w:p>
          <w:p w14:paraId="1B4694A5">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6、评标委员会认定投标人以低于成本报价竞标的。</w:t>
            </w:r>
          </w:p>
          <w:p w14:paraId="28228D2F">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7、经评标系统识别有明显围标、串标行为，经评标委员会认定的。</w:t>
            </w:r>
          </w:p>
          <w:p w14:paraId="20CFB69F">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8、法律法规或招标文件规定的其他废标情形。</w:t>
            </w:r>
          </w:p>
          <w:p w14:paraId="6A29B550">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9、不同投标人使用同一台计算机编制投标文件的。</w:t>
            </w:r>
          </w:p>
          <w:p w14:paraId="75646EAF">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10、投标人在“信用中国”网站上，被列为失信被执行人的。</w:t>
            </w:r>
          </w:p>
          <w:p w14:paraId="45017211">
            <w:pPr>
              <w:pStyle w:val="9"/>
              <w:keepNext w:val="0"/>
              <w:keepLines w:val="0"/>
              <w:pageBreakBefore w:val="0"/>
              <w:wordWrap/>
              <w:topLinePunct w:val="0"/>
              <w:autoSpaceDE w:val="0"/>
              <w:autoSpaceDN w:val="0"/>
              <w:bidi w:val="0"/>
              <w:snapToGrid w:val="0"/>
              <w:spacing w:line="240" w:lineRule="auto"/>
              <w:ind w:left="0" w:right="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备注：如果工程所在地管理规定要求评标委员会对判定为废标的投标文件说明废标情况的，应增加“废标情况说明表”格式，废标情况说明应当对照招标文件规定的废标条件以及投标文件存在的具体问题。</w:t>
            </w:r>
          </w:p>
        </w:tc>
      </w:tr>
    </w:tbl>
    <w:p w14:paraId="766B405F">
      <w:pPr>
        <w:spacing w:line="360" w:lineRule="auto"/>
        <w:jc w:val="both"/>
        <w:outlineLvl w:val="9"/>
        <w:rPr>
          <w:rFonts w:hint="eastAsia" w:ascii="宋体" w:hAnsi="宋体" w:eastAsia="宋体" w:cs="宋体"/>
          <w:color w:val="auto"/>
          <w:highlight w:val="none"/>
        </w:rPr>
      </w:pPr>
      <w:bookmarkStart w:id="59" w:name="_Toc512409573"/>
    </w:p>
    <w:p w14:paraId="1A016EB0">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采用综合评估法评标的，评标委员会应从技术标、商务标、综合标三个方面进行评标。</w:t>
      </w:r>
    </w:p>
    <w:p w14:paraId="0F49D43F">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计分办法：</w:t>
      </w:r>
    </w:p>
    <w:p w14:paraId="6B0A9687">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1、评标委员会成员按照招标文件和本办法上述有关规定，给投标人打分，并按下列公式确定各投标人的评定分数：</w:t>
      </w:r>
    </w:p>
    <w:p w14:paraId="425D4AD9">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评定分数= 技术标得分+商务标得分+综合标得分</w:t>
      </w:r>
    </w:p>
    <w:p w14:paraId="094F9C03">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2、各投标人的最终得分为各评委所评定分数的算术平均值。</w:t>
      </w:r>
    </w:p>
    <w:p w14:paraId="6C140B43">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3、各项统计、评分结果均按四舍五入方法精确到小数点后两位。</w:t>
      </w:r>
    </w:p>
    <w:p w14:paraId="23F5272B">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4、评标委员会根据招标文件中规定，推荐合格的中标候选人（中标候选人排名不分先后）。</w:t>
      </w:r>
    </w:p>
    <w:p w14:paraId="68BDA858">
      <w:pPr>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特别提醒：</w:t>
      </w:r>
    </w:p>
    <w:p w14:paraId="45FAC246">
      <w:pPr>
        <w:spacing w:line="360" w:lineRule="auto"/>
        <w:jc w:val="both"/>
        <w:outlineLvl w:val="9"/>
        <w:rPr>
          <w:rFonts w:hint="eastAsia" w:ascii="宋体" w:hAnsi="宋体" w:eastAsia="宋体" w:cs="宋体"/>
          <w:b/>
          <w:bCs/>
          <w:color w:val="auto"/>
          <w:highlight w:val="none"/>
        </w:rPr>
      </w:pPr>
      <w:r>
        <w:rPr>
          <w:rFonts w:hint="eastAsia" w:ascii="宋体" w:hAnsi="宋体" w:eastAsia="宋体" w:cs="宋体"/>
          <w:b/>
          <w:bCs/>
          <w:color w:val="auto"/>
          <w:sz w:val="21"/>
          <w:szCs w:val="21"/>
          <w:highlight w:val="none"/>
        </w:rPr>
        <w:t>1、投标人须按照招标文件要求如实申报本企业业绩等文件，不得提交虚假的业绩、荣誉、证书等文件，投标文件的递交视同投标人同意招标人将经查实的投标人提交的投标文件中提供虚假材料的行为，以任何形式刊登在任何媒体之上；招标人有权将投标人的投标保证金全部扣除；招标人有权将投标人此违规行为投诉至建设等行政管理部门或列进黑名单。</w:t>
      </w:r>
      <w:bookmarkEnd w:id="59"/>
    </w:p>
    <w:p w14:paraId="30A3E79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bookmarkStart w:id="60" w:name="_Toc5278"/>
      <w:r>
        <w:rPr>
          <w:rFonts w:hint="eastAsia" w:ascii="宋体" w:hAnsi="宋体" w:eastAsia="宋体" w:cs="宋体"/>
          <w:color w:val="auto"/>
          <w:highlight w:val="none"/>
        </w:rPr>
        <w:t>1.  评标方法</w:t>
      </w:r>
    </w:p>
    <w:p w14:paraId="053B84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本次评标采用综合评估法。评标委员会对满足招标文件实质性要求的投标文件，按照本章第规定的评分标准进行打分，并按</w:t>
      </w:r>
      <w:r>
        <w:rPr>
          <w:rFonts w:hint="eastAsia" w:ascii="宋体" w:hAnsi="宋体" w:eastAsia="宋体" w:cs="宋体"/>
          <w:color w:val="auto"/>
          <w:highlight w:val="none"/>
          <w:lang w:val="en-US" w:eastAsia="zh-CN"/>
        </w:rPr>
        <w:t>招标文件规定</w:t>
      </w:r>
      <w:r>
        <w:rPr>
          <w:rFonts w:hint="eastAsia" w:ascii="宋体" w:hAnsi="宋体" w:eastAsia="宋体" w:cs="宋体"/>
          <w:color w:val="auto"/>
          <w:highlight w:val="none"/>
        </w:rPr>
        <w:t>推荐中标候选人（中标候选人排名不分先后），或根据招标人授权直接确定中标人，但投标报价低于其成本的除外。综合评分相等时，以投标报价低的优先；投标报价也相等的，以技术标得分高的优先。</w:t>
      </w:r>
    </w:p>
    <w:p w14:paraId="56BD12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  评审标准</w:t>
      </w:r>
    </w:p>
    <w:p w14:paraId="52D468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2.1  初步评审标准</w:t>
      </w:r>
    </w:p>
    <w:p w14:paraId="65D750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2.1.1  形式评审标准：见评标办法前附表。</w:t>
      </w:r>
    </w:p>
    <w:p w14:paraId="79F880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2.1.2  资格评审标准：见评标办法前附表。</w:t>
      </w:r>
    </w:p>
    <w:p w14:paraId="42B3CB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2.1.3  响应性评审标准：见评标办法前附表。</w:t>
      </w:r>
    </w:p>
    <w:p w14:paraId="1F468F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2.2  分值构成与评分标准</w:t>
      </w:r>
    </w:p>
    <w:p w14:paraId="0D4028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2.2.1  分值构成</w:t>
      </w:r>
    </w:p>
    <w:p w14:paraId="3CB13A2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（1）综合标：见评标办法前附表；</w:t>
      </w:r>
    </w:p>
    <w:p w14:paraId="3733B56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（2）技术标：见评标办法前附表；</w:t>
      </w:r>
    </w:p>
    <w:p w14:paraId="724409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（3）商务标：见评标办法前附表；</w:t>
      </w:r>
    </w:p>
    <w:p w14:paraId="420AA7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2.2.2  评标基准价计算</w:t>
      </w:r>
    </w:p>
    <w:p w14:paraId="51B11E8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评标基准价计算方法：见评标办法前附表。</w:t>
      </w:r>
    </w:p>
    <w:p w14:paraId="449096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2.2.3  投标报价的偏差率计算</w:t>
      </w:r>
    </w:p>
    <w:p w14:paraId="4096E2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投标报价的偏差率计算公式：见评标办法前附表。</w:t>
      </w:r>
    </w:p>
    <w:p w14:paraId="78D6317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2.2.4  评分标准</w:t>
      </w:r>
    </w:p>
    <w:p w14:paraId="6A9690B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（1）综合标评分标准：见评标办法前附表；</w:t>
      </w:r>
    </w:p>
    <w:p w14:paraId="503D19C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（2）技术标评分标准：见评标办法前附表；</w:t>
      </w:r>
    </w:p>
    <w:p w14:paraId="66D18B0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（3）商务标评分标准：见评标办法前附表；</w:t>
      </w:r>
    </w:p>
    <w:p w14:paraId="402B1B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  评标程序</w:t>
      </w:r>
    </w:p>
    <w:p w14:paraId="0A5FCFC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3.1  初步评审</w:t>
      </w:r>
    </w:p>
    <w:p w14:paraId="0D3B026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3.1.1  评标委员会可以要求投标人提交第二章“投标人须知 ”规定的有关证明，以便核验。评标委员 会依据本章第 2.1 款规定的标准对投标文件进行初步评审。有一项不符合评审标准的，评标委员会应当否决其投标。</w:t>
      </w:r>
    </w:p>
    <w:p w14:paraId="050091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3.1.2  投标人有以下情形之一的，评标委员会应当否决其投标：（1）投标文件没有对招标文件的实质性要求和条件作出响应，或者对招标文件的偏差超出招标文件规定的偏差范围或最高项数；</w:t>
      </w:r>
    </w:p>
    <w:p w14:paraId="714E18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（2）有串通投标、弄虚作假、行贿等违法行为。</w:t>
      </w:r>
    </w:p>
    <w:p w14:paraId="1838959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14:paraId="4A7FF1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112341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（2）总价金额与单价金额不一致的，以单价金额为准，但单价金额小数点有明显错误的除外。</w:t>
      </w:r>
    </w:p>
    <w:p w14:paraId="0B82BF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3.2  详细评审</w:t>
      </w:r>
    </w:p>
    <w:p w14:paraId="5CB0613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3.2.1  评标委员会按本章第 2.2 款规定的量化因素和分值进行打分，并计算出综合评估得分。</w:t>
      </w:r>
    </w:p>
    <w:p w14:paraId="7901DE1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（1）按本章第 2.2.4（1） 目规定的评审因素和分值对综合标计算出得分 A；</w:t>
      </w:r>
    </w:p>
    <w:p w14:paraId="2D3377E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（2）按本章第 2.2.4（2） 目规定的评审因素和分值对技术标部分计算出得分 B；</w:t>
      </w:r>
    </w:p>
    <w:p w14:paraId="60979A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（3）按本章第 2.2.4（3） 目规定的评审因素和分值对商务标计算出得分 C；</w:t>
      </w:r>
    </w:p>
    <w:p w14:paraId="096023C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3.2.2  评分分值计算保留小数点后两位，小数点后第三位“ 四舍五入 ”。</w:t>
      </w:r>
    </w:p>
    <w:p w14:paraId="56D82A4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3.2.3  投标人得分=A+B+C。</w:t>
      </w:r>
    </w:p>
    <w:p w14:paraId="408CFA6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0F1535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3.3  投标文件的澄清</w:t>
      </w:r>
    </w:p>
    <w:p w14:paraId="3AA736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3.3.1  在评标过程中，评标委员会可以书面形式要求投标人对投标文件中含义不明确、对同类问题表 述不一致或者有明显文字和计算错误的内容作必要的澄清、说明或补正。澄清、说明或补正应以书面方式进行。评标委员会不接受投标人主动提出的澄清、说明或补正。</w:t>
      </w:r>
    </w:p>
    <w:p w14:paraId="38F516B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3.3.2  澄清、说明或补正不得超出投标文件的范围且不得改变投标文件的实质性内容，并构成投标文件的组成部分。</w:t>
      </w:r>
    </w:p>
    <w:p w14:paraId="0190837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3.3.3  评标委员会对投标人提交的澄清、说明或补正有疑问的，可以要求投标人进一步澄清、说明或补正，直至满足评标委员会的要求。</w:t>
      </w:r>
    </w:p>
    <w:p w14:paraId="536737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3.4  评标结果</w:t>
      </w:r>
    </w:p>
    <w:p w14:paraId="79D7B7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3.4.1  除第二章“投标人须知 ”前附表授权直接确定中标人外，评标委员会按照</w:t>
      </w:r>
      <w:r>
        <w:rPr>
          <w:rFonts w:hint="eastAsia" w:ascii="宋体" w:hAnsi="宋体" w:eastAsia="宋体" w:cs="宋体"/>
          <w:color w:val="auto"/>
          <w:highlight w:val="none"/>
          <w:lang w:val="en-US" w:eastAsia="zh-CN"/>
        </w:rPr>
        <w:t>招标文件规定</w:t>
      </w:r>
      <w:r>
        <w:rPr>
          <w:rFonts w:hint="eastAsia" w:ascii="宋体" w:hAnsi="宋体" w:eastAsia="宋体" w:cs="宋体"/>
          <w:color w:val="auto"/>
          <w:highlight w:val="none"/>
        </w:rPr>
        <w:t>推荐中标候选人。</w:t>
      </w:r>
    </w:p>
    <w:p w14:paraId="3CCE3FB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color w:val="auto"/>
          <w:highlight w:val="none"/>
        </w:rPr>
      </w:pPr>
      <w:r>
        <w:rPr>
          <w:rFonts w:hint="eastAsia" w:ascii="宋体" w:hAnsi="宋体" w:eastAsia="宋体" w:cs="宋体"/>
          <w:color w:val="auto"/>
          <w:highlight w:val="none"/>
        </w:rPr>
        <w:t>3.4.2  评标委员会完成评标后，应当向招标人提交书面评标报告。</w:t>
      </w:r>
      <w:r>
        <w:rPr>
          <w:rFonts w:hint="eastAsia" w:ascii="宋体" w:hAnsi="宋体" w:eastAsia="宋体" w:cs="宋体"/>
          <w:b/>
          <w:bCs/>
          <w:color w:val="auto"/>
          <w:highlight w:val="none"/>
        </w:rPr>
        <w:t>评标报告还应当载明每个中标候选人的特点、优势、缺点、风险等评审情况和推荐理由，并对技术、质量、安全、工期的控制能力等提供技术咨询建议，供定标委员会参考。</w:t>
      </w:r>
    </w:p>
    <w:p w14:paraId="74B90068">
      <w:pPr>
        <w:rPr>
          <w:color w:val="auto"/>
          <w:highlight w:val="none"/>
        </w:rPr>
      </w:pPr>
      <w:r>
        <w:rPr>
          <w:color w:val="auto"/>
          <w:highlight w:val="none"/>
        </w:rPr>
        <w:br w:type="page"/>
      </w:r>
    </w:p>
    <w:p w14:paraId="0A960120">
      <w:pPr>
        <w:rPr>
          <w:color w:val="auto"/>
          <w:highlight w:val="none"/>
        </w:rPr>
      </w:pPr>
    </w:p>
    <w:p w14:paraId="78474038">
      <w:pPr>
        <w:pStyle w:val="4"/>
        <w:spacing w:before="72" w:line="219" w:lineRule="auto"/>
        <w:ind w:left="3047"/>
        <w:outlineLvl w:val="0"/>
        <w:rPr>
          <w:color w:val="auto"/>
          <w:sz w:val="36"/>
          <w:szCs w:val="36"/>
          <w:highlight w:val="none"/>
        </w:rPr>
      </w:pPr>
      <w:r>
        <w:rPr>
          <w:color w:val="auto"/>
          <w:sz w:val="36"/>
          <w:szCs w:val="36"/>
          <w:highlight w:val="none"/>
          <w14:textOutline w14:w="6540" w14:cap="flat" w14:cmpd="sng">
            <w14:solidFill>
              <w14:srgbClr w14:val="000000"/>
            </w14:solidFill>
            <w14:prstDash w14:val="solid"/>
            <w14:miter w14:val="0"/>
          </w14:textOutline>
        </w:rPr>
        <w:t>第四章</w:t>
      </w:r>
      <w:r>
        <w:rPr>
          <w:color w:val="auto"/>
          <w:sz w:val="36"/>
          <w:szCs w:val="36"/>
          <w:highlight w:val="none"/>
        </w:rPr>
        <w:t xml:space="preserve"> </w:t>
      </w:r>
      <w:r>
        <w:rPr>
          <w:color w:val="auto"/>
          <w:sz w:val="36"/>
          <w:szCs w:val="36"/>
          <w:highlight w:val="none"/>
          <w14:textOutline w14:w="6540" w14:cap="flat" w14:cmpd="sng">
            <w14:solidFill>
              <w14:srgbClr w14:val="000000"/>
            </w14:solidFill>
            <w14:prstDash w14:val="solid"/>
            <w14:miter w14:val="0"/>
          </w14:textOutline>
        </w:rPr>
        <w:t>合同条款</w:t>
      </w:r>
      <w:bookmarkEnd w:id="60"/>
    </w:p>
    <w:p w14:paraId="79ED8332">
      <w:pPr>
        <w:spacing w:line="311" w:lineRule="auto"/>
        <w:rPr>
          <w:rFonts w:ascii="Arial"/>
          <w:color w:val="auto"/>
          <w:sz w:val="21"/>
          <w:highlight w:val="none"/>
        </w:rPr>
      </w:pPr>
    </w:p>
    <w:p w14:paraId="0E13014F">
      <w:pPr>
        <w:pStyle w:val="4"/>
        <w:spacing w:before="62" w:line="224" w:lineRule="auto"/>
        <w:ind w:left="3799"/>
        <w:rPr>
          <w:color w:val="auto"/>
          <w:sz w:val="19"/>
          <w:szCs w:val="19"/>
          <w:highlight w:val="none"/>
        </w:rPr>
      </w:pPr>
      <w:r>
        <w:rPr>
          <w:color w:val="auto"/>
          <w:spacing w:val="4"/>
          <w:sz w:val="19"/>
          <w:szCs w:val="19"/>
          <w:highlight w:val="none"/>
        </w:rPr>
        <w:t>（仅供参考）</w:t>
      </w:r>
    </w:p>
    <w:p w14:paraId="4E88D2C2">
      <w:pPr>
        <w:spacing w:line="220" w:lineRule="auto"/>
        <w:rPr>
          <w:color w:val="auto"/>
          <w:sz w:val="24"/>
          <w:szCs w:val="24"/>
          <w:highlight w:val="none"/>
        </w:rPr>
      </w:pPr>
    </w:p>
    <w:p w14:paraId="4695F037">
      <w:pPr>
        <w:spacing w:line="360" w:lineRule="auto"/>
        <w:jc w:val="center"/>
        <w:rPr>
          <w:rFonts w:hint="eastAsia" w:ascii="仿宋_GB2312" w:hAnsi="仿宋_GB2312" w:eastAsia="仿宋_GB2312" w:cs="仿宋_GB2312"/>
          <w:b/>
          <w:color w:val="auto"/>
          <w:sz w:val="32"/>
          <w:szCs w:val="32"/>
          <w:highlight w:val="none"/>
        </w:rPr>
      </w:pPr>
    </w:p>
    <w:p w14:paraId="20A6277E">
      <w:pPr>
        <w:spacing w:line="360" w:lineRule="auto"/>
        <w:jc w:val="center"/>
        <w:rPr>
          <w:rFonts w:hint="eastAsia" w:ascii="方正小标宋_GBK" w:hAnsi="方正小标宋_GBK" w:eastAsia="方正小标宋_GBK" w:cs="方正小标宋_GBK"/>
          <w:b w:val="0"/>
          <w:bCs w:val="0"/>
          <w:color w:val="auto"/>
          <w:spacing w:val="-20"/>
          <w:kern w:val="44"/>
          <w:sz w:val="52"/>
          <w:szCs w:val="52"/>
          <w:highlight w:val="none"/>
          <w:lang w:val="en-US" w:eastAsia="zh-CN" w:bidi="ar-SA"/>
        </w:rPr>
      </w:pPr>
    </w:p>
    <w:p w14:paraId="34179762">
      <w:pPr>
        <w:spacing w:line="360" w:lineRule="auto"/>
        <w:jc w:val="center"/>
        <w:rPr>
          <w:rFonts w:hint="eastAsia" w:ascii="仿宋_GB2312" w:hAnsi="仿宋_GB2312" w:eastAsia="仿宋_GB2312" w:cs="仿宋_GB2312"/>
          <w:b/>
          <w:color w:val="auto"/>
          <w:sz w:val="32"/>
          <w:szCs w:val="32"/>
          <w:highlight w:val="none"/>
        </w:rPr>
      </w:pPr>
      <w:r>
        <w:rPr>
          <w:rFonts w:hint="eastAsia" w:ascii="方正小标宋_GBK" w:hAnsi="方正小标宋_GBK" w:eastAsia="方正小标宋_GBK" w:cs="方正小标宋_GBK"/>
          <w:b w:val="0"/>
          <w:bCs w:val="0"/>
          <w:color w:val="auto"/>
          <w:spacing w:val="-20"/>
          <w:kern w:val="44"/>
          <w:sz w:val="52"/>
          <w:szCs w:val="52"/>
          <w:highlight w:val="none"/>
          <w:lang w:val="en-US" w:eastAsia="zh-CN" w:bidi="ar-SA"/>
        </w:rPr>
        <w:t>建设工程监理合同</w:t>
      </w:r>
      <w:r>
        <w:rPr>
          <w:rFonts w:hint="eastAsia" w:ascii="仿宋_GB2312" w:hAnsi="仿宋_GB2312" w:eastAsia="仿宋_GB2312" w:cs="仿宋_GB2312"/>
          <w:b/>
          <w:color w:val="auto"/>
          <w:sz w:val="32"/>
          <w:szCs w:val="32"/>
          <w:highlight w:val="none"/>
        </w:rPr>
        <w:t xml:space="preserve"> </w:t>
      </w:r>
    </w:p>
    <w:p w14:paraId="39F0E184">
      <w:pPr>
        <w:rPr>
          <w:rFonts w:hint="eastAsia" w:ascii="仿宋_GB2312" w:hAnsi="仿宋_GB2312" w:eastAsia="仿宋_GB2312" w:cs="仿宋_GB2312"/>
          <w:color w:val="auto"/>
          <w:sz w:val="32"/>
          <w:szCs w:val="32"/>
          <w:highlight w:val="none"/>
        </w:rPr>
      </w:pPr>
    </w:p>
    <w:p w14:paraId="647DC351">
      <w:pPr>
        <w:pStyle w:val="32"/>
        <w:jc w:val="center"/>
        <w:rPr>
          <w:rFonts w:hint="eastAsia" w:ascii="仿宋_GB2312" w:hAnsi="仿宋_GB2312" w:eastAsia="仿宋_GB2312" w:cs="仿宋_GB2312"/>
          <w:color w:val="auto"/>
          <w:sz w:val="32"/>
          <w:szCs w:val="32"/>
          <w:highlight w:val="none"/>
        </w:rPr>
      </w:pPr>
    </w:p>
    <w:p w14:paraId="63AA006B">
      <w:pPr>
        <w:pStyle w:val="32"/>
        <w:jc w:val="center"/>
        <w:rPr>
          <w:rFonts w:hint="eastAsia" w:ascii="仿宋_GB2312" w:hAnsi="仿宋_GB2312" w:eastAsia="仿宋_GB2312" w:cs="仿宋_GB2312"/>
          <w:color w:val="auto"/>
          <w:sz w:val="32"/>
          <w:szCs w:val="32"/>
          <w:highlight w:val="none"/>
        </w:rPr>
      </w:pPr>
    </w:p>
    <w:p w14:paraId="6A58E072">
      <w:pPr>
        <w:pStyle w:val="32"/>
        <w:jc w:val="center"/>
        <w:rPr>
          <w:rFonts w:hint="eastAsia" w:ascii="仿宋_GB2312" w:hAnsi="仿宋_GB2312" w:eastAsia="仿宋_GB2312" w:cs="仿宋_GB2312"/>
          <w:color w:val="auto"/>
          <w:sz w:val="32"/>
          <w:szCs w:val="32"/>
          <w:highlight w:val="none"/>
        </w:rPr>
      </w:pPr>
    </w:p>
    <w:p w14:paraId="2934A22A">
      <w:pPr>
        <w:pStyle w:val="32"/>
        <w:jc w:val="center"/>
        <w:rPr>
          <w:rFonts w:hint="eastAsia" w:ascii="仿宋_GB2312" w:hAnsi="仿宋_GB2312" w:eastAsia="仿宋_GB2312" w:cs="仿宋_GB2312"/>
          <w:color w:val="auto"/>
          <w:sz w:val="32"/>
          <w:szCs w:val="32"/>
          <w:highlight w:val="none"/>
        </w:rPr>
      </w:pPr>
    </w:p>
    <w:p w14:paraId="5944326C">
      <w:pPr>
        <w:spacing w:line="360" w:lineRule="auto"/>
        <w:ind w:left="420" w:leftChars="200"/>
        <w:rPr>
          <w:rFonts w:hint="default" w:eastAsia="宋体"/>
          <w:color w:val="auto"/>
          <w:sz w:val="30"/>
          <w:szCs w:val="30"/>
          <w:highlight w:val="none"/>
          <w:u w:val="single"/>
          <w:lang w:val="en-US" w:eastAsia="zh-CN"/>
        </w:rPr>
      </w:pPr>
      <w:r>
        <w:rPr>
          <w:rFonts w:hint="eastAsia" w:ascii="宋体" w:hAnsi="宋体" w:cs="宋体"/>
          <w:color w:val="auto"/>
          <w:kern w:val="0"/>
          <w:sz w:val="30"/>
          <w:szCs w:val="30"/>
          <w:highlight w:val="none"/>
        </w:rPr>
        <w:t>项目名称：</w:t>
      </w:r>
      <w:r>
        <w:rPr>
          <w:rFonts w:hint="eastAsia"/>
          <w:color w:val="auto"/>
          <w:sz w:val="30"/>
          <w:szCs w:val="30"/>
          <w:highlight w:val="none"/>
          <w:u w:val="single"/>
          <w:lang w:val="en-US" w:eastAsia="zh-CN"/>
        </w:rPr>
        <w:t xml:space="preserve">                                          </w:t>
      </w:r>
    </w:p>
    <w:p w14:paraId="5EC33CBE">
      <w:pPr>
        <w:spacing w:line="360" w:lineRule="auto"/>
        <w:ind w:left="420" w:leftChars="200" w:firstLine="0" w:firstLineChars="0"/>
        <w:rPr>
          <w:color w:val="auto"/>
          <w:sz w:val="30"/>
          <w:szCs w:val="30"/>
          <w:highlight w:val="none"/>
          <w:u w:val="single"/>
        </w:rPr>
      </w:pPr>
      <w:r>
        <w:rPr>
          <w:rFonts w:hint="eastAsia"/>
          <w:color w:val="auto"/>
          <w:sz w:val="30"/>
          <w:szCs w:val="30"/>
          <w:highlight w:val="none"/>
        </w:rPr>
        <w:t>合同编号：</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p>
    <w:p w14:paraId="67811857">
      <w:pPr>
        <w:spacing w:line="360" w:lineRule="auto"/>
        <w:ind w:left="420" w:leftChars="200"/>
        <w:rPr>
          <w:color w:val="auto"/>
          <w:sz w:val="30"/>
          <w:szCs w:val="30"/>
          <w:highlight w:val="none"/>
        </w:rPr>
      </w:pPr>
      <w:r>
        <w:rPr>
          <w:rFonts w:hint="eastAsia"/>
          <w:color w:val="auto"/>
          <w:sz w:val="30"/>
          <w:szCs w:val="30"/>
          <w:highlight w:val="none"/>
        </w:rPr>
        <w:t>委</w:t>
      </w:r>
      <w:r>
        <w:rPr>
          <w:rFonts w:hint="eastAsia"/>
          <w:color w:val="auto"/>
          <w:sz w:val="30"/>
          <w:szCs w:val="30"/>
          <w:highlight w:val="none"/>
          <w:lang w:val="en-US" w:eastAsia="zh-CN"/>
        </w:rPr>
        <w:t xml:space="preserve"> </w:t>
      </w:r>
      <w:r>
        <w:rPr>
          <w:rFonts w:hint="eastAsia"/>
          <w:color w:val="auto"/>
          <w:sz w:val="30"/>
          <w:szCs w:val="30"/>
          <w:highlight w:val="none"/>
        </w:rPr>
        <w:t>托</w:t>
      </w:r>
      <w:r>
        <w:rPr>
          <w:rFonts w:hint="eastAsia"/>
          <w:color w:val="auto"/>
          <w:sz w:val="30"/>
          <w:szCs w:val="30"/>
          <w:highlight w:val="none"/>
          <w:lang w:val="en-US" w:eastAsia="zh-CN"/>
        </w:rPr>
        <w:t xml:space="preserve"> </w:t>
      </w:r>
      <w:r>
        <w:rPr>
          <w:rFonts w:hint="eastAsia"/>
          <w:color w:val="auto"/>
          <w:sz w:val="30"/>
          <w:szCs w:val="30"/>
          <w:highlight w:val="none"/>
        </w:rPr>
        <w:t>人：</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eastAsia="宋体"/>
          <w:color w:val="auto"/>
          <w:sz w:val="30"/>
          <w:szCs w:val="30"/>
          <w:highlight w:val="none"/>
          <w:u w:val="single"/>
          <w:lang w:eastAsia="zh-CN"/>
        </w:rPr>
        <w:t>延津县先进制造业开发区管理委员会</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p>
    <w:p w14:paraId="299F44AC">
      <w:pPr>
        <w:spacing w:line="360" w:lineRule="auto"/>
        <w:ind w:left="420" w:leftChars="200"/>
        <w:rPr>
          <w:color w:val="auto"/>
          <w:sz w:val="30"/>
          <w:szCs w:val="30"/>
          <w:highlight w:val="none"/>
          <w:u w:val="single"/>
        </w:rPr>
      </w:pPr>
      <w:r>
        <w:rPr>
          <w:rFonts w:hint="eastAsia"/>
          <w:color w:val="auto"/>
          <w:sz w:val="30"/>
          <w:szCs w:val="30"/>
          <w:highlight w:val="none"/>
        </w:rPr>
        <w:t>监</w:t>
      </w:r>
      <w:r>
        <w:rPr>
          <w:rFonts w:hint="eastAsia"/>
          <w:color w:val="auto"/>
          <w:sz w:val="30"/>
          <w:szCs w:val="30"/>
          <w:highlight w:val="none"/>
          <w:lang w:val="en-US" w:eastAsia="zh-CN"/>
        </w:rPr>
        <w:t xml:space="preserve"> </w:t>
      </w:r>
      <w:r>
        <w:rPr>
          <w:rFonts w:hint="eastAsia"/>
          <w:color w:val="auto"/>
          <w:sz w:val="30"/>
          <w:szCs w:val="30"/>
          <w:highlight w:val="none"/>
        </w:rPr>
        <w:t>理</w:t>
      </w:r>
      <w:r>
        <w:rPr>
          <w:rFonts w:hint="eastAsia"/>
          <w:color w:val="auto"/>
          <w:sz w:val="30"/>
          <w:szCs w:val="30"/>
          <w:highlight w:val="none"/>
          <w:lang w:val="en-US" w:eastAsia="zh-CN"/>
        </w:rPr>
        <w:t xml:space="preserve"> </w:t>
      </w:r>
      <w:r>
        <w:rPr>
          <w:rFonts w:hint="eastAsia"/>
          <w:color w:val="auto"/>
          <w:sz w:val="30"/>
          <w:szCs w:val="30"/>
          <w:highlight w:val="none"/>
        </w:rPr>
        <w:t>人：</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p>
    <w:p w14:paraId="0A1B4F76">
      <w:pPr>
        <w:spacing w:line="360" w:lineRule="auto"/>
        <w:ind w:left="420" w:leftChars="200"/>
        <w:rPr>
          <w:color w:val="auto"/>
          <w:sz w:val="30"/>
          <w:szCs w:val="30"/>
          <w:highlight w:val="none"/>
        </w:rPr>
      </w:pPr>
      <w:r>
        <w:rPr>
          <w:rFonts w:hint="eastAsia"/>
          <w:color w:val="auto"/>
          <w:sz w:val="30"/>
          <w:szCs w:val="30"/>
          <w:highlight w:val="none"/>
        </w:rPr>
        <w:t>签订时间：</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u w:val="single"/>
          <w:lang w:eastAsia="zh-CN"/>
        </w:rPr>
        <w:t>年</w:t>
      </w:r>
      <w:r>
        <w:rPr>
          <w:rFonts w:hint="eastAsia"/>
          <w:color w:val="auto"/>
          <w:sz w:val="30"/>
          <w:szCs w:val="30"/>
          <w:highlight w:val="none"/>
          <w:u w:val="single"/>
          <w:lang w:val="en-US" w:eastAsia="zh-CN"/>
        </w:rPr>
        <w:t xml:space="preserve">   月   日</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p>
    <w:p w14:paraId="67704753">
      <w:pPr>
        <w:pStyle w:val="32"/>
        <w:jc w:val="center"/>
        <w:rPr>
          <w:rFonts w:hint="eastAsia" w:ascii="仿宋_GB2312" w:hAnsi="仿宋_GB2312" w:eastAsia="仿宋_GB2312" w:cs="仿宋_GB2312"/>
          <w:color w:val="auto"/>
          <w:sz w:val="32"/>
          <w:szCs w:val="32"/>
          <w:highlight w:val="none"/>
        </w:rPr>
      </w:pPr>
    </w:p>
    <w:p w14:paraId="1AF5BED4">
      <w:pPr>
        <w:pStyle w:val="32"/>
        <w:rPr>
          <w:rFonts w:hint="eastAsia" w:ascii="宋体" w:hAnsi="宋体" w:eastAsia="宋体" w:cs="宋体"/>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3780155</wp:posOffset>
                </wp:positionH>
                <wp:positionV relativeFrom="paragraph">
                  <wp:posOffset>175260</wp:posOffset>
                </wp:positionV>
                <wp:extent cx="753745" cy="354965"/>
                <wp:effectExtent l="5080" t="4445" r="22225" b="21590"/>
                <wp:wrapNone/>
                <wp:docPr id="17" name="文本框 17"/>
                <wp:cNvGraphicFramePr/>
                <a:graphic xmlns:a="http://schemas.openxmlformats.org/drawingml/2006/main">
                  <a:graphicData uri="http://schemas.microsoft.com/office/word/2010/wordprocessingShape">
                    <wps:wsp>
                      <wps:cNvSpPr txBox="1"/>
                      <wps:spPr>
                        <a:xfrm>
                          <a:off x="0" y="0"/>
                          <a:ext cx="753745" cy="354965"/>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5E97D0C0">
                            <w:pPr>
                              <w:rPr>
                                <w:rFonts w:ascii="Times New Roman" w:hAnsi="Times New Roman" w:eastAsia="宋体" w:cs="Times New Roman"/>
                                <w:b/>
                                <w:sz w:val="32"/>
                                <w:szCs w:val="32"/>
                              </w:rPr>
                            </w:pPr>
                            <w:r>
                              <w:rPr>
                                <w:rFonts w:hint="eastAsia" w:ascii="Times New Roman" w:hAnsi="Times New Roman" w:eastAsia="宋体" w:cs="Times New Roman"/>
                                <w:b/>
                                <w:sz w:val="32"/>
                                <w:szCs w:val="32"/>
                              </w:rPr>
                              <w:t>制定</w:t>
                            </w:r>
                          </w:p>
                        </w:txbxContent>
                      </wps:txbx>
                      <wps:bodyPr upright="1">
                        <a:spAutoFit/>
                      </wps:bodyPr>
                    </wps:wsp>
                  </a:graphicData>
                </a:graphic>
              </wp:anchor>
            </w:drawing>
          </mc:Choice>
          <mc:Fallback>
            <w:pict>
              <v:shape id="_x0000_s1026" o:spid="_x0000_s1026" o:spt="202" type="#_x0000_t202" style="position:absolute;left:0pt;margin-left:297.65pt;margin-top:13.8pt;height:27.95pt;width:59.35pt;z-index:251659264;mso-width-relative:page;mso-height-relative:page;" fillcolor="#FFFFFF" filled="t" stroked="t" coordsize="21600,21600" o:gfxdata="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rSPv9kAAAAJAQAADwAA&#10;AAAAAAABACAAAAAiAAAAZHJzL2Rvd25yZXYueG1sUEsBAhQAFAAAAAgAh07iQD1RSDcVAgAAXAQA&#10;AA4AAAAAAAAAAQAgAAAAKAEAAGRycy9lMm9Eb2MueG1sUEsFBgAAAAAGAAYAWQEAAK8FAAAAAA==&#10;">
                <v:fill on="t" focussize="0,0"/>
                <v:stroke weight="0pt" color="#FFFFFF" joinstyle="miter"/>
                <v:imagedata o:title=""/>
                <o:lock v:ext="edit" aspectratio="f"/>
                <v:textbox style="mso-fit-shape-to-text:t;">
                  <w:txbxContent>
                    <w:p w14:paraId="5E97D0C0">
                      <w:pPr>
                        <w:rPr>
                          <w:rFonts w:ascii="Times New Roman" w:hAnsi="Times New Roman" w:eastAsia="宋体" w:cs="Times New Roman"/>
                          <w:b/>
                          <w:sz w:val="32"/>
                          <w:szCs w:val="32"/>
                        </w:rPr>
                      </w:pPr>
                      <w:r>
                        <w:rPr>
                          <w:rFonts w:hint="eastAsia" w:ascii="Times New Roman" w:hAnsi="Times New Roman" w:eastAsia="宋体" w:cs="Times New Roman"/>
                          <w:b/>
                          <w:sz w:val="32"/>
                          <w:szCs w:val="32"/>
                        </w:rPr>
                        <w:t>制定</w:t>
                      </w:r>
                    </w:p>
                  </w:txbxContent>
                </v:textbox>
              </v:shape>
            </w:pict>
          </mc:Fallback>
        </mc:AlternateContent>
      </w:r>
      <w:r>
        <w:rPr>
          <w:rFonts w:hint="eastAsia" w:ascii="仿宋_GB2312" w:hAnsi="仿宋_GB2312" w:eastAsia="仿宋_GB2312" w:cs="仿宋_GB2312"/>
          <w:color w:val="auto"/>
          <w:sz w:val="32"/>
          <w:szCs w:val="32"/>
          <w:highlight w:val="none"/>
        </w:rPr>
        <w:t xml:space="preserve">                </w:t>
      </w:r>
      <w:r>
        <w:rPr>
          <w:rFonts w:hint="eastAsia" w:ascii="宋体" w:hAnsi="宋体" w:eastAsia="宋体" w:cs="宋体"/>
          <w:color w:val="auto"/>
          <w:sz w:val="32"/>
          <w:szCs w:val="32"/>
          <w:highlight w:val="none"/>
        </w:rPr>
        <w:t xml:space="preserve">  住 房 和 城 乡 建 设 部</w:t>
      </w:r>
    </w:p>
    <w:p w14:paraId="6E185A9F">
      <w:pPr>
        <w:pStyle w:val="32"/>
        <w:ind w:firstLine="2409" w:firstLineChars="750"/>
        <w:jc w:val="both"/>
        <w:rPr>
          <w:rFonts w:hint="eastAsia" w:ascii="仿宋_GB2312" w:hAnsi="仿宋_GB2312" w:eastAsia="仿宋_GB2312" w:cs="仿宋_GB2312"/>
          <w:color w:val="auto"/>
          <w:sz w:val="32"/>
          <w:szCs w:val="32"/>
          <w:highlight w:val="none"/>
        </w:rPr>
      </w:pPr>
      <w:r>
        <w:rPr>
          <w:rFonts w:hint="eastAsia" w:ascii="宋体" w:hAnsi="宋体" w:eastAsia="宋体" w:cs="宋体"/>
          <w:color w:val="auto"/>
          <w:sz w:val="32"/>
          <w:szCs w:val="32"/>
          <w:highlight w:val="none"/>
        </w:rPr>
        <w:t>国家工商行政管理总局</w:t>
      </w:r>
    </w:p>
    <w:p w14:paraId="3AC6840C">
      <w:pPr>
        <w:rPr>
          <w:rFonts w:hint="eastAsia" w:ascii="仿宋_GB2312" w:hAnsi="仿宋_GB2312" w:eastAsia="仿宋_GB2312" w:cs="仿宋_GB2312"/>
          <w:color w:val="auto"/>
          <w:sz w:val="32"/>
          <w:szCs w:val="32"/>
          <w:highlight w:val="none"/>
        </w:rPr>
        <w:sectPr>
          <w:footerReference r:id="rId9" w:type="first"/>
          <w:footerReference r:id="rId8" w:type="default"/>
          <w:pgSz w:w="11906" w:h="16838"/>
          <w:pgMar w:top="1440" w:right="1474" w:bottom="1440" w:left="1701" w:header="851" w:footer="992" w:gutter="0"/>
          <w:pgBorders>
            <w:top w:val="none" w:sz="0" w:space="0"/>
            <w:left w:val="none" w:sz="0" w:space="0"/>
            <w:bottom w:val="none" w:sz="0" w:space="0"/>
            <w:right w:val="none" w:sz="0" w:space="0"/>
          </w:pgBorders>
          <w:pgNumType w:fmt="decimal"/>
          <w:cols w:space="720" w:num="1"/>
          <w:titlePg/>
          <w:docGrid w:linePitch="326" w:charSpace="0"/>
        </w:sectPr>
      </w:pPr>
    </w:p>
    <w:p w14:paraId="434FE4FA">
      <w:pPr>
        <w:widowControl w:val="0"/>
        <w:kinsoku/>
        <w:overflowPunct/>
        <w:autoSpaceDE w:val="0"/>
        <w:autoSpaceDN w:val="0"/>
        <w:bidi w:val="0"/>
        <w:adjustRightInd/>
        <w:snapToGrid/>
        <w:spacing w:line="500" w:lineRule="exact"/>
        <w:ind w:left="0" w:leftChars="0" w:right="0"/>
        <w:jc w:val="center"/>
        <w:outlineLvl w:val="0"/>
        <w:rPr>
          <w:rFonts w:hint="eastAsia" w:ascii="黑体" w:hAnsi="黑体" w:eastAsia="黑体" w:cs="黑体"/>
          <w:b w:val="0"/>
          <w:bCs/>
          <w:color w:val="auto"/>
          <w:kern w:val="0"/>
          <w:sz w:val="32"/>
          <w:szCs w:val="32"/>
          <w:highlight w:val="none"/>
          <w:lang w:val="en-US" w:eastAsia="en-US" w:bidi="ar-SA"/>
        </w:rPr>
      </w:pPr>
      <w:r>
        <w:rPr>
          <w:rFonts w:hint="eastAsia" w:ascii="黑体" w:hAnsi="黑体" w:eastAsia="黑体" w:cs="黑体"/>
          <w:b w:val="0"/>
          <w:bCs/>
          <w:color w:val="auto"/>
          <w:kern w:val="0"/>
          <w:sz w:val="32"/>
          <w:szCs w:val="32"/>
          <w:highlight w:val="none"/>
          <w:lang w:val="en-US" w:eastAsia="en-US" w:bidi="ar-SA"/>
        </w:rPr>
        <w:t>第一部分  协议书</w:t>
      </w:r>
    </w:p>
    <w:p w14:paraId="5EF301F0">
      <w:pPr>
        <w:widowControl/>
        <w:kinsoku/>
        <w:overflowPunct/>
        <w:bidi w:val="0"/>
        <w:adjustRightInd/>
        <w:snapToGrid/>
        <w:spacing w:line="500" w:lineRule="exact"/>
        <w:ind w:left="0" w:leftChars="0" w:right="0"/>
        <w:rPr>
          <w:rFonts w:hint="eastAsia" w:ascii="宋体" w:hAnsi="宋体" w:eastAsia="宋体" w:cs="宋体"/>
          <w:b/>
          <w:color w:val="auto"/>
          <w:sz w:val="28"/>
          <w:szCs w:val="28"/>
          <w:highlight w:val="none"/>
        </w:rPr>
      </w:pPr>
    </w:p>
    <w:p w14:paraId="79DD205F">
      <w:pPr>
        <w:widowControl/>
        <w:kinsoku/>
        <w:wordWrap/>
        <w:overflowPunct/>
        <w:topLinePunct w:val="0"/>
        <w:bidi w:val="0"/>
        <w:adjustRightInd/>
        <w:snapToGrid/>
        <w:spacing w:line="500" w:lineRule="exact"/>
        <w:ind w:left="0" w:leftChars="0" w:right="0"/>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sz w:val="28"/>
          <w:szCs w:val="28"/>
          <w:highlight w:val="none"/>
        </w:rPr>
        <w:t>委托人：</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eastAsia="zh-CN"/>
        </w:rPr>
        <w:t>延津县先进制造业开发区管理委员会</w:t>
      </w:r>
      <w:r>
        <w:rPr>
          <w:rFonts w:hint="eastAsia" w:ascii="宋体" w:hAnsi="宋体" w:eastAsia="宋体" w:cs="宋体"/>
          <w:b/>
          <w:color w:val="auto"/>
          <w:kern w:val="0"/>
          <w:sz w:val="28"/>
          <w:szCs w:val="28"/>
          <w:highlight w:val="none"/>
          <w:u w:val="single"/>
        </w:rPr>
        <w:t xml:space="preserve">  </w:t>
      </w:r>
    </w:p>
    <w:p w14:paraId="4A33F0A7">
      <w:pPr>
        <w:kinsoku/>
        <w:wordWrap/>
        <w:overflowPunct/>
        <w:topLinePunct w:val="0"/>
        <w:bidi w:val="0"/>
        <w:adjustRightInd/>
        <w:snapToGrid/>
        <w:spacing w:line="500" w:lineRule="exact"/>
        <w:ind w:left="0" w:leftChars="0" w:right="0"/>
        <w:rPr>
          <w:rFonts w:hint="eastAsia" w:ascii="宋体" w:hAnsi="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监理人：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p>
    <w:p w14:paraId="0C5FFF4F">
      <w:pPr>
        <w:kinsoku/>
        <w:wordWrap/>
        <w:overflowPunct/>
        <w:topLinePunct w:val="0"/>
        <w:bidi w:val="0"/>
        <w:adjustRightInd/>
        <w:snapToGrid/>
        <w:spacing w:line="500" w:lineRule="exact"/>
        <w:ind w:left="0" w:leftChars="0" w:right="0"/>
        <w:rPr>
          <w:rFonts w:hint="eastAsia" w:ascii="宋体" w:hAnsi="宋体" w:cs="宋体"/>
          <w:b/>
          <w:color w:val="auto"/>
          <w:sz w:val="28"/>
          <w:szCs w:val="28"/>
          <w:highlight w:val="none"/>
          <w:u w:val="single"/>
          <w:lang w:val="en-US" w:eastAsia="zh-CN"/>
        </w:rPr>
      </w:pPr>
    </w:p>
    <w:p w14:paraId="1D749F27">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根据《中华人民共和国民法典》、《中华人民共和国建筑法》、《中华人民共和国招标投标法》及其实施条例等有关的法律法规，以及本采购项目的招标/谈判文件等采购文件、咨询人的《投标（响应）文件》及《中标（成交）通知书》等文件，遵循平等、自愿、公平和诚实信用的原则，双方就</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委托监理与相关服务事项协商一致，订立本合同。</w:t>
      </w:r>
    </w:p>
    <w:p w14:paraId="25705AB2">
      <w:pPr>
        <w:kinsoku/>
        <w:wordWrap/>
        <w:overflowPunct/>
        <w:topLinePunct w:val="0"/>
        <w:bidi w:val="0"/>
        <w:adjustRightInd/>
        <w:snapToGrid/>
        <w:spacing w:line="500" w:lineRule="exact"/>
        <w:ind w:left="0" w:leftChars="0" w:right="0" w:firstLine="562" w:firstLineChars="200"/>
        <w:outlineLvl w:val="9"/>
        <w:rPr>
          <w:rFonts w:hint="eastAsia" w:ascii="宋体" w:hAnsi="宋体" w:eastAsia="宋体" w:cs="宋体"/>
          <w:b/>
          <w:color w:val="auto"/>
          <w:sz w:val="28"/>
          <w:szCs w:val="28"/>
          <w:highlight w:val="none"/>
        </w:rPr>
      </w:pPr>
      <w:bookmarkStart w:id="61" w:name="_Toc13840"/>
      <w:bookmarkStart w:id="62" w:name="_Toc17481"/>
      <w:r>
        <w:rPr>
          <w:rFonts w:hint="eastAsia" w:ascii="宋体" w:hAnsi="宋体" w:eastAsia="宋体" w:cs="宋体"/>
          <w:b/>
          <w:color w:val="auto"/>
          <w:sz w:val="28"/>
          <w:szCs w:val="28"/>
          <w:highlight w:val="none"/>
        </w:rPr>
        <w:t>一、工程概况</w:t>
      </w:r>
      <w:bookmarkEnd w:id="61"/>
      <w:bookmarkEnd w:id="62"/>
    </w:p>
    <w:p w14:paraId="0D8F0F27">
      <w:pPr>
        <w:kinsoku/>
        <w:wordWrap/>
        <w:overflowPunct/>
        <w:topLinePunct w:val="0"/>
        <w:bidi w:val="0"/>
        <w:adjustRightInd/>
        <w:snapToGrid/>
        <w:spacing w:line="500" w:lineRule="exact"/>
        <w:ind w:left="0" w:leftChars="0" w:right="0"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1. 工程名称：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p>
    <w:p w14:paraId="535EE5F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2. 工程地点：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
    <w:p w14:paraId="0C4EA0B1">
      <w:pPr>
        <w:kinsoku/>
        <w:wordWrap/>
        <w:overflowPunct/>
        <w:topLinePunct w:val="0"/>
        <w:bidi w:val="0"/>
        <w:adjustRightInd/>
        <w:snapToGrid/>
        <w:spacing w:line="500" w:lineRule="exact"/>
        <w:ind w:left="0" w:leftChars="0" w:right="0" w:firstLine="560" w:firstLineChars="200"/>
        <w:jc w:val="left"/>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 工程规模：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p>
    <w:p w14:paraId="5CD736F2">
      <w:pPr>
        <w:kinsoku/>
        <w:wordWrap/>
        <w:overflowPunct/>
        <w:topLinePunct w:val="0"/>
        <w:bidi w:val="0"/>
        <w:adjustRightInd/>
        <w:snapToGrid/>
        <w:spacing w:line="500" w:lineRule="exact"/>
        <w:ind w:left="0" w:leftChars="0" w:right="0" w:firstLine="560" w:firstLineChars="200"/>
        <w:jc w:val="left"/>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4. 工程</w:t>
      </w:r>
      <w:r>
        <w:rPr>
          <w:rFonts w:hint="eastAsia" w:ascii="宋体" w:hAnsi="宋体" w:eastAsia="宋体" w:cs="宋体"/>
          <w:color w:val="auto"/>
          <w:kern w:val="0"/>
          <w:sz w:val="28"/>
          <w:szCs w:val="28"/>
          <w:highlight w:val="none"/>
        </w:rPr>
        <w:t>投资</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p>
    <w:p w14:paraId="7053D0CC">
      <w:pPr>
        <w:kinsoku/>
        <w:wordWrap/>
        <w:overflowPunct/>
        <w:topLinePunct w:val="0"/>
        <w:bidi w:val="0"/>
        <w:adjustRightInd/>
        <w:snapToGrid/>
        <w:spacing w:line="500" w:lineRule="exact"/>
        <w:ind w:left="0" w:leftChars="0" w:right="0" w:firstLine="56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8"/>
          <w:szCs w:val="28"/>
          <w:highlight w:val="none"/>
        </w:rPr>
        <w:t>5. 监理酬金：</w:t>
      </w:r>
      <w:r>
        <w:rPr>
          <w:rFonts w:hint="eastAsia" w:ascii="宋体" w:hAnsi="宋体" w:cs="宋体"/>
          <w:color w:val="auto"/>
          <w:sz w:val="28"/>
          <w:szCs w:val="28"/>
          <w:highlight w:val="none"/>
          <w:u w:val="single"/>
          <w:lang w:val="en-US" w:eastAsia="zh-CN"/>
        </w:rPr>
        <w:t xml:space="preserve">                                          </w:t>
      </w:r>
    </w:p>
    <w:p w14:paraId="6A708EA1">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二、词语限定</w:t>
      </w:r>
    </w:p>
    <w:p w14:paraId="4F4DB54D">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协议书中相关词语的含义与通用条件中的定义与解释相同。</w:t>
      </w:r>
    </w:p>
    <w:p w14:paraId="1A93D5C5">
      <w:pPr>
        <w:kinsoku/>
        <w:wordWrap/>
        <w:overflowPunct/>
        <w:topLinePunct w:val="0"/>
        <w:bidi w:val="0"/>
        <w:adjustRightInd/>
        <w:snapToGrid/>
        <w:spacing w:line="500" w:lineRule="exact"/>
        <w:ind w:left="0" w:leftChars="0" w:right="0" w:firstLine="562" w:firstLineChars="200"/>
        <w:outlineLvl w:val="9"/>
        <w:rPr>
          <w:rFonts w:hint="eastAsia" w:ascii="宋体" w:hAnsi="宋体" w:eastAsia="宋体" w:cs="宋体"/>
          <w:b/>
          <w:color w:val="auto"/>
          <w:sz w:val="28"/>
          <w:szCs w:val="28"/>
          <w:highlight w:val="none"/>
        </w:rPr>
      </w:pPr>
      <w:bookmarkStart w:id="63" w:name="_Toc22812"/>
      <w:bookmarkStart w:id="64" w:name="_Toc22860"/>
      <w:r>
        <w:rPr>
          <w:rFonts w:hint="eastAsia" w:ascii="宋体" w:hAnsi="宋体" w:eastAsia="宋体" w:cs="宋体"/>
          <w:b/>
          <w:color w:val="auto"/>
          <w:sz w:val="28"/>
          <w:szCs w:val="28"/>
          <w:highlight w:val="none"/>
        </w:rPr>
        <w:t>三、组成本合同的文件</w:t>
      </w:r>
      <w:bookmarkEnd w:id="63"/>
      <w:bookmarkEnd w:id="64"/>
    </w:p>
    <w:p w14:paraId="606A3977">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协议书；</w:t>
      </w:r>
    </w:p>
    <w:p w14:paraId="2398B863">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val="en-US" w:eastAsia="zh-CN"/>
        </w:rPr>
        <w:t>中标</w:t>
      </w:r>
      <w:r>
        <w:rPr>
          <w:rFonts w:hint="eastAsia" w:ascii="宋体" w:hAnsi="宋体" w:eastAsia="宋体" w:cs="宋体"/>
          <w:color w:val="auto"/>
          <w:sz w:val="28"/>
          <w:szCs w:val="28"/>
          <w:highlight w:val="none"/>
        </w:rPr>
        <w:t>通知书</w:t>
      </w:r>
      <w:r>
        <w:rPr>
          <w:rFonts w:hint="eastAsia" w:ascii="宋体" w:hAnsi="宋体" w:eastAsia="宋体" w:cs="宋体"/>
          <w:color w:val="auto"/>
          <w:sz w:val="28"/>
          <w:szCs w:val="28"/>
          <w:highlight w:val="none"/>
          <w:lang w:eastAsia="zh-CN"/>
        </w:rPr>
        <w:t>；</w:t>
      </w:r>
    </w:p>
    <w:p w14:paraId="0652DAD5">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 投标文件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招标文件</w:t>
      </w:r>
      <w:r>
        <w:rPr>
          <w:rFonts w:hint="eastAsia" w:ascii="宋体" w:hAnsi="宋体" w:eastAsia="宋体" w:cs="宋体"/>
          <w:color w:val="auto"/>
          <w:sz w:val="28"/>
          <w:szCs w:val="28"/>
          <w:highlight w:val="none"/>
          <w:lang w:eastAsia="zh-CN"/>
        </w:rPr>
        <w:t>；</w:t>
      </w:r>
    </w:p>
    <w:p w14:paraId="503EF0E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 专用条件；</w:t>
      </w:r>
    </w:p>
    <w:p w14:paraId="71305B1B">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通用条件；</w:t>
      </w:r>
    </w:p>
    <w:p w14:paraId="533B971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6. 附录，即：</w:t>
      </w:r>
    </w:p>
    <w:p w14:paraId="6D107214">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附录B  </w:t>
      </w:r>
      <w:r>
        <w:rPr>
          <w:rFonts w:hint="eastAsia" w:ascii="宋体" w:hAnsi="宋体" w:eastAsia="宋体" w:cs="宋体"/>
          <w:color w:val="auto"/>
          <w:sz w:val="28"/>
          <w:szCs w:val="28"/>
          <w:highlight w:val="none"/>
          <w:lang w:val="en-US" w:eastAsia="zh-CN"/>
        </w:rPr>
        <w:t>监理人主要管理人员。</w:t>
      </w:r>
    </w:p>
    <w:p w14:paraId="329B9092">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本合同签订后，双方依法签订的补充协议也是本合同文件的组成部分。</w:t>
      </w:r>
    </w:p>
    <w:p w14:paraId="455A5FB9">
      <w:pPr>
        <w:kinsoku/>
        <w:wordWrap/>
        <w:overflowPunct/>
        <w:topLinePunct w:val="0"/>
        <w:bidi w:val="0"/>
        <w:adjustRightInd/>
        <w:snapToGrid/>
        <w:spacing w:line="500" w:lineRule="exact"/>
        <w:ind w:left="0" w:leftChars="0" w:right="0" w:firstLine="562" w:firstLineChars="200"/>
        <w:outlineLvl w:val="9"/>
        <w:rPr>
          <w:rFonts w:hint="eastAsia" w:ascii="宋体" w:hAnsi="宋体" w:eastAsia="宋体" w:cs="宋体"/>
          <w:b/>
          <w:color w:val="auto"/>
          <w:sz w:val="28"/>
          <w:szCs w:val="28"/>
          <w:highlight w:val="none"/>
        </w:rPr>
      </w:pPr>
      <w:bookmarkStart w:id="65" w:name="_Toc8847"/>
      <w:bookmarkStart w:id="66" w:name="_Toc15068"/>
      <w:r>
        <w:rPr>
          <w:rFonts w:hint="eastAsia" w:ascii="宋体" w:hAnsi="宋体" w:eastAsia="宋体" w:cs="宋体"/>
          <w:b/>
          <w:color w:val="auto"/>
          <w:sz w:val="28"/>
          <w:szCs w:val="28"/>
          <w:highlight w:val="none"/>
        </w:rPr>
        <w:t>四、派驻监理人员名单</w:t>
      </w:r>
      <w:bookmarkEnd w:id="65"/>
      <w:bookmarkEnd w:id="66"/>
    </w:p>
    <w:p w14:paraId="6394D24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总监理工程师姓名：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专业：</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w:t>
      </w:r>
    </w:p>
    <w:p w14:paraId="38C1DA60">
      <w:pPr>
        <w:kinsoku/>
        <w:wordWrap/>
        <w:overflowPunct/>
        <w:topLinePunct w:val="0"/>
        <w:bidi w:val="0"/>
        <w:adjustRightInd/>
        <w:snapToGrid/>
        <w:spacing w:line="500" w:lineRule="exact"/>
        <w:ind w:left="0" w:leftChars="0" w:right="0" w:firstLine="560" w:firstLineChars="200"/>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注册号：</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手机号码</w:t>
      </w:r>
      <w:r>
        <w:rPr>
          <w:rFonts w:hint="eastAsia" w:ascii="宋体" w:hAnsi="宋体" w:cs="宋体"/>
          <w:color w:val="auto"/>
          <w:kern w:val="0"/>
          <w:sz w:val="28"/>
          <w:szCs w:val="28"/>
          <w:highlight w:val="none"/>
          <w:u w:val="single"/>
          <w:lang w:val="en-US" w:eastAsia="zh-CN"/>
        </w:rPr>
        <w:t xml:space="preserve">：                  </w:t>
      </w:r>
    </w:p>
    <w:p w14:paraId="4387653D">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lang w:val="en-US" w:eastAsia="zh-CN"/>
        </w:rPr>
        <w:t>其他人员详见附录B。</w:t>
      </w:r>
    </w:p>
    <w:p w14:paraId="67541317">
      <w:pPr>
        <w:kinsoku/>
        <w:wordWrap/>
        <w:overflowPunct/>
        <w:topLinePunct w:val="0"/>
        <w:bidi w:val="0"/>
        <w:adjustRightInd/>
        <w:snapToGrid/>
        <w:spacing w:line="500" w:lineRule="exact"/>
        <w:ind w:left="0" w:leftChars="0" w:right="0" w:firstLine="562" w:firstLineChars="200"/>
        <w:outlineLvl w:val="9"/>
        <w:rPr>
          <w:rFonts w:hint="eastAsia" w:ascii="宋体" w:hAnsi="宋体" w:eastAsia="宋体" w:cs="宋体"/>
          <w:b/>
          <w:color w:val="auto"/>
          <w:sz w:val="28"/>
          <w:szCs w:val="28"/>
          <w:highlight w:val="none"/>
        </w:rPr>
      </w:pPr>
      <w:bookmarkStart w:id="67" w:name="_Toc4236"/>
      <w:bookmarkStart w:id="68" w:name="_Toc31458"/>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酬金约定及支付</w:t>
      </w:r>
      <w:bookmarkEnd w:id="67"/>
      <w:bookmarkEnd w:id="68"/>
    </w:p>
    <w:p w14:paraId="5FE816CC">
      <w:pPr>
        <w:kinsoku/>
        <w:wordWrap/>
        <w:overflowPunct/>
        <w:topLinePunct w:val="0"/>
        <w:bidi w:val="0"/>
        <w:adjustRightInd/>
        <w:snapToGrid/>
        <w:spacing w:line="500" w:lineRule="exact"/>
        <w:ind w:left="0" w:leftChars="0" w:right="0" w:firstLine="560" w:firstLineChars="200"/>
        <w:jc w:val="left"/>
        <w:rPr>
          <w:rFonts w:hint="default" w:ascii="宋体" w:hAnsi="宋体" w:eastAsia="宋体" w:cs="宋体"/>
          <w:color w:val="auto"/>
          <w:sz w:val="24"/>
          <w:szCs w:val="24"/>
          <w:highlight w:val="none"/>
          <w:lang w:val="en-US"/>
        </w:rPr>
      </w:pPr>
      <w:bookmarkStart w:id="69" w:name="_Toc31024"/>
      <w:r>
        <w:rPr>
          <w:rFonts w:hint="eastAsia" w:ascii="宋体" w:hAnsi="宋体" w:eastAsia="宋体" w:cs="宋体"/>
          <w:color w:val="auto"/>
          <w:kern w:val="0"/>
          <w:sz w:val="28"/>
          <w:szCs w:val="28"/>
          <w:highlight w:val="none"/>
        </w:rPr>
        <w:t>监理酬金合同价：</w:t>
      </w:r>
      <w:bookmarkEnd w:id="69"/>
      <w:r>
        <w:rPr>
          <w:rFonts w:hint="eastAsia" w:ascii="宋体" w:hAnsi="宋体" w:cs="宋体"/>
          <w:color w:val="auto"/>
          <w:sz w:val="28"/>
          <w:szCs w:val="28"/>
          <w:highlight w:val="none"/>
          <w:u w:val="single"/>
          <w:lang w:val="en-US" w:eastAsia="zh-CN"/>
        </w:rPr>
        <w:t xml:space="preserve">                                   </w:t>
      </w:r>
    </w:p>
    <w:p w14:paraId="7F1DAE48">
      <w:pPr>
        <w:keepNext/>
        <w:keepLines/>
        <w:pageBreakBefore w:val="0"/>
        <w:widowControl w:val="0"/>
        <w:kinsoku/>
        <w:wordWrap/>
        <w:overflowPunct/>
        <w:topLinePunct w:val="0"/>
        <w:autoSpaceDE/>
        <w:autoSpaceDN/>
        <w:bidi w:val="0"/>
        <w:adjustRightInd/>
        <w:snapToGrid/>
        <w:spacing w:line="500" w:lineRule="exact"/>
        <w:ind w:left="0" w:leftChars="0" w:right="0" w:firstLine="560" w:firstLineChars="200"/>
        <w:jc w:val="left"/>
        <w:textAlignment w:val="auto"/>
        <w:outlineLvl w:val="9"/>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支付方式：详见专用条款</w:t>
      </w:r>
      <w:r>
        <w:rPr>
          <w:rFonts w:hint="eastAsia" w:ascii="宋体" w:hAnsi="宋体" w:eastAsia="宋体" w:cs="宋体"/>
          <w:color w:val="auto"/>
          <w:kern w:val="0"/>
          <w:sz w:val="28"/>
          <w:szCs w:val="28"/>
          <w:highlight w:val="none"/>
          <w:lang w:eastAsia="zh-CN"/>
        </w:rPr>
        <w:t>。</w:t>
      </w:r>
    </w:p>
    <w:p w14:paraId="332E0C47">
      <w:pPr>
        <w:kinsoku/>
        <w:wordWrap/>
        <w:overflowPunct/>
        <w:topLinePunct w:val="0"/>
        <w:bidi w:val="0"/>
        <w:adjustRightInd/>
        <w:snapToGrid/>
        <w:spacing w:line="500" w:lineRule="exact"/>
        <w:ind w:left="0" w:leftChars="0" w:right="0" w:firstLine="562" w:firstLineChars="200"/>
        <w:outlineLvl w:val="9"/>
        <w:rPr>
          <w:rFonts w:hint="eastAsia" w:ascii="宋体" w:hAnsi="宋体" w:eastAsia="宋体" w:cs="宋体"/>
          <w:b/>
          <w:color w:val="auto"/>
          <w:sz w:val="28"/>
          <w:szCs w:val="28"/>
          <w:highlight w:val="none"/>
          <w:lang w:eastAsia="zh-CN"/>
        </w:rPr>
      </w:pPr>
      <w:bookmarkStart w:id="70" w:name="_Toc310"/>
      <w:bookmarkStart w:id="71" w:name="_Toc14489"/>
      <w:r>
        <w:rPr>
          <w:rFonts w:hint="eastAsia" w:ascii="宋体" w:hAnsi="宋体" w:eastAsia="宋体" w:cs="宋体"/>
          <w:b/>
          <w:color w:val="auto"/>
          <w:sz w:val="28"/>
          <w:szCs w:val="28"/>
          <w:highlight w:val="none"/>
          <w:lang w:eastAsia="zh-CN"/>
        </w:rPr>
        <w:t>六、期限</w:t>
      </w:r>
      <w:bookmarkEnd w:id="70"/>
      <w:bookmarkEnd w:id="71"/>
    </w:p>
    <w:p w14:paraId="03E80663">
      <w:pPr>
        <w:kinsoku/>
        <w:wordWrap/>
        <w:overflowPunct/>
        <w:topLinePunct w:val="0"/>
        <w:bidi w:val="0"/>
        <w:adjustRightInd/>
        <w:snapToGrid/>
        <w:spacing w:line="500" w:lineRule="exact"/>
        <w:ind w:left="0" w:leftChars="0" w:right="0" w:firstLine="560" w:firstLineChars="200"/>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监理期限：</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p>
    <w:p w14:paraId="43BC3454">
      <w:pPr>
        <w:kinsoku/>
        <w:wordWrap/>
        <w:overflowPunct/>
        <w:topLinePunct w:val="0"/>
        <w:bidi w:val="0"/>
        <w:adjustRightInd/>
        <w:snapToGrid/>
        <w:spacing w:line="500" w:lineRule="exact"/>
        <w:ind w:left="0" w:leftChars="0" w:right="0"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七、双方承诺</w:t>
      </w:r>
    </w:p>
    <w:p w14:paraId="574602A6">
      <w:pPr>
        <w:kinsoku/>
        <w:wordWrap/>
        <w:overflowPunct/>
        <w:topLinePunct w:val="0"/>
        <w:bidi w:val="0"/>
        <w:adjustRightInd/>
        <w:snapToGrid/>
        <w:spacing w:line="500" w:lineRule="exact"/>
        <w:ind w:left="0" w:leftChars="0" w:right="0" w:firstLine="554" w:firstLineChars="198"/>
        <w:outlineLvl w:val="9"/>
        <w:rPr>
          <w:rFonts w:hint="eastAsia" w:ascii="宋体" w:hAnsi="宋体" w:eastAsia="宋体" w:cs="宋体"/>
          <w:b/>
          <w:color w:val="auto"/>
          <w:sz w:val="28"/>
          <w:szCs w:val="28"/>
          <w:highlight w:val="none"/>
        </w:rPr>
      </w:pPr>
      <w:bookmarkStart w:id="72" w:name="_Toc11025"/>
      <w:bookmarkStart w:id="73" w:name="_Toc30599"/>
      <w:r>
        <w:rPr>
          <w:rFonts w:hint="eastAsia" w:ascii="宋体" w:hAnsi="宋体" w:eastAsia="宋体" w:cs="宋体"/>
          <w:color w:val="auto"/>
          <w:sz w:val="28"/>
          <w:szCs w:val="28"/>
          <w:highlight w:val="none"/>
        </w:rPr>
        <w:t>1. 监理人向委托人承诺，按照本合同约定</w:t>
      </w:r>
      <w:r>
        <w:rPr>
          <w:rFonts w:hint="eastAsia" w:ascii="宋体" w:hAnsi="宋体" w:eastAsia="宋体" w:cs="宋体"/>
          <w:color w:val="auto"/>
          <w:kern w:val="0"/>
          <w:sz w:val="28"/>
          <w:szCs w:val="28"/>
          <w:highlight w:val="none"/>
        </w:rPr>
        <w:t>提供</w:t>
      </w:r>
      <w:r>
        <w:rPr>
          <w:rFonts w:hint="eastAsia" w:ascii="宋体" w:hAnsi="宋体" w:eastAsia="宋体" w:cs="宋体"/>
          <w:color w:val="auto"/>
          <w:sz w:val="28"/>
          <w:szCs w:val="28"/>
          <w:highlight w:val="none"/>
        </w:rPr>
        <w:t>监理与相关服务。</w:t>
      </w:r>
      <w:bookmarkEnd w:id="72"/>
      <w:bookmarkEnd w:id="73"/>
    </w:p>
    <w:p w14:paraId="19F7D17E">
      <w:pPr>
        <w:kinsoku/>
        <w:wordWrap/>
        <w:overflowPunct/>
        <w:topLinePunct w:val="0"/>
        <w:bidi w:val="0"/>
        <w:adjustRightInd/>
        <w:snapToGrid/>
        <w:spacing w:line="500" w:lineRule="exact"/>
        <w:ind w:left="0" w:leftChars="0" w:right="0" w:firstLine="554" w:firstLineChars="198"/>
        <w:outlineLvl w:val="9"/>
        <w:rPr>
          <w:rFonts w:hint="eastAsia" w:ascii="宋体" w:hAnsi="宋体" w:eastAsia="宋体" w:cs="宋体"/>
          <w:color w:val="auto"/>
          <w:sz w:val="28"/>
          <w:szCs w:val="28"/>
          <w:highlight w:val="none"/>
        </w:rPr>
      </w:pPr>
      <w:bookmarkStart w:id="74" w:name="_Toc4888"/>
      <w:bookmarkStart w:id="75" w:name="_Toc25215"/>
      <w:r>
        <w:rPr>
          <w:rFonts w:hint="eastAsia" w:ascii="宋体" w:hAnsi="宋体" w:eastAsia="宋体" w:cs="宋体"/>
          <w:color w:val="auto"/>
          <w:sz w:val="28"/>
          <w:szCs w:val="28"/>
          <w:highlight w:val="none"/>
        </w:rPr>
        <w:t>2. 委托人向监理人承诺，按照本合同约定派遣相应的人员，按本合同约定支付酬金。</w:t>
      </w:r>
      <w:bookmarkEnd w:id="74"/>
      <w:bookmarkEnd w:id="75"/>
    </w:p>
    <w:p w14:paraId="3868E703">
      <w:pPr>
        <w:kinsoku/>
        <w:wordWrap/>
        <w:overflowPunct/>
        <w:topLinePunct w:val="0"/>
        <w:bidi w:val="0"/>
        <w:adjustRightInd/>
        <w:snapToGrid/>
        <w:spacing w:line="500" w:lineRule="exact"/>
        <w:ind w:left="0" w:leftChars="0" w:right="0" w:firstLine="562" w:firstLineChars="200"/>
        <w:outlineLvl w:val="9"/>
        <w:rPr>
          <w:rFonts w:hint="eastAsia" w:ascii="宋体" w:hAnsi="宋体" w:eastAsia="宋体" w:cs="宋体"/>
          <w:b/>
          <w:color w:val="auto"/>
          <w:sz w:val="28"/>
          <w:szCs w:val="28"/>
          <w:highlight w:val="none"/>
          <w:lang w:eastAsia="zh-CN"/>
        </w:rPr>
      </w:pPr>
      <w:bookmarkStart w:id="76" w:name="_Toc32397"/>
      <w:bookmarkStart w:id="77" w:name="_Toc27876"/>
      <w:r>
        <w:rPr>
          <w:rFonts w:hint="eastAsia" w:ascii="宋体" w:hAnsi="宋体" w:eastAsia="宋体" w:cs="宋体"/>
          <w:b/>
          <w:color w:val="auto"/>
          <w:sz w:val="28"/>
          <w:szCs w:val="28"/>
          <w:highlight w:val="none"/>
          <w:lang w:eastAsia="zh-CN"/>
        </w:rPr>
        <w:t>八、合同订立</w:t>
      </w:r>
      <w:bookmarkEnd w:id="76"/>
      <w:bookmarkEnd w:id="77"/>
    </w:p>
    <w:p w14:paraId="07D58933">
      <w:pPr>
        <w:tabs>
          <w:tab w:val="left" w:pos="4800"/>
        </w:tabs>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份，委托人执</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份，监理人执</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14:paraId="0023D61F">
      <w:pPr>
        <w:tabs>
          <w:tab w:val="left" w:pos="4800"/>
        </w:tabs>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p>
    <w:p w14:paraId="537DD3CE">
      <w:pPr>
        <w:tabs>
          <w:tab w:val="left" w:pos="4800"/>
        </w:tabs>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p>
    <w:p w14:paraId="09095423">
      <w:pPr>
        <w:tabs>
          <w:tab w:val="left" w:pos="4800"/>
        </w:tabs>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p>
    <w:tbl>
      <w:tblPr>
        <w:tblStyle w:val="11"/>
        <w:tblW w:w="9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96"/>
        <w:gridCol w:w="3225"/>
        <w:gridCol w:w="1350"/>
        <w:gridCol w:w="3198"/>
      </w:tblGrid>
      <w:tr w14:paraId="0B02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3D0448D8">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委托人：</w:t>
            </w:r>
          </w:p>
        </w:tc>
        <w:tc>
          <w:tcPr>
            <w:tcW w:w="3225" w:type="dxa"/>
            <w:tcBorders>
              <w:tl2br w:val="nil"/>
              <w:tr2bl w:val="nil"/>
            </w:tcBorders>
            <w:noWrap w:val="0"/>
            <w:vAlign w:val="top"/>
          </w:tcPr>
          <w:p w14:paraId="756AD0C6">
            <w:pPr>
              <w:widowControl w:val="0"/>
              <w:kinsoku/>
              <w:wordWrap/>
              <w:overflowPunct/>
              <w:topLinePunct w:val="0"/>
              <w:bidi w:val="0"/>
              <w:adjustRightInd/>
              <w:snapToGrid/>
              <w:spacing w:line="500" w:lineRule="exact"/>
              <w:ind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8"/>
                <w:szCs w:val="28"/>
                <w:highlight w:val="none"/>
                <w:lang w:eastAsia="zh-CN"/>
              </w:rPr>
              <w:t>延津县先进制造业开发区管理委员会</w:t>
            </w:r>
          </w:p>
        </w:tc>
        <w:tc>
          <w:tcPr>
            <w:tcW w:w="1350" w:type="dxa"/>
            <w:tcBorders>
              <w:tl2br w:val="nil"/>
              <w:tr2bl w:val="nil"/>
            </w:tcBorders>
            <w:noWrap w:val="0"/>
            <w:vAlign w:val="top"/>
          </w:tcPr>
          <w:p w14:paraId="24FC5889">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委托人：</w:t>
            </w:r>
          </w:p>
        </w:tc>
        <w:tc>
          <w:tcPr>
            <w:tcW w:w="3198" w:type="dxa"/>
            <w:tcBorders>
              <w:tl2br w:val="nil"/>
              <w:tr2bl w:val="nil"/>
            </w:tcBorders>
            <w:noWrap w:val="0"/>
            <w:vAlign w:val="top"/>
          </w:tcPr>
          <w:p w14:paraId="586CB2C9">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r w14:paraId="0A35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96" w:type="dxa"/>
            <w:tcBorders>
              <w:tl2br w:val="nil"/>
              <w:tr2bl w:val="nil"/>
            </w:tcBorders>
            <w:noWrap w:val="0"/>
            <w:vAlign w:val="top"/>
          </w:tcPr>
          <w:p w14:paraId="042DF6CF">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住所：</w:t>
            </w:r>
          </w:p>
        </w:tc>
        <w:tc>
          <w:tcPr>
            <w:tcW w:w="3225" w:type="dxa"/>
            <w:tcBorders>
              <w:tl2br w:val="nil"/>
              <w:tr2bl w:val="nil"/>
            </w:tcBorders>
            <w:noWrap w:val="0"/>
            <w:vAlign w:val="center"/>
          </w:tcPr>
          <w:p w14:paraId="76948E66">
            <w:pPr>
              <w:widowControl w:val="0"/>
              <w:kinsoku/>
              <w:wordWrap/>
              <w:overflowPunct/>
              <w:topLinePunct w:val="0"/>
              <w:bidi w:val="0"/>
              <w:adjustRightInd/>
              <w:snapToGrid/>
              <w:spacing w:line="500" w:lineRule="exact"/>
              <w:ind w:right="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8"/>
                <w:szCs w:val="28"/>
                <w:highlight w:val="none"/>
                <w:lang w:val="en-US" w:eastAsia="zh-CN"/>
              </w:rPr>
              <w:t xml:space="preserve"> </w:t>
            </w:r>
          </w:p>
        </w:tc>
        <w:tc>
          <w:tcPr>
            <w:tcW w:w="1350" w:type="dxa"/>
            <w:tcBorders>
              <w:tl2br w:val="nil"/>
              <w:tr2bl w:val="nil"/>
            </w:tcBorders>
            <w:noWrap w:val="0"/>
            <w:vAlign w:val="top"/>
          </w:tcPr>
          <w:p w14:paraId="3EB26052">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住所：</w:t>
            </w:r>
          </w:p>
        </w:tc>
        <w:tc>
          <w:tcPr>
            <w:tcW w:w="3198" w:type="dxa"/>
            <w:tcBorders>
              <w:tl2br w:val="nil"/>
              <w:tr2bl w:val="nil"/>
            </w:tcBorders>
            <w:noWrap w:val="0"/>
            <w:vAlign w:val="top"/>
          </w:tcPr>
          <w:p w14:paraId="236031E0">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r>
              <w:rPr>
                <w:rFonts w:hint="eastAsia" w:ascii="宋体" w:hAnsi="宋体" w:eastAsia="宋体" w:cs="宋体"/>
                <w:color w:val="auto"/>
                <w:sz w:val="28"/>
                <w:szCs w:val="28"/>
                <w:highlight w:val="none"/>
                <w:vertAlign w:val="baseline"/>
              </w:rPr>
              <w:t xml:space="preserve"> </w:t>
            </w:r>
          </w:p>
        </w:tc>
      </w:tr>
      <w:tr w14:paraId="0E4F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009974C4">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邮政编码：</w:t>
            </w:r>
          </w:p>
        </w:tc>
        <w:tc>
          <w:tcPr>
            <w:tcW w:w="3225" w:type="dxa"/>
            <w:tcBorders>
              <w:tl2br w:val="nil"/>
              <w:tr2bl w:val="nil"/>
            </w:tcBorders>
            <w:noWrap w:val="0"/>
            <w:vAlign w:val="top"/>
          </w:tcPr>
          <w:p w14:paraId="087BD6B7">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7C2B4BC5">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邮政编码：</w:t>
            </w:r>
          </w:p>
        </w:tc>
        <w:tc>
          <w:tcPr>
            <w:tcW w:w="3198" w:type="dxa"/>
            <w:tcBorders>
              <w:tl2br w:val="nil"/>
              <w:tr2bl w:val="nil"/>
            </w:tcBorders>
            <w:noWrap w:val="0"/>
            <w:vAlign w:val="top"/>
          </w:tcPr>
          <w:p w14:paraId="68E6F19F">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r w14:paraId="539D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4796E31C">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法定代表人：</w:t>
            </w:r>
          </w:p>
        </w:tc>
        <w:tc>
          <w:tcPr>
            <w:tcW w:w="3225" w:type="dxa"/>
            <w:tcBorders>
              <w:tl2br w:val="nil"/>
              <w:tr2bl w:val="nil"/>
            </w:tcBorders>
            <w:noWrap w:val="0"/>
            <w:vAlign w:val="top"/>
          </w:tcPr>
          <w:p w14:paraId="3F40BE13">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5E852C76">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法定代表人</w:t>
            </w:r>
            <w:r>
              <w:rPr>
                <w:rFonts w:hint="eastAsia" w:ascii="黑体" w:hAnsi="黑体" w:eastAsia="黑体" w:cs="黑体"/>
                <w:color w:val="auto"/>
                <w:sz w:val="28"/>
                <w:szCs w:val="28"/>
                <w:highlight w:val="none"/>
                <w:lang w:eastAsia="zh-CN"/>
              </w:rPr>
              <w:t>：</w:t>
            </w:r>
          </w:p>
        </w:tc>
        <w:tc>
          <w:tcPr>
            <w:tcW w:w="3198" w:type="dxa"/>
            <w:tcBorders>
              <w:tl2br w:val="nil"/>
              <w:tr2bl w:val="nil"/>
            </w:tcBorders>
            <w:noWrap w:val="0"/>
            <w:vAlign w:val="top"/>
          </w:tcPr>
          <w:p w14:paraId="60FD1BAB">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r w14:paraId="10A7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09DB8237">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开户银行：</w:t>
            </w:r>
          </w:p>
        </w:tc>
        <w:tc>
          <w:tcPr>
            <w:tcW w:w="3225" w:type="dxa"/>
            <w:tcBorders>
              <w:tl2br w:val="nil"/>
              <w:tr2bl w:val="nil"/>
            </w:tcBorders>
            <w:noWrap w:val="0"/>
            <w:vAlign w:val="top"/>
          </w:tcPr>
          <w:p w14:paraId="7836375F">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45FC930B">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开户银行：</w:t>
            </w:r>
          </w:p>
        </w:tc>
        <w:tc>
          <w:tcPr>
            <w:tcW w:w="3198" w:type="dxa"/>
            <w:tcBorders>
              <w:tl2br w:val="nil"/>
              <w:tr2bl w:val="nil"/>
            </w:tcBorders>
            <w:noWrap w:val="0"/>
            <w:vAlign w:val="top"/>
          </w:tcPr>
          <w:p w14:paraId="0D931C36">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r w14:paraId="2938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4CA37CBD">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账号：</w:t>
            </w:r>
          </w:p>
        </w:tc>
        <w:tc>
          <w:tcPr>
            <w:tcW w:w="3225" w:type="dxa"/>
            <w:tcBorders>
              <w:tl2br w:val="nil"/>
              <w:tr2bl w:val="nil"/>
            </w:tcBorders>
            <w:noWrap w:val="0"/>
            <w:vAlign w:val="top"/>
          </w:tcPr>
          <w:p w14:paraId="75ED86D8">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64CD1840">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账号：</w:t>
            </w:r>
          </w:p>
        </w:tc>
        <w:tc>
          <w:tcPr>
            <w:tcW w:w="3198" w:type="dxa"/>
            <w:tcBorders>
              <w:tl2br w:val="nil"/>
              <w:tr2bl w:val="nil"/>
            </w:tcBorders>
            <w:noWrap w:val="0"/>
            <w:vAlign w:val="top"/>
          </w:tcPr>
          <w:p w14:paraId="3CBAD0C5">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r w14:paraId="3497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6C933DE7">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电话：</w:t>
            </w:r>
          </w:p>
        </w:tc>
        <w:tc>
          <w:tcPr>
            <w:tcW w:w="3225" w:type="dxa"/>
            <w:tcBorders>
              <w:tl2br w:val="nil"/>
              <w:tr2bl w:val="nil"/>
            </w:tcBorders>
            <w:noWrap w:val="0"/>
            <w:vAlign w:val="top"/>
          </w:tcPr>
          <w:p w14:paraId="2AF963A0">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65E25770">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电话：</w:t>
            </w:r>
          </w:p>
        </w:tc>
        <w:tc>
          <w:tcPr>
            <w:tcW w:w="3198" w:type="dxa"/>
            <w:tcBorders>
              <w:tl2br w:val="nil"/>
              <w:tr2bl w:val="nil"/>
            </w:tcBorders>
            <w:noWrap w:val="0"/>
            <w:vAlign w:val="top"/>
          </w:tcPr>
          <w:p w14:paraId="591D116C">
            <w:pPr>
              <w:widowControl w:val="0"/>
              <w:kinsoku/>
              <w:wordWrap/>
              <w:overflowPunct/>
              <w:topLinePunct w:val="0"/>
              <w:bidi w:val="0"/>
              <w:adjustRightInd/>
              <w:snapToGrid/>
              <w:spacing w:line="500" w:lineRule="exact"/>
              <w:ind w:right="0"/>
              <w:rPr>
                <w:rFonts w:hint="default" w:ascii="宋体" w:hAnsi="宋体" w:eastAsia="宋体" w:cs="宋体"/>
                <w:color w:val="auto"/>
                <w:sz w:val="28"/>
                <w:szCs w:val="28"/>
                <w:highlight w:val="none"/>
                <w:vertAlign w:val="baseline"/>
                <w:lang w:val="en-US"/>
              </w:rPr>
            </w:pPr>
            <w:r>
              <w:rPr>
                <w:rFonts w:hint="eastAsia"/>
                <w:color w:val="auto"/>
                <w:spacing w:val="-9"/>
                <w:highlight w:val="none"/>
                <w:u w:val="single" w:color="auto"/>
                <w:lang w:val="en-US" w:eastAsia="zh-CN"/>
              </w:rPr>
              <w:t xml:space="preserve"> </w:t>
            </w:r>
          </w:p>
        </w:tc>
      </w:tr>
      <w:tr w14:paraId="2976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0CD70A83">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传真：</w:t>
            </w:r>
          </w:p>
        </w:tc>
        <w:tc>
          <w:tcPr>
            <w:tcW w:w="3225" w:type="dxa"/>
            <w:tcBorders>
              <w:tl2br w:val="nil"/>
              <w:tr2bl w:val="nil"/>
            </w:tcBorders>
            <w:noWrap w:val="0"/>
            <w:vAlign w:val="top"/>
          </w:tcPr>
          <w:p w14:paraId="1517B78A">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63AD6096">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传真：</w:t>
            </w:r>
          </w:p>
        </w:tc>
        <w:tc>
          <w:tcPr>
            <w:tcW w:w="3198" w:type="dxa"/>
            <w:tcBorders>
              <w:tl2br w:val="nil"/>
              <w:tr2bl w:val="nil"/>
            </w:tcBorders>
            <w:noWrap w:val="0"/>
            <w:vAlign w:val="top"/>
          </w:tcPr>
          <w:p w14:paraId="464A6CF5">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r w14:paraId="7814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6" w:type="dxa"/>
            <w:tcBorders>
              <w:tl2br w:val="nil"/>
              <w:tr2bl w:val="nil"/>
            </w:tcBorders>
            <w:noWrap w:val="0"/>
            <w:vAlign w:val="top"/>
          </w:tcPr>
          <w:p w14:paraId="67759613">
            <w:pPr>
              <w:widowControl w:val="0"/>
              <w:kinsoku/>
              <w:wordWrap/>
              <w:overflowPunct/>
              <w:topLinePunct w:val="0"/>
              <w:bidi w:val="0"/>
              <w:adjustRightInd/>
              <w:snapToGrid/>
              <w:spacing w:line="500" w:lineRule="exact"/>
              <w:ind w:right="0"/>
              <w:jc w:val="center"/>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电子邮箱：</w:t>
            </w:r>
          </w:p>
        </w:tc>
        <w:tc>
          <w:tcPr>
            <w:tcW w:w="3225" w:type="dxa"/>
            <w:tcBorders>
              <w:tl2br w:val="nil"/>
              <w:tr2bl w:val="nil"/>
            </w:tcBorders>
            <w:noWrap w:val="0"/>
            <w:vAlign w:val="top"/>
          </w:tcPr>
          <w:p w14:paraId="365BFA32">
            <w:pPr>
              <w:widowControl w:val="0"/>
              <w:kinsoku/>
              <w:wordWrap/>
              <w:overflowPunct/>
              <w:topLinePunct w:val="0"/>
              <w:bidi w:val="0"/>
              <w:adjustRightInd/>
              <w:snapToGrid/>
              <w:spacing w:line="500" w:lineRule="exact"/>
              <w:ind w:right="0"/>
              <w:jc w:val="center"/>
              <w:rPr>
                <w:rFonts w:hint="eastAsia" w:ascii="宋体" w:hAnsi="宋体" w:eastAsia="宋体" w:cs="宋体"/>
                <w:color w:val="auto"/>
                <w:sz w:val="24"/>
                <w:szCs w:val="24"/>
                <w:highlight w:val="none"/>
                <w:vertAlign w:val="baseline"/>
              </w:rPr>
            </w:pPr>
          </w:p>
        </w:tc>
        <w:tc>
          <w:tcPr>
            <w:tcW w:w="1350" w:type="dxa"/>
            <w:tcBorders>
              <w:tl2br w:val="nil"/>
              <w:tr2bl w:val="nil"/>
            </w:tcBorders>
            <w:noWrap w:val="0"/>
            <w:vAlign w:val="top"/>
          </w:tcPr>
          <w:p w14:paraId="16BE63E3">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lang w:val="en-US" w:eastAsia="zh-CN"/>
              </w:rPr>
            </w:pPr>
            <w:r>
              <w:rPr>
                <w:rFonts w:hint="eastAsia" w:ascii="黑体" w:hAnsi="黑体" w:eastAsia="黑体" w:cs="黑体"/>
                <w:color w:val="auto"/>
                <w:sz w:val="28"/>
                <w:szCs w:val="28"/>
                <w:highlight w:val="none"/>
              </w:rPr>
              <w:t>电子邮箱：</w:t>
            </w:r>
          </w:p>
        </w:tc>
        <w:tc>
          <w:tcPr>
            <w:tcW w:w="3198" w:type="dxa"/>
            <w:tcBorders>
              <w:tl2br w:val="nil"/>
              <w:tr2bl w:val="nil"/>
            </w:tcBorders>
            <w:noWrap w:val="0"/>
            <w:vAlign w:val="top"/>
          </w:tcPr>
          <w:p w14:paraId="72D990A1">
            <w:pPr>
              <w:widowControl w:val="0"/>
              <w:kinsoku/>
              <w:wordWrap/>
              <w:overflowPunct/>
              <w:topLinePunct w:val="0"/>
              <w:bidi w:val="0"/>
              <w:adjustRightInd/>
              <w:snapToGrid/>
              <w:spacing w:line="500" w:lineRule="exact"/>
              <w:ind w:right="0"/>
              <w:rPr>
                <w:rFonts w:hint="eastAsia" w:ascii="宋体" w:hAnsi="宋体" w:eastAsia="宋体" w:cs="宋体"/>
                <w:color w:val="auto"/>
                <w:sz w:val="28"/>
                <w:szCs w:val="28"/>
                <w:highlight w:val="none"/>
                <w:vertAlign w:val="baseline"/>
              </w:rPr>
            </w:pPr>
          </w:p>
        </w:tc>
      </w:tr>
    </w:tbl>
    <w:p w14:paraId="55AF0DD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p>
    <w:p w14:paraId="24F26551">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仿宋_GB2312" w:hAnsi="宋体" w:eastAsia="仿宋_GB2312"/>
          <w:color w:val="auto"/>
          <w:sz w:val="24"/>
          <w:highlight w:val="none"/>
          <w:u w:val="single"/>
        </w:rPr>
      </w:pPr>
    </w:p>
    <w:p w14:paraId="597B4FE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仿宋_GB2312" w:hAnsi="宋体" w:eastAsia="仿宋_GB2312"/>
          <w:color w:val="auto"/>
          <w:sz w:val="24"/>
          <w:highlight w:val="none"/>
          <w:u w:val="single"/>
        </w:rPr>
      </w:pPr>
    </w:p>
    <w:p w14:paraId="0A549CE4">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仿宋_GB2312" w:hAnsi="宋体" w:eastAsia="仿宋_GB2312"/>
          <w:color w:val="auto"/>
          <w:sz w:val="24"/>
          <w:highlight w:val="none"/>
          <w:u w:val="single"/>
        </w:rPr>
      </w:pPr>
    </w:p>
    <w:p w14:paraId="6940DF4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仿宋_GB2312" w:hAnsi="宋体" w:eastAsia="仿宋_GB2312"/>
          <w:color w:val="auto"/>
          <w:sz w:val="24"/>
          <w:highlight w:val="none"/>
          <w:u w:val="single"/>
        </w:rPr>
      </w:pPr>
    </w:p>
    <w:p w14:paraId="6F50921E">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仿宋_GB2312" w:hAnsi="宋体" w:eastAsia="仿宋_GB2312"/>
          <w:color w:val="auto"/>
          <w:sz w:val="24"/>
          <w:highlight w:val="none"/>
          <w:u w:val="single"/>
        </w:rPr>
      </w:pPr>
    </w:p>
    <w:p w14:paraId="57080C4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仿宋_GB2312" w:hAnsi="宋体" w:eastAsia="仿宋_GB2312"/>
          <w:color w:val="auto"/>
          <w:sz w:val="24"/>
          <w:highlight w:val="none"/>
          <w:u w:val="single"/>
        </w:rPr>
      </w:pPr>
    </w:p>
    <w:p w14:paraId="33F9F9E5">
      <w:pPr>
        <w:widowControl w:val="0"/>
        <w:kinsoku/>
        <w:overflowPunct/>
        <w:autoSpaceDE w:val="0"/>
        <w:autoSpaceDN w:val="0"/>
        <w:bidi w:val="0"/>
        <w:adjustRightInd/>
        <w:snapToGrid/>
        <w:spacing w:line="500" w:lineRule="exact"/>
        <w:ind w:left="0" w:leftChars="0" w:right="0"/>
        <w:jc w:val="center"/>
        <w:outlineLvl w:val="0"/>
        <w:rPr>
          <w:rFonts w:hint="eastAsia" w:ascii="黑体" w:hAnsi="黑体" w:eastAsia="黑体" w:cs="黑体"/>
          <w:b w:val="0"/>
          <w:bCs/>
          <w:color w:val="auto"/>
          <w:kern w:val="0"/>
          <w:sz w:val="32"/>
          <w:szCs w:val="32"/>
          <w:highlight w:val="none"/>
          <w:lang w:val="en-US" w:eastAsia="en-US" w:bidi="ar-SA"/>
        </w:rPr>
      </w:pPr>
      <w:r>
        <w:rPr>
          <w:rFonts w:hint="eastAsia" w:ascii="黑体" w:hAnsi="黑体" w:eastAsia="黑体" w:cs="黑体"/>
          <w:b w:val="0"/>
          <w:bCs/>
          <w:color w:val="auto"/>
          <w:kern w:val="0"/>
          <w:sz w:val="32"/>
          <w:szCs w:val="32"/>
          <w:highlight w:val="none"/>
          <w:lang w:val="en-US" w:eastAsia="en-US" w:bidi="ar-SA"/>
        </w:rPr>
        <w:t>第二部分  通用条件</w:t>
      </w:r>
    </w:p>
    <w:p w14:paraId="48870DB6">
      <w:pPr>
        <w:kinsoku/>
        <w:wordWrap/>
        <w:overflowPunct/>
        <w:topLinePunct w:val="0"/>
        <w:bidi w:val="0"/>
        <w:adjustRightInd/>
        <w:snapToGrid/>
        <w:spacing w:line="500" w:lineRule="exact"/>
        <w:ind w:left="0" w:leftChars="0" w:right="0"/>
        <w:jc w:val="center"/>
        <w:rPr>
          <w:rFonts w:hint="eastAsia" w:ascii="宋体" w:hAnsi="宋体" w:eastAsia="宋体" w:cs="宋体"/>
          <w:b/>
          <w:color w:val="auto"/>
          <w:sz w:val="28"/>
          <w:szCs w:val="28"/>
          <w:highlight w:val="none"/>
        </w:rPr>
      </w:pPr>
    </w:p>
    <w:p w14:paraId="1DE7690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定义与解释</w:t>
      </w:r>
    </w:p>
    <w:p w14:paraId="5DACD33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定义</w:t>
      </w:r>
    </w:p>
    <w:p w14:paraId="3E2C8DC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除根据上下文另有其意义外 ，组成本合同的全部文件中的下列名词和用语应具有本款所赋予的含 义 ：</w:t>
      </w:r>
    </w:p>
    <w:p w14:paraId="4E96CD0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1.1.1“工程”是指按照本合同约定实施监理与相关服务的建设工程。</w:t>
      </w:r>
    </w:p>
    <w:p w14:paraId="65D1143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1.1.2“委托人”是指本合同中委托监理与相关服务的一方 ，及其合法的继承人或受让人。</w:t>
      </w:r>
    </w:p>
    <w:p w14:paraId="7201F92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1.1.3“监理人”是指本合同中提供监理与相关服务的一方 ，及其合法的继承人。</w:t>
      </w:r>
    </w:p>
    <w:p w14:paraId="75626D0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1.1.4“承包人”是指在工程范围内与委托人签订勘察、设计、施工等有关合同的当事人 ，及其合 法的继承人。</w:t>
      </w:r>
    </w:p>
    <w:p w14:paraId="5627E89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1.1.5“监理”是指监理人受委托人的委托  ，依照法律法规、工程建设标准、勘察设计文件及合 同 ，在施工阶段对建设工程质量、进度、造价进行控制 ，对合同、信息进行管理 ，对工程建设相关方 的关系进行协调 ，并履行建设工程安全生产管理法定职责的服务活动。</w:t>
      </w:r>
    </w:p>
    <w:p w14:paraId="5F36C1E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1.1.6“相关服务”是指监理人受委托人的委托  ，按照本合同约定 ，在勘察、设计、保修等阶段 提供的服务活动。</w:t>
      </w:r>
    </w:p>
    <w:p w14:paraId="2B9EB56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1.1.7“正常工作”指本合同订立时通用条件和专用条件中约定的监理人的工作。</w:t>
      </w:r>
    </w:p>
    <w:p w14:paraId="1E763E7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1.1.8“附加工作”是指本合同约定的正常工作以外监理人的工作。</w:t>
      </w:r>
    </w:p>
    <w:p w14:paraId="149715A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1.1.9“项目监理机构”是指监理人派驻工程负责履行本合同的组织机构。</w:t>
      </w:r>
    </w:p>
    <w:p w14:paraId="2C4B80C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1.1.10“总监理工程师”是指由监理人的法定代表人书面授权 ，全面负责履行本合同、主持项目 监理机构工作的注册监理工程师。</w:t>
      </w:r>
    </w:p>
    <w:p w14:paraId="3D36030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1.1.11“酬金”是指监理人履行本合同义务 ，委托人按照本合同约定给付监理人的金额。</w:t>
      </w:r>
    </w:p>
    <w:p w14:paraId="613E7F4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1.1.12“正常工作酬金”是指监理人完成正常工作 ，委托人应给付监理人并在协议书中载明的签 约酬金额。</w:t>
      </w:r>
    </w:p>
    <w:p w14:paraId="74EAC1B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1.1.13“附加工作酬金”是指监理人完成附加工作 ，委托人应给付监理人的金额。</w:t>
      </w:r>
    </w:p>
    <w:p w14:paraId="6CCC528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1.1.14“一方”是指委托人或监理人 ；“双方”是指委托人和监理人 ；“第三方”是指除委托人 和监理人以外的有关方。</w:t>
      </w:r>
    </w:p>
    <w:p w14:paraId="587BC0B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1.1.15“书面形式”是指合同书、信件和数据电文（包括电报、电传、传真、电子数据交换和电 子邮件）等可以有形地表现所载内容的形式。</w:t>
      </w:r>
    </w:p>
    <w:p w14:paraId="2AECECA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1.1.16“天”是指第一天零时至第二天零时的时间。</w:t>
      </w:r>
    </w:p>
    <w:p w14:paraId="7B2B9DC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1.1.17“月”是指按公历从一个月中任何一天开始的一个公历月时间。</w:t>
      </w:r>
    </w:p>
    <w:p w14:paraId="372B35A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1.1.18“不可抗力”是指委托人和监理人在订立本合同时不可预见 ，在工程施工过程中不可避免 发生并不能克服的自然灾害和社会性突发事件 ，如地震、海啸、瘟疫、水灾、骚乱、暴动、战争和专 用条件约定的其他情形。</w:t>
      </w:r>
    </w:p>
    <w:p w14:paraId="4CE55C3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解释</w:t>
      </w:r>
    </w:p>
    <w:p w14:paraId="7BBC135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本合同使用中文书写、解释和说明。如专用条件约定使用两种及以上语言文字时 ，应以中 文为准。</w:t>
      </w:r>
    </w:p>
    <w:p w14:paraId="5E08BD1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组成本合同的下列文件彼此应能相互解释、互为说明。除专用条件另有约定外 ，本合同文 件的解释顺序如下 ：</w:t>
      </w:r>
    </w:p>
    <w:p w14:paraId="23246BE7">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 ）协议书 ；</w:t>
      </w:r>
    </w:p>
    <w:p w14:paraId="02787FA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 ）中标通知书（适用于招标工程）或委托书（适用于非招标工程） ；</w:t>
      </w:r>
    </w:p>
    <w:p w14:paraId="26B6AF6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3 ）专用条件及附录 A ；</w:t>
      </w:r>
    </w:p>
    <w:p w14:paraId="7BBB70C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4 ）通用条件 ；</w:t>
      </w:r>
    </w:p>
    <w:p w14:paraId="5E0C868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5 ）投标文件（适用于招标工程）或监理与相关服务建议书（适用于非招标工程）。</w:t>
      </w:r>
    </w:p>
    <w:p w14:paraId="1C29057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双方签订的补充协议与其他文件发生矛盾或歧义时 ，属于同一类内容的文件 ，应以最新签署的为 准。</w:t>
      </w:r>
    </w:p>
    <w:p w14:paraId="035A11D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监理人的义务</w:t>
      </w:r>
    </w:p>
    <w:p w14:paraId="75C942A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监理的范围和工作内容</w:t>
      </w:r>
    </w:p>
    <w:p w14:paraId="227DC67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监理范围在专用条件中约定。</w:t>
      </w:r>
    </w:p>
    <w:p w14:paraId="247CC8D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除专用条件另有约定外 ，监理工作内容包括 ：</w:t>
      </w:r>
    </w:p>
    <w:p w14:paraId="02205C8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 ）收到工程设计文件后编制监理规划 ，并在第一次工地会议 7 天前报委托人。根据有关规定 和监理工作需要 ，编制监理实施细则 ；</w:t>
      </w:r>
    </w:p>
    <w:p w14:paraId="20E7AB6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 ）熟悉工程设计文件 ，并参加由委托人主持的图纸会审和设计交底会议 ；</w:t>
      </w:r>
    </w:p>
    <w:p w14:paraId="3AD03E8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3 ）参加由委托人主持的第一次工地会议 ；主持监理例会并根据工程需要主持或参加专题会议 ；</w:t>
      </w:r>
    </w:p>
    <w:p w14:paraId="331652E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4 ）审查施工承包人提交的施工组织设计 ，重点审查其中的质量安全技术措施、专项施工方案 与工程建设强制性标准的符合性 ；审查项目组织机构人员与投标文件是否相符 ；</w:t>
      </w:r>
    </w:p>
    <w:p w14:paraId="63EC33B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5 ）检查施工承包人工程质量、安全生产管理制度及组织机构和人员资格 ；</w:t>
      </w:r>
    </w:p>
    <w:p w14:paraId="465697A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6 ）检查施工承包人专职安全生产管理人员的配备情况 ；</w:t>
      </w:r>
    </w:p>
    <w:p w14:paraId="25BDD01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7 ）审查施工承包人提交的施工进度计划 ，核查承包人对施工进度计划的调整 ；</w:t>
      </w:r>
    </w:p>
    <w:p w14:paraId="4922A85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8 ）检查施工承包人的试验室 ；</w:t>
      </w:r>
    </w:p>
    <w:p w14:paraId="1445726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9 ）审核施工分包人资质条件 ；</w:t>
      </w:r>
    </w:p>
    <w:p w14:paraId="59E2D17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10 ）查验施工承包人的施工测量放线成果 ；</w:t>
      </w:r>
    </w:p>
    <w:p w14:paraId="2BFB79D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11 ）审查工程开工条件 ，对条件具备的签发开工令 ；</w:t>
      </w:r>
    </w:p>
    <w:p w14:paraId="2D7D4F3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12 ）审查施工承包人报送的工程材料、构配件、设备质量证明文件的有效性和符合性 ，并按规 定对用于工程的材料采取平行检验或见证取样方式进行抽检 ；</w:t>
      </w:r>
    </w:p>
    <w:p w14:paraId="7ADB4F1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13 ）审核施工承包人提交的工程款支付申请 ，签发或出具工程款支付证书 ，并报委托人审核、 批准 ；</w:t>
      </w:r>
    </w:p>
    <w:p w14:paraId="34DF2AC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14 ）在巡视、旁站和检验过程中 ，发现工程质量、施工安全存在事故隐患的 ，要求施工承包人 整改并报委托人 ；</w:t>
      </w:r>
    </w:p>
    <w:p w14:paraId="54267E5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15 ）经委托人同意 ，签发工程暂停令和复工令 ；</w:t>
      </w:r>
    </w:p>
    <w:p w14:paraId="26956CF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16 ）审查施工承包人提交的采用新材料、新工艺、新技术、新设备的论证材料及相关验收标准 ；</w:t>
      </w:r>
    </w:p>
    <w:p w14:paraId="5492DCA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17 ）验收隐蔽工程、分部分项工程 ；</w:t>
      </w:r>
    </w:p>
    <w:p w14:paraId="52DE6AE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18 ）审查施工承包人提交的工程变更申请 ，协调处理施工进度调整、费用索赔、合同争议等事 项 ；</w:t>
      </w:r>
    </w:p>
    <w:p w14:paraId="705391D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19 ）审查施工承包人提交的竣工验收申请 ，编写工程质量评估报告 ；</w:t>
      </w:r>
    </w:p>
    <w:p w14:paraId="3894E99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20 ）参加工程竣工验收 ，签署竣工验收意见 ；</w:t>
      </w:r>
    </w:p>
    <w:p w14:paraId="495416B7">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21 ）审查施工承包人提交的竣工结算申请并报委托人 ；</w:t>
      </w:r>
    </w:p>
    <w:p w14:paraId="45E53AB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22 ）编制、整理工程监理归档文件并报委托人。</w:t>
      </w:r>
    </w:p>
    <w:p w14:paraId="72CB9DA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相关服务的范围和内容在附录 A 中约定。</w:t>
      </w:r>
    </w:p>
    <w:p w14:paraId="6904EB6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监理与相关服务依据</w:t>
      </w:r>
    </w:p>
    <w:p w14:paraId="2EF450D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 监理依据包括 ：</w:t>
      </w:r>
    </w:p>
    <w:p w14:paraId="50DB0A0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 ）适用的法律、行政法规及部门规章 ；</w:t>
      </w:r>
    </w:p>
    <w:p w14:paraId="67404E0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 ）与工程有关的标准 ；</w:t>
      </w:r>
    </w:p>
    <w:p w14:paraId="7D292D4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3 ）工程设计及有关文件 ；</w:t>
      </w:r>
    </w:p>
    <w:p w14:paraId="1987022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4 ）本合同及委托人与第三方签订的与实施工程有关的其他合同。 双方根据工程的行业和地域特点 ，在专用条件中具体约定监理依据。</w:t>
      </w:r>
    </w:p>
    <w:p w14:paraId="21157D2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 相关服务依据在专用条件中约定。</w:t>
      </w:r>
    </w:p>
    <w:p w14:paraId="63F54E4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项目监理机构和人员</w:t>
      </w:r>
    </w:p>
    <w:p w14:paraId="659B8F1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 监理人应组建满足工作需要的项目监理机构 ，配备（按照投标文件中设定的 ）检测设备。 项目监理机构的主要人员应具有相应的资格条件。</w:t>
      </w:r>
    </w:p>
    <w:p w14:paraId="1E6A22A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本合同履行过程中 ，总监理工程师及重要岗位监理人员应保持相对稳定 ，以保证监理工作 正常进行。</w:t>
      </w:r>
    </w:p>
    <w:p w14:paraId="21FCB30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2.3.3 监理人应及时更换有下列情形之一的监理人员 ：</w:t>
      </w:r>
    </w:p>
    <w:p w14:paraId="655979C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 ）严重过失行为的 ；</w:t>
      </w:r>
    </w:p>
    <w:p w14:paraId="5C689FA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 ）有违法行为不能履行职责的 ；</w:t>
      </w:r>
    </w:p>
    <w:p w14:paraId="06F40F4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3 ）涉嫌犯罪的 ；</w:t>
      </w:r>
    </w:p>
    <w:p w14:paraId="67FCF63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4 ）不能胜任岗位职责的 ；</w:t>
      </w:r>
    </w:p>
    <w:p w14:paraId="17D53E4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5 ）严重违反职业道德的 ；</w:t>
      </w:r>
    </w:p>
    <w:p w14:paraId="18D3BEC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6 ）专用条件约定的其他情形。</w:t>
      </w:r>
    </w:p>
    <w:p w14:paraId="7E86580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2.3.4 委托人可要求监理人更换不能胜任本职工作的项目监理机构人员。</w:t>
      </w:r>
    </w:p>
    <w:p w14:paraId="1AB439A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履行职责</w:t>
      </w:r>
    </w:p>
    <w:p w14:paraId="519B907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监理人应遵循职业道德准则和行为规范 ，严格按照法律法规、工程建设有关标准及本合同履行职 责。</w:t>
      </w:r>
    </w:p>
    <w:p w14:paraId="23AF3DC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2.4.1 在监理与相关服务范围内 ，委托人和承包人提出的意见和要求 ，监理人应及时提出处置意 见。当委托人与承包人之间发生合同争议时 ，监理人应协助委托人、承包人协商解决。</w:t>
      </w:r>
    </w:p>
    <w:p w14:paraId="42901FA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2.4.2 当委托人与承包人之间的合同争议提交仲裁机构仲裁或人民法院审理时 ，监理人应提供必 要的证明资料。</w:t>
      </w:r>
    </w:p>
    <w:p w14:paraId="250996F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2.4.3 监理人应在专用条件约定的授权范围内 ，处理委托人与承包人所签订合同的变更事宜。如 果变更超过授权范围 ，应以书面形式报委托人批准。</w:t>
      </w:r>
    </w:p>
    <w:p w14:paraId="334F579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在紧急情况下 ，为了保护财产和人身安全 ，监理人所发出的指令未能事先报委托人批准时 ，应在 发出指令后的 24 小时内以书面形式报委托人。</w:t>
      </w:r>
    </w:p>
    <w:p w14:paraId="3EFFAF3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2.4.4 除专用条件另有约定外 ，监理人发现承包人的人员不能胜任本职工作的 ，有权要求承包人 予以调换。</w:t>
      </w:r>
    </w:p>
    <w:p w14:paraId="424B654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提交报告</w:t>
      </w:r>
    </w:p>
    <w:p w14:paraId="0B48EB2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监理人应按专用条件约定的种类、时间和份数向委托人提交监理与相关服务的报告。</w:t>
      </w:r>
    </w:p>
    <w:p w14:paraId="05FD210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文件资料</w:t>
      </w:r>
    </w:p>
    <w:p w14:paraId="0D9BE04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在本合同履行期内 ，监理人应在现场保留工作所用的图纸、报告及记录监理工作的相关文件。工 程竣工后 ，应当按照档案管理规定将监理有关文件归档。</w:t>
      </w:r>
    </w:p>
    <w:p w14:paraId="4E1B897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3.委托人的义务</w:t>
      </w:r>
    </w:p>
    <w:p w14:paraId="30DE87C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 告知</w:t>
      </w:r>
    </w:p>
    <w:p w14:paraId="7DBB13A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委托人应在委托人与承包人签订的合同中明确监理人、总监理工程师和授予项目监理机构的权 限。如有变更 ，应及时通知承包人。</w:t>
      </w:r>
    </w:p>
    <w:p w14:paraId="2AB9442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提供资料</w:t>
      </w:r>
    </w:p>
    <w:p w14:paraId="630924D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委托人应按照附录 B 约定 ，无偿向监理人提供工程有关的资料。在本合同履行过程中 ，委托人应及时向监理人提供最新的与工程有关的资料。</w:t>
      </w:r>
    </w:p>
    <w:p w14:paraId="129FACF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提供工作条件</w:t>
      </w:r>
    </w:p>
    <w:p w14:paraId="3A29F97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委托人应为监理人完成监理与相关服务提供必要的条件 ：委托人应负责协调工程建设中所有外部 关系 ，为监理人履行本合同提供必要的外部条件。</w:t>
      </w:r>
    </w:p>
    <w:p w14:paraId="0FAD76F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委托人代表</w:t>
      </w:r>
    </w:p>
    <w:p w14:paraId="7940362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委托人应授权一名熟悉工程情况的代表 ，负责与监理人联系。委托人应在双方签订本合同后 7 天 内 ，将委托人代表的姓名和职责书面告知监理人。当委托人更换委托人代表时 ，应提前 7 天通知监理 人。</w:t>
      </w:r>
    </w:p>
    <w:p w14:paraId="1E3E387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委托人意见或要求</w:t>
      </w:r>
    </w:p>
    <w:p w14:paraId="40B2097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在本合同约定的监理与相关服务工作范围内 ，委托人对承包人的任何意见或要求应通知监理人 ， 由监理人向承包人发出相应指令。</w:t>
      </w:r>
    </w:p>
    <w:p w14:paraId="353CE58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答复</w:t>
      </w:r>
    </w:p>
    <w:p w14:paraId="4685A6E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委托人应在专用条件约定的时间内 ，对监理人以书面形式提交并要求作出决定的事宜 ，给予书面 答复。逾期未答复的 ，视为委托人认可。</w:t>
      </w:r>
    </w:p>
    <w:p w14:paraId="55EBB77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支付</w:t>
      </w:r>
    </w:p>
    <w:p w14:paraId="7188AC0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委托人应按本合同约定 ，向监理人支付酬金。</w:t>
      </w:r>
    </w:p>
    <w:p w14:paraId="22B5F46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 违约责任</w:t>
      </w:r>
    </w:p>
    <w:p w14:paraId="13EB66D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监理人的违约责任</w:t>
      </w:r>
    </w:p>
    <w:p w14:paraId="735C0427">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监理人未履行本合同义务的 ，应承担相应的责任。</w:t>
      </w:r>
    </w:p>
    <w:p w14:paraId="664274E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 因监理人违反本合同约定给委托人造成损失的 ，监理人应当赔偿委托人损失。赔偿金额的 确定方法在专用条件中约定。监理人承担部分赔偿责任的 ，其承担赔偿金额由双方协商确定。</w:t>
      </w:r>
    </w:p>
    <w:p w14:paraId="6AE38B5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监理人向委托人的索赔不成立时 ，监理人应赔偿委托人由此发生的费用。</w:t>
      </w:r>
    </w:p>
    <w:p w14:paraId="5B1D34F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委托人的违约责任</w:t>
      </w:r>
    </w:p>
    <w:p w14:paraId="34B6183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委托人未履行本合同义务的 ，应承担相应的责任。</w:t>
      </w:r>
    </w:p>
    <w:p w14:paraId="56F6F9E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 委托人违反本合同约定造成监理人损失的 ，委托人应予以赔偿。</w:t>
      </w:r>
    </w:p>
    <w:p w14:paraId="67A1381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 委托人向监理人的索赔不成立时 ，应赔偿监理人由此引起的费用。</w:t>
      </w:r>
    </w:p>
    <w:p w14:paraId="7C3AFC9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 除外责任</w:t>
      </w:r>
    </w:p>
    <w:p w14:paraId="420CD5C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因非监理人的原因 ，且监理人无过错 ，发生工程质量事故、安全事故、工期延误等造成的损失 ， 监理人不承担赔偿责任。</w:t>
      </w:r>
    </w:p>
    <w:p w14:paraId="523B579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因不可抗力导致本合同全部或部分不能履行时 ，双方各自承担其因此而造成的损失、损害。</w:t>
      </w:r>
    </w:p>
    <w:p w14:paraId="58942D3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支付</w:t>
      </w:r>
    </w:p>
    <w:p w14:paraId="5140399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 支付货币</w:t>
      </w:r>
    </w:p>
    <w:p w14:paraId="4315861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除专用条件另有约定外 ，酬金均以人民币支付。涉及外币支付的 ，所采用的货币种类、比例和汇 率在专用条件中约定。</w:t>
      </w:r>
    </w:p>
    <w:p w14:paraId="0C0E6D0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 支付申请</w:t>
      </w:r>
    </w:p>
    <w:p w14:paraId="05AD66B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监理人应在本合同约定的每次应付款时间的 15 天前 ，向委托人提交支付申请书。支付申请书应 当说明当期应付款总额 ，并列出当期应支付的款项及其金额。</w:t>
      </w:r>
    </w:p>
    <w:p w14:paraId="0818B895">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5.3 支付酬金</w:t>
      </w:r>
    </w:p>
    <w:p w14:paraId="3391F174">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支付的酬金为正常工作酬金。</w:t>
      </w:r>
    </w:p>
    <w:p w14:paraId="7EAA1B3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5.4 有争议部分的付款</w:t>
      </w:r>
    </w:p>
    <w:p w14:paraId="5654DEC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委托人对监理人提交的支付申请书有异议时 ，应当在收到监理人提交的支付申请书后 7 天内 ，以 书面形式向监理人发出异议通知。无异议部分的款项应按期支付 ，有异议部分的款项按第 7 条约定办 理。</w:t>
      </w:r>
    </w:p>
    <w:p w14:paraId="65877C2A">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合同生效、变更、暂停、解除与终止</w:t>
      </w:r>
    </w:p>
    <w:p w14:paraId="4409765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 生效</w:t>
      </w:r>
    </w:p>
    <w:p w14:paraId="1E696F6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除法律另有规定或者专用条件另有约定外 ，委托人和监理人的法定代表人或其授权代理人在协议 书上签字并盖单位章后本合同生效。</w:t>
      </w:r>
    </w:p>
    <w:p w14:paraId="6E9E678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 变更</w:t>
      </w:r>
    </w:p>
    <w:p w14:paraId="50D7321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6.2.1 任何一方提出变更请求时 ，双方经协商一致后可进行变更。</w:t>
      </w:r>
    </w:p>
    <w:p w14:paraId="05BDFB91">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6.2.2 除不可抗力外 ，因非监理人原因导致监理人履行合同期限延长、 内容增加时 ，监理人应当 将此情况与可能产生的影响及时通知委托人。增加的监理工作时间、工作内容应视为附加工作。附加 工作酬金的确定方法在专用条件中约定。</w:t>
      </w:r>
    </w:p>
    <w:p w14:paraId="30EC335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6.2.3 合同生效后 ，如果实际情况发生变化使得监理人不能完成全部或部分工作时 ，监理人应立 即通知委托人。除不可抗力外 ，其善后工作以及恢复服务的准备工作应为附加工作 ，附加工作酬金的 确定方法在专用条件中约定。监理人用于恢复服务的准备时间不应超过 28 天。</w:t>
      </w:r>
    </w:p>
    <w:p w14:paraId="528756E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6.2.4 合同签订后 ，遇有与工程相关的法律法规、标准颁布或修订的 ，双方应遵照执行。 由此引 起监理与相关服务的范围、时间、酬金变化的 ，双方应通过协商进行相应调整。</w:t>
      </w:r>
    </w:p>
    <w:p w14:paraId="5391C3EE">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 因非监理人原因造成工程概算投资额或建筑安装工程费增加时 ，正常工作酬金应作相应调 整。调整方法在专用条件中约定。</w:t>
      </w:r>
    </w:p>
    <w:p w14:paraId="1F6A1EA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6.2.6 因工程规模、监理范围的变化导致监理人的正常工作量减少时 ，正常工作酬金应作相应调 整。调整方法在专用条件中约定。</w:t>
      </w:r>
    </w:p>
    <w:p w14:paraId="072EDDD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 暂停与解除</w:t>
      </w:r>
    </w:p>
    <w:p w14:paraId="18312FE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除双方协商一致可以解除本合同外 ，当一方无正当理由未履行本合同约定的义务时 ，另一方可以 根据本合同约定暂停履行本合同直至解除本合同。</w:t>
      </w:r>
    </w:p>
    <w:p w14:paraId="54318A4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6.3.1 在本合同有效期内 ，由于双方无法预见和控制的原因导致本合同全部或部分无法继续履行 或继续履行已无意义 ，经双方协商一致 ，可以解除本合同或监理人的部分义务。在解除之前 ，监理人 应作出合理安排 ，使开支减至最小。</w:t>
      </w:r>
    </w:p>
    <w:p w14:paraId="7B67C9F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因解除本合同或解除监理人的部分义务导致监理人遭受的损失 ，除依法可以免除责任的情况外 ， 应由委托人予以补偿 ，补偿金额由双方协商确定。</w:t>
      </w:r>
    </w:p>
    <w:p w14:paraId="4F9EBA3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解除本合同的协议必须采取书面形式 ，协议未达成之前 ，本合同仍然有效。</w:t>
      </w:r>
    </w:p>
    <w:p w14:paraId="3BC0DB3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6.3.2 在本合同有效期内 ，因非监理人的原因导致工程施工全部或部分暂停 ，委托人可通知监理 人要求暂停全部或部分工作。监理人应立即安排停止工作 ，并将开支减至最小。除不可抗力外 ，由此 导致监理人遭受的损失应由委托人予以补偿。</w:t>
      </w:r>
    </w:p>
    <w:p w14:paraId="1FEC6167">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6.3.3 当监理人无正当理由未履行本合同约定的义务时 ，委托人应通知监理人限期改正。若委托 人在监理人接到通知后的 7 天内未收到监理人书面形式的合理解释 ，则可在 7 天内发出解除本合同的 通知 ，自通知到达监理人时本合同解除。委托人应将监理与相关服务的酬金支付至限期改正通知到达 监理人之日 ，但监理人应承担第 4.1 款约定的责任。</w:t>
      </w:r>
    </w:p>
    <w:p w14:paraId="6ED0357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6.3.4 监理人在专用条件 5.3 中约定的支付之日起 28 天后仍未收到委托人按本合同约定应付的  款项 ，可向委托人发出催付通知。委托人接到通知 14 天后仍未支付或未提出监理人可以接受的延期  支付安排 ，监理人可向委托人发出暂停工作的通知并可自行暂停全部或部分工作。暂停工作后 14 天  内监理人仍未获得委托人应付酬金或委托人的合理答复 ，监理人可向委托人发出解除本合同的通知 ， 自通知到达委托人时本合同解除。委托人应承担第 4.2.3 款约定的责任。</w:t>
      </w:r>
    </w:p>
    <w:p w14:paraId="092C3357">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6.3.5 因不可抗力致使本合同部分或全部不能履行时 ，一方应立即通知另一方 ，可暂停或解除本 合同。</w:t>
      </w:r>
    </w:p>
    <w:p w14:paraId="770C912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6.3.6 本合同解除后 ，本合同约定的有关结算、清理、争议解决方式的条件仍然有效。</w:t>
      </w:r>
    </w:p>
    <w:p w14:paraId="06E0EE8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6.4 终止</w:t>
      </w:r>
    </w:p>
    <w:p w14:paraId="6E551F6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以下条件全部满足时 ，本合同即告终止 ：</w:t>
      </w:r>
    </w:p>
    <w:p w14:paraId="33B442DC">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 ）监理人完成本合同约定的全部工作 ；</w:t>
      </w:r>
    </w:p>
    <w:p w14:paraId="4326329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2 ）委托人与监理人结清并支付全部酬金。</w:t>
      </w:r>
    </w:p>
    <w:p w14:paraId="1398C9E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 争议解决</w:t>
      </w:r>
    </w:p>
    <w:p w14:paraId="08E363C2">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 协商</w:t>
      </w:r>
    </w:p>
    <w:p w14:paraId="41C983C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双方应本着诚信原则协商解决彼此间的争议。</w:t>
      </w:r>
    </w:p>
    <w:p w14:paraId="11C297BB">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 调解</w:t>
      </w:r>
    </w:p>
    <w:p w14:paraId="75E342C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如果双方不能在 14 天内或双方商定的其他时间内解决本合同争议 ，可以将其提交给专用条件约 定的或事后达成协议的调解人进行调解。</w:t>
      </w:r>
    </w:p>
    <w:p w14:paraId="073DCD7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 仲裁或诉讼</w:t>
      </w:r>
    </w:p>
    <w:p w14:paraId="7781ADE0">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双方均有权不经调解直接向专用条件约定的仲裁机构申请仲裁或向有管辖权的人民法院提起诉 讼。</w:t>
      </w:r>
    </w:p>
    <w:p w14:paraId="33B2680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 其他</w:t>
      </w:r>
    </w:p>
    <w:p w14:paraId="3B9ACF0F">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守法诚信</w:t>
      </w:r>
    </w:p>
    <w:p w14:paraId="1AD63E26">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监理人及其工作人员不得从与实施工程有关的第三方处获得任何经济利益。</w:t>
      </w:r>
    </w:p>
    <w:p w14:paraId="72E9022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 保密</w:t>
      </w:r>
    </w:p>
    <w:p w14:paraId="1B836F1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双方不得泄露对方申明的保密资料 ，亦不得泄露与实施工程有关的第三方所提供的保密资料 ，保 密事项在专用条件中约定。</w:t>
      </w:r>
    </w:p>
    <w:p w14:paraId="1254969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通知</w:t>
      </w:r>
    </w:p>
    <w:p w14:paraId="5B0BDA3D">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本合同涉及的通知均应当采用书面形式 ，并在送达对方时生效 ，收件人应书面签收。</w:t>
      </w:r>
    </w:p>
    <w:p w14:paraId="72997EB9">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著作权</w:t>
      </w:r>
    </w:p>
    <w:p w14:paraId="565FD3E8">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监理人对其编制的文件拥有著作权。</w:t>
      </w:r>
    </w:p>
    <w:p w14:paraId="57F39373">
      <w:pPr>
        <w:kinsoku/>
        <w:wordWrap/>
        <w:overflowPunct/>
        <w:topLinePunct w:val="0"/>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监理人可单独或与他人联合出版有关监理与相关服务的资料。除专用条件另有约定外 ，如果监理 人在本合同履行期间及本合同终止后两年内出版涉及本工程的有关监理与相关服务的资料 ，应当征得 委托人的同意。</w:t>
      </w:r>
    </w:p>
    <w:p w14:paraId="53A6D26A">
      <w:pPr>
        <w:kinsoku/>
        <w:wordWrap/>
        <w:overflowPunct/>
        <w:topLinePunct w:val="0"/>
        <w:bidi w:val="0"/>
        <w:adjustRightInd/>
        <w:snapToGrid/>
        <w:spacing w:line="500" w:lineRule="exact"/>
        <w:ind w:left="0" w:leftChars="0" w:right="0"/>
        <w:jc w:val="center"/>
        <w:rPr>
          <w:rFonts w:hint="eastAsia" w:ascii="宋体" w:hAnsi="宋体" w:eastAsia="宋体" w:cs="宋体"/>
          <w:b/>
          <w:color w:val="auto"/>
          <w:sz w:val="28"/>
          <w:szCs w:val="28"/>
          <w:highlight w:val="none"/>
        </w:rPr>
      </w:pPr>
    </w:p>
    <w:p w14:paraId="0D5D22C7">
      <w:pPr>
        <w:kinsoku/>
        <w:wordWrap/>
        <w:overflowPunct/>
        <w:topLinePunct w:val="0"/>
        <w:autoSpaceDE w:val="0"/>
        <w:autoSpaceDN w:val="0"/>
        <w:bidi w:val="0"/>
        <w:adjustRightInd/>
        <w:snapToGrid/>
        <w:spacing w:line="500" w:lineRule="exact"/>
        <w:ind w:left="0" w:leftChars="0" w:right="0" w:firstLine="420" w:firstLineChars="150"/>
        <w:rPr>
          <w:rFonts w:hint="eastAsia" w:ascii="宋体" w:hAnsi="宋体" w:eastAsia="宋体" w:cs="宋体"/>
          <w:color w:val="auto"/>
          <w:kern w:val="0"/>
          <w:sz w:val="28"/>
          <w:szCs w:val="28"/>
          <w:highlight w:val="none"/>
        </w:rPr>
      </w:pPr>
    </w:p>
    <w:p w14:paraId="16A44B39">
      <w:pPr>
        <w:kinsoku/>
        <w:wordWrap/>
        <w:overflowPunct/>
        <w:topLinePunct w:val="0"/>
        <w:autoSpaceDE w:val="0"/>
        <w:autoSpaceDN w:val="0"/>
        <w:bidi w:val="0"/>
        <w:adjustRightInd/>
        <w:snapToGrid/>
        <w:spacing w:line="500" w:lineRule="exact"/>
        <w:ind w:left="0" w:leftChars="0" w:right="0" w:firstLine="420" w:firstLineChars="150"/>
        <w:rPr>
          <w:rFonts w:hint="eastAsia" w:ascii="宋体" w:hAnsi="宋体" w:eastAsia="宋体" w:cs="宋体"/>
          <w:color w:val="auto"/>
          <w:kern w:val="0"/>
          <w:sz w:val="28"/>
          <w:szCs w:val="28"/>
          <w:highlight w:val="none"/>
        </w:rPr>
      </w:pPr>
    </w:p>
    <w:p w14:paraId="2793ED4B">
      <w:pPr>
        <w:kinsoku/>
        <w:wordWrap/>
        <w:overflowPunct/>
        <w:topLinePunct w:val="0"/>
        <w:autoSpaceDE w:val="0"/>
        <w:autoSpaceDN w:val="0"/>
        <w:bidi w:val="0"/>
        <w:adjustRightInd/>
        <w:snapToGrid/>
        <w:spacing w:line="500" w:lineRule="exact"/>
        <w:ind w:left="0" w:leftChars="0" w:right="0" w:firstLine="420" w:firstLineChars="150"/>
        <w:rPr>
          <w:rFonts w:hint="eastAsia" w:ascii="宋体" w:hAnsi="宋体" w:eastAsia="宋体" w:cs="宋体"/>
          <w:color w:val="auto"/>
          <w:kern w:val="0"/>
          <w:sz w:val="28"/>
          <w:szCs w:val="28"/>
          <w:highlight w:val="none"/>
        </w:rPr>
      </w:pPr>
    </w:p>
    <w:p w14:paraId="07A35450">
      <w:pPr>
        <w:kinsoku/>
        <w:wordWrap/>
        <w:overflowPunct/>
        <w:topLinePunct w:val="0"/>
        <w:autoSpaceDE w:val="0"/>
        <w:autoSpaceDN w:val="0"/>
        <w:bidi w:val="0"/>
        <w:adjustRightInd/>
        <w:snapToGrid/>
        <w:spacing w:line="500" w:lineRule="exact"/>
        <w:ind w:left="0" w:leftChars="0" w:right="0" w:firstLine="420" w:firstLineChars="150"/>
        <w:rPr>
          <w:rFonts w:hint="eastAsia" w:ascii="宋体" w:hAnsi="宋体" w:eastAsia="宋体" w:cs="宋体"/>
          <w:color w:val="auto"/>
          <w:kern w:val="0"/>
          <w:sz w:val="28"/>
          <w:szCs w:val="28"/>
          <w:highlight w:val="none"/>
        </w:rPr>
      </w:pPr>
    </w:p>
    <w:p w14:paraId="163B9C43">
      <w:pPr>
        <w:widowControl w:val="0"/>
        <w:numPr>
          <w:ilvl w:val="0"/>
          <w:numId w:val="2"/>
        </w:numPr>
        <w:kinsoku/>
        <w:overflowPunct/>
        <w:autoSpaceDE w:val="0"/>
        <w:autoSpaceDN w:val="0"/>
        <w:bidi w:val="0"/>
        <w:adjustRightInd/>
        <w:snapToGrid/>
        <w:spacing w:line="500" w:lineRule="exact"/>
        <w:ind w:left="0" w:leftChars="0" w:right="0" w:firstLine="0" w:firstLineChars="0"/>
        <w:jc w:val="center"/>
        <w:outlineLvl w:val="0"/>
        <w:rPr>
          <w:rFonts w:hint="eastAsia" w:ascii="黑体" w:hAnsi="黑体" w:eastAsia="黑体" w:cs="黑体"/>
          <w:b w:val="0"/>
          <w:bCs/>
          <w:color w:val="auto"/>
          <w:kern w:val="0"/>
          <w:sz w:val="32"/>
          <w:szCs w:val="32"/>
          <w:highlight w:val="none"/>
          <w:lang w:val="en-US" w:eastAsia="en-US" w:bidi="ar-SA"/>
        </w:rPr>
      </w:pPr>
      <w:r>
        <w:rPr>
          <w:rFonts w:hint="eastAsia" w:ascii="黑体" w:hAnsi="黑体" w:eastAsia="黑体" w:cs="黑体"/>
          <w:b w:val="0"/>
          <w:bCs/>
          <w:color w:val="auto"/>
          <w:kern w:val="0"/>
          <w:sz w:val="32"/>
          <w:szCs w:val="32"/>
          <w:highlight w:val="none"/>
          <w:lang w:val="en-US" w:eastAsia="en-US" w:bidi="ar-SA"/>
        </w:rPr>
        <w:t xml:space="preserve"> 专用条件</w:t>
      </w:r>
    </w:p>
    <w:p w14:paraId="243281F8">
      <w:pPr>
        <w:widowControl w:val="0"/>
        <w:numPr>
          <w:ilvl w:val="0"/>
          <w:numId w:val="0"/>
        </w:numPr>
        <w:kinsoku/>
        <w:overflowPunct/>
        <w:autoSpaceDE w:val="0"/>
        <w:autoSpaceDN w:val="0"/>
        <w:bidi w:val="0"/>
        <w:adjustRightInd/>
        <w:snapToGrid/>
        <w:spacing w:line="500" w:lineRule="exact"/>
        <w:ind w:leftChars="0" w:right="0" w:rightChars="0"/>
        <w:jc w:val="both"/>
        <w:outlineLvl w:val="0"/>
        <w:rPr>
          <w:rFonts w:hint="eastAsia" w:ascii="黑体" w:hAnsi="黑体" w:eastAsia="黑体" w:cs="黑体"/>
          <w:b w:val="0"/>
          <w:bCs/>
          <w:color w:val="auto"/>
          <w:kern w:val="0"/>
          <w:sz w:val="32"/>
          <w:szCs w:val="32"/>
          <w:highlight w:val="none"/>
          <w:lang w:val="en-US" w:eastAsia="en-US" w:bidi="ar-SA"/>
        </w:rPr>
      </w:pPr>
    </w:p>
    <w:p w14:paraId="3BD29C2C">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定义与解释</w:t>
      </w:r>
    </w:p>
    <w:p w14:paraId="3F9A960F">
      <w:pPr>
        <w:kinsoku/>
        <w:wordWrap/>
        <w:overflowPunct/>
        <w:topLinePunct w:val="0"/>
        <w:bidi w:val="0"/>
        <w:adjustRightInd/>
        <w:snapToGrid/>
        <w:spacing w:line="500" w:lineRule="exact"/>
        <w:ind w:left="0" w:leftChars="0" w:right="0"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1.2  解释</w:t>
      </w:r>
    </w:p>
    <w:p w14:paraId="7735B5C4">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本合同文件使用汉语言文字</w:t>
      </w:r>
    </w:p>
    <w:p w14:paraId="43A56FDF">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约定本合同文件的解释顺序为：</w:t>
      </w:r>
      <w:r>
        <w:rPr>
          <w:rFonts w:hint="eastAsia" w:ascii="宋体" w:hAnsi="宋体" w:eastAsia="宋体" w:cs="宋体"/>
          <w:color w:val="auto"/>
          <w:sz w:val="28"/>
          <w:szCs w:val="28"/>
          <w:highlight w:val="none"/>
          <w:u w:val="single"/>
        </w:rPr>
        <w:t xml:space="preserve"> 1、本合同协议书2、成交通知书3、本合同专用条件及附录A、附录B  4、投标文件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5、本合同通用条件。</w:t>
      </w:r>
    </w:p>
    <w:p w14:paraId="3D571E1E">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 监理人义务</w:t>
      </w:r>
    </w:p>
    <w:p w14:paraId="378A5304">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监理的范围和</w:t>
      </w:r>
      <w:r>
        <w:rPr>
          <w:rFonts w:hint="eastAsia" w:ascii="宋体" w:hAnsi="宋体" w:eastAsia="宋体" w:cs="宋体"/>
          <w:bCs/>
          <w:color w:val="auto"/>
          <w:sz w:val="28"/>
          <w:szCs w:val="28"/>
          <w:highlight w:val="none"/>
        </w:rPr>
        <w:t>内容</w:t>
      </w:r>
    </w:p>
    <w:p w14:paraId="7CD404D4">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2.1.1 监理范围包括：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pacing w:val="-4"/>
          <w:sz w:val="28"/>
          <w:szCs w:val="28"/>
          <w:highlight w:val="none"/>
          <w:u w:val="single"/>
        </w:rPr>
        <w:t xml:space="preserve"> 本项目施工及保修阶段全过程的监理</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w:t>
      </w:r>
    </w:p>
    <w:p w14:paraId="50CAF1D7">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监理工作内容还包括：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rPr>
        <w:t>施工监理阶段包括投资控制、进度控制、质量控制、安全文明监督、合同管理、信息管理和内部协调管理、根据工程施工需要及国家规范按时参加工程验收并提供符合工程资料备案要求的验收资料等</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566BB782">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监理与相关服务依据</w:t>
      </w:r>
    </w:p>
    <w:p w14:paraId="5963DE39">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 监理依据包括：</w:t>
      </w:r>
      <w:r>
        <w:rPr>
          <w:rFonts w:hint="eastAsia" w:ascii="宋体" w:hAnsi="宋体" w:eastAsia="宋体" w:cs="宋体"/>
          <w:bCs/>
          <w:color w:val="auto"/>
          <w:sz w:val="28"/>
          <w:szCs w:val="28"/>
          <w:highlight w:val="none"/>
          <w:u w:val="single"/>
        </w:rPr>
        <w:t>1.国家、省市制定的有关监理方面的各种规定</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rPr>
        <w:t>2.设计图纸、规范、规程3.与项目有关的各种报批手续及技术资料</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rPr>
        <w:t>4.</w:t>
      </w:r>
      <w:r>
        <w:rPr>
          <w:rFonts w:hint="eastAsia" w:ascii="宋体" w:hAnsi="宋体" w:eastAsia="宋体" w:cs="宋体"/>
          <w:bCs/>
          <w:color w:val="auto"/>
          <w:spacing w:val="-4"/>
          <w:sz w:val="28"/>
          <w:szCs w:val="28"/>
          <w:highlight w:val="none"/>
          <w:u w:val="single"/>
        </w:rPr>
        <w:t>委托人与监理人签订的合同及与第三方签订的各</w:t>
      </w:r>
      <w:r>
        <w:rPr>
          <w:rFonts w:hint="eastAsia" w:ascii="宋体" w:hAnsi="宋体" w:cs="宋体"/>
          <w:bCs/>
          <w:color w:val="auto"/>
          <w:spacing w:val="-4"/>
          <w:sz w:val="28"/>
          <w:szCs w:val="28"/>
          <w:highlight w:val="none"/>
          <w:u w:val="single"/>
          <w:lang w:eastAsia="zh-CN"/>
        </w:rPr>
        <w:t>类</w:t>
      </w:r>
      <w:r>
        <w:rPr>
          <w:rFonts w:hint="eastAsia" w:ascii="宋体" w:hAnsi="宋体" w:eastAsia="宋体" w:cs="宋体"/>
          <w:bCs/>
          <w:color w:val="auto"/>
          <w:spacing w:val="-4"/>
          <w:sz w:val="28"/>
          <w:szCs w:val="28"/>
          <w:highlight w:val="none"/>
          <w:u w:val="single"/>
        </w:rPr>
        <w:t>合同</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rPr>
        <w:t>5.</w:t>
      </w:r>
      <w:r>
        <w:rPr>
          <w:rFonts w:hint="eastAsia" w:ascii="宋体" w:hAnsi="宋体" w:eastAsia="宋体" w:cs="宋体"/>
          <w:bCs/>
          <w:color w:val="auto"/>
          <w:spacing w:val="-4"/>
          <w:sz w:val="28"/>
          <w:szCs w:val="28"/>
          <w:highlight w:val="none"/>
          <w:u w:val="single"/>
        </w:rPr>
        <w:t xml:space="preserve"> 委托人与监理人以及有关第三方的书面文件和信函</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20DFC1FC">
      <w:pPr>
        <w:kinsoku/>
        <w:wordWrap/>
        <w:overflowPunct/>
        <w:topLinePunct w:val="0"/>
        <w:bidi w:val="0"/>
        <w:adjustRightInd/>
        <w:snapToGrid/>
        <w:spacing w:line="500" w:lineRule="exact"/>
        <w:ind w:left="0" w:leftChars="0" w:right="0" w:firstLine="560" w:firstLineChars="200"/>
        <w:rPr>
          <w:rFonts w:hint="eastAsia" w:ascii="宋体" w:hAnsi="宋体" w:eastAsia="宋体" w:cs="宋体"/>
          <w:dstrike/>
          <w:color w:val="auto"/>
          <w:sz w:val="28"/>
          <w:szCs w:val="28"/>
          <w:highlight w:val="none"/>
        </w:rPr>
      </w:pPr>
      <w:r>
        <w:rPr>
          <w:rFonts w:hint="eastAsia" w:ascii="宋体" w:hAnsi="宋体" w:eastAsia="宋体" w:cs="宋体"/>
          <w:color w:val="auto"/>
          <w:sz w:val="28"/>
          <w:szCs w:val="28"/>
          <w:highlight w:val="none"/>
        </w:rPr>
        <w:t>2.2.2 相关服务依据包括：</w:t>
      </w:r>
      <w:r>
        <w:rPr>
          <w:rFonts w:hint="eastAsia" w:ascii="宋体" w:hAnsi="宋体" w:eastAsia="宋体" w:cs="宋体"/>
          <w:bCs/>
          <w:color w:val="auto"/>
          <w:spacing w:val="-4"/>
          <w:sz w:val="28"/>
          <w:szCs w:val="28"/>
          <w:highlight w:val="none"/>
          <w:u w:val="single"/>
        </w:rPr>
        <w:t>监理合同及相关协议。</w:t>
      </w:r>
    </w:p>
    <w:p w14:paraId="5518A7D6">
      <w:pPr>
        <w:kinsoku/>
        <w:wordWrap/>
        <w:overflowPunct/>
        <w:topLinePunct w:val="0"/>
        <w:bidi w:val="0"/>
        <w:adjustRightInd/>
        <w:snapToGrid/>
        <w:spacing w:line="500" w:lineRule="exact"/>
        <w:ind w:left="0" w:leftChars="0" w:right="0"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2.3</w:t>
      </w:r>
      <w:r>
        <w:rPr>
          <w:rFonts w:hint="eastAsia" w:ascii="宋体" w:hAnsi="宋体" w:eastAsia="宋体" w:cs="宋体"/>
          <w:color w:val="auto"/>
          <w:kern w:val="0"/>
          <w:sz w:val="28"/>
          <w:szCs w:val="28"/>
          <w:highlight w:val="none"/>
        </w:rPr>
        <w:t>项目监理机构和人员</w:t>
      </w:r>
    </w:p>
    <w:p w14:paraId="14D48AA6">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2.3.4 </w:t>
      </w:r>
      <w:r>
        <w:rPr>
          <w:rFonts w:hint="eastAsia" w:ascii="宋体" w:hAnsi="宋体" w:eastAsia="宋体" w:cs="宋体"/>
          <w:color w:val="auto"/>
          <w:kern w:val="0"/>
          <w:sz w:val="28"/>
          <w:szCs w:val="28"/>
          <w:highlight w:val="none"/>
        </w:rPr>
        <w:t>更换监理人员的其他情形：</w:t>
      </w:r>
      <w:r>
        <w:rPr>
          <w:rFonts w:hint="eastAsia" w:ascii="宋体" w:hAnsi="宋体" w:eastAsia="宋体" w:cs="宋体"/>
          <w:color w:val="auto"/>
          <w:kern w:val="0"/>
          <w:sz w:val="28"/>
          <w:szCs w:val="28"/>
          <w:highlight w:val="none"/>
          <w:u w:val="single"/>
        </w:rPr>
        <w:t xml:space="preserve">   无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14:paraId="6D0318F3">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 </w:t>
      </w:r>
      <w:r>
        <w:rPr>
          <w:rFonts w:hint="eastAsia" w:ascii="宋体" w:hAnsi="宋体" w:eastAsia="宋体" w:cs="宋体"/>
          <w:color w:val="auto"/>
          <w:kern w:val="0"/>
          <w:sz w:val="28"/>
          <w:szCs w:val="28"/>
          <w:highlight w:val="none"/>
        </w:rPr>
        <w:t>履行职责</w:t>
      </w:r>
    </w:p>
    <w:p w14:paraId="3CFB2510">
      <w:pPr>
        <w:kinsoku/>
        <w:wordWrap/>
        <w:overflowPunct/>
        <w:topLinePunct w:val="0"/>
        <w:bidi w:val="0"/>
        <w:adjustRightInd/>
        <w:snapToGrid/>
        <w:spacing w:line="500" w:lineRule="exact"/>
        <w:ind w:left="0" w:leftChars="0" w:right="0" w:firstLine="57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2.4.3 对监理人的授权范围：</w:t>
      </w:r>
      <w:r>
        <w:rPr>
          <w:rFonts w:hint="eastAsia" w:ascii="宋体" w:hAnsi="宋体" w:eastAsia="宋体" w:cs="宋体"/>
          <w:color w:val="auto"/>
          <w:kern w:val="0"/>
          <w:sz w:val="28"/>
          <w:szCs w:val="28"/>
          <w:highlight w:val="none"/>
          <w:u w:val="single"/>
        </w:rPr>
        <w:t>在施工阶段对建设工程质量、进度、造价进行控制，对合同、信息进行管理，对工程建设相关方的关系进行协调，并履行建设工程安全生产管理法定职责和扬尘防治工作的服务活动。但监理人不得擅自签署停工损失、工期顺延等涉及到委托人经济权益的文件资料，必须经发包人审核确认后方可签署，否则，所签署的上述文件无效。</w:t>
      </w:r>
    </w:p>
    <w:p w14:paraId="4F72500F">
      <w:pPr>
        <w:kinsoku/>
        <w:wordWrap/>
        <w:overflowPunct/>
        <w:topLinePunct w:val="0"/>
        <w:bidi w:val="0"/>
        <w:adjustRightInd/>
        <w:snapToGrid/>
        <w:spacing w:line="500" w:lineRule="exact"/>
        <w:ind w:left="0" w:leftChars="0" w:right="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2.5 </w:t>
      </w:r>
      <w:r>
        <w:rPr>
          <w:rFonts w:hint="eastAsia" w:ascii="宋体" w:hAnsi="宋体" w:eastAsia="宋体" w:cs="宋体"/>
          <w:color w:val="auto"/>
          <w:sz w:val="28"/>
          <w:szCs w:val="28"/>
          <w:highlight w:val="none"/>
        </w:rPr>
        <w:t>提交</w:t>
      </w:r>
      <w:r>
        <w:rPr>
          <w:rFonts w:hint="eastAsia" w:ascii="宋体" w:hAnsi="宋体" w:eastAsia="宋体" w:cs="宋体"/>
          <w:color w:val="auto"/>
          <w:kern w:val="0"/>
          <w:sz w:val="28"/>
          <w:szCs w:val="28"/>
          <w:highlight w:val="none"/>
        </w:rPr>
        <w:t>报告</w:t>
      </w:r>
    </w:p>
    <w:p w14:paraId="41AB3A8C">
      <w:pPr>
        <w:kinsoku/>
        <w:wordWrap/>
        <w:overflowPunct/>
        <w:topLinePunct w:val="0"/>
        <w:bidi w:val="0"/>
        <w:adjustRightInd/>
        <w:snapToGrid/>
        <w:spacing w:line="500" w:lineRule="exact"/>
        <w:ind w:left="0" w:leftChars="0" w:right="0" w:firstLine="525"/>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监理人应提交报告的种类(</w:t>
      </w:r>
      <w:r>
        <w:rPr>
          <w:rFonts w:hint="eastAsia" w:ascii="宋体" w:hAnsi="宋体" w:eastAsia="宋体" w:cs="宋体"/>
          <w:color w:val="auto"/>
          <w:kern w:val="0"/>
          <w:sz w:val="28"/>
          <w:szCs w:val="28"/>
          <w:highlight w:val="none"/>
        </w:rPr>
        <w:t>包括监理规划、监理月报及约定的专项报告)</w:t>
      </w:r>
      <w:r>
        <w:rPr>
          <w:rFonts w:hint="eastAsia" w:ascii="宋体" w:hAnsi="宋体" w:eastAsia="宋体" w:cs="宋体"/>
          <w:color w:val="auto"/>
          <w:sz w:val="28"/>
          <w:szCs w:val="28"/>
          <w:highlight w:val="none"/>
        </w:rPr>
        <w:t>、时间和份数</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u w:val="single"/>
        </w:rPr>
        <w:t xml:space="preserve">  1、在签订建设工程监理合同后第一次工地例会前向委托人递交一份监理规划 2、开工后每月30日前递交一份监理月报 </w:t>
      </w:r>
      <w:r>
        <w:rPr>
          <w:rFonts w:hint="eastAsia" w:ascii="宋体" w:hAnsi="宋体" w:eastAsia="宋体" w:cs="宋体"/>
          <w:color w:val="auto"/>
          <w:sz w:val="28"/>
          <w:szCs w:val="28"/>
          <w:highlight w:val="none"/>
        </w:rPr>
        <w:t>。如监理人未按本条约定提供报告等文件资料的，除立即提交外，每迟延一日或每缺少一项，向委托人支付违约金</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000元，并赔偿因此给委托人造成的经济损失。</w:t>
      </w:r>
    </w:p>
    <w:p w14:paraId="17C347A5">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 xml:space="preserve">3. 委托人义务  </w:t>
      </w:r>
    </w:p>
    <w:p w14:paraId="04F1A9D1">
      <w:pPr>
        <w:kinsoku/>
        <w:wordWrap/>
        <w:overflowPunct/>
        <w:topLinePunct w:val="0"/>
        <w:bidi w:val="0"/>
        <w:adjustRightInd/>
        <w:snapToGrid/>
        <w:spacing w:line="500" w:lineRule="exact"/>
        <w:ind w:left="0" w:leftChars="0" w:right="0"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3.1 委托人代表</w:t>
      </w:r>
    </w:p>
    <w:p w14:paraId="1BC170E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委托人代表为：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7CADB075">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 答复</w:t>
      </w:r>
    </w:p>
    <w:p w14:paraId="045B507B">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委托人同意在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天内，对监理人书面提交并要求做出决定的事宜给予书面答复。</w:t>
      </w:r>
    </w:p>
    <w:p w14:paraId="77C741F5">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诚信义务：</w:t>
      </w:r>
    </w:p>
    <w:p w14:paraId="02016279">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当本着诚信原则，履行监理职责，不得与第三方串通（主要是承包方），损害委托人的权益。否则，除解除本合同退回监理费用，还应当按本合同约定价款的20%，向委托人支付违约金，并赔偿因此给委托人造成的所有经济损失。</w:t>
      </w:r>
    </w:p>
    <w:p w14:paraId="5EB3B96C">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5. 监理酬金的支付</w:t>
      </w:r>
    </w:p>
    <w:p w14:paraId="3C4C875B">
      <w:pPr>
        <w:kinsoku/>
        <w:wordWrap/>
        <w:overflowPunct/>
        <w:topLinePunct w:val="0"/>
        <w:bidi w:val="0"/>
        <w:adjustRightInd/>
        <w:snapToGrid/>
        <w:spacing w:line="500" w:lineRule="exact"/>
        <w:ind w:left="560" w:leftChars="0" w:right="0" w:hanging="560" w:hanging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14:paraId="4B030419">
      <w:pPr>
        <w:kinsoku/>
        <w:wordWrap/>
        <w:overflowPunct/>
        <w:topLinePunct w:val="0"/>
        <w:bidi w:val="0"/>
        <w:adjustRightInd/>
        <w:snapToGrid/>
        <w:spacing w:line="500" w:lineRule="exact"/>
        <w:ind w:right="0"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监理人要求委托人支付报酬前，必须向委托人提供等额的增值税发票，并按委托人的付款流程付款。</w:t>
      </w:r>
    </w:p>
    <w:p w14:paraId="35945B9E">
      <w:pPr>
        <w:kinsoku/>
        <w:wordWrap/>
        <w:overflowPunct/>
        <w:topLinePunct w:val="0"/>
        <w:bidi w:val="0"/>
        <w:adjustRightInd/>
        <w:snapToGrid/>
        <w:spacing w:line="500" w:lineRule="exact"/>
        <w:ind w:left="0" w:leftChars="0" w:right="0" w:firstLine="560" w:firstLineChars="200"/>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6</w:t>
      </w:r>
      <w:r>
        <w:rPr>
          <w:rFonts w:hint="eastAsia" w:ascii="宋体" w:hAnsi="宋体" w:eastAsia="宋体" w:cs="宋体"/>
          <w:b/>
          <w:bCs/>
          <w:color w:val="auto"/>
          <w:sz w:val="28"/>
          <w:szCs w:val="28"/>
          <w:highlight w:val="none"/>
        </w:rPr>
        <w:t>. 合同生效、变更、暂停、解除与终止</w:t>
      </w:r>
    </w:p>
    <w:p w14:paraId="179316CE">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 生效</w:t>
      </w:r>
    </w:p>
    <w:p w14:paraId="26A7BAD8">
      <w:pPr>
        <w:kinsoku/>
        <w:wordWrap/>
        <w:overflowPunct/>
        <w:topLinePunct w:val="0"/>
        <w:bidi w:val="0"/>
        <w:adjustRightInd/>
        <w:snapToGrid/>
        <w:spacing w:line="500" w:lineRule="exact"/>
        <w:ind w:left="0" w:leftChars="0" w:right="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本合同生效条件：</w:t>
      </w:r>
      <w:r>
        <w:rPr>
          <w:rFonts w:hint="eastAsia" w:ascii="宋体" w:hAnsi="宋体" w:eastAsia="宋体" w:cs="宋体"/>
          <w:color w:val="auto"/>
          <w:sz w:val="28"/>
          <w:szCs w:val="28"/>
          <w:highlight w:val="none"/>
          <w:u w:val="single"/>
        </w:rPr>
        <w:t xml:space="preserve"> 双方盖章签字</w:t>
      </w:r>
      <w:r>
        <w:rPr>
          <w:rFonts w:hint="eastAsia" w:ascii="宋体" w:hAnsi="宋体" w:cs="宋体"/>
          <w:color w:val="auto"/>
          <w:sz w:val="28"/>
          <w:szCs w:val="28"/>
          <w:highlight w:val="none"/>
          <w:u w:val="single"/>
          <w:lang w:eastAsia="zh-CN"/>
        </w:rPr>
        <w:t>之日</w:t>
      </w:r>
      <w:r>
        <w:rPr>
          <w:rFonts w:hint="eastAsia" w:ascii="宋体" w:hAnsi="宋体" w:eastAsia="宋体" w:cs="宋体"/>
          <w:color w:val="auto"/>
          <w:sz w:val="28"/>
          <w:szCs w:val="28"/>
          <w:highlight w:val="none"/>
          <w:u w:val="single"/>
        </w:rPr>
        <w:t>起生效</w:t>
      </w:r>
      <w:r>
        <w:rPr>
          <w:rFonts w:hint="eastAsia" w:ascii="宋体" w:hAnsi="宋体" w:eastAsia="宋体" w:cs="宋体"/>
          <w:color w:val="auto"/>
          <w:sz w:val="28"/>
          <w:szCs w:val="28"/>
          <w:highlight w:val="none"/>
        </w:rPr>
        <w:t>。</w:t>
      </w:r>
    </w:p>
    <w:p w14:paraId="430764C0">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 变更</w:t>
      </w:r>
    </w:p>
    <w:p w14:paraId="2D99AFD6">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6.2.1除不可抗力外，因非监理人原因导致本合同期限延长时，附加工作酬金按下列方法确定：</w:t>
      </w:r>
    </w:p>
    <w:p w14:paraId="7E79C956">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lang w:eastAsia="zh-CN"/>
        </w:rPr>
        <w:t>不增加合同金额</w:t>
      </w:r>
      <w:r>
        <w:rPr>
          <w:rFonts w:hint="eastAsia" w:ascii="宋体" w:hAnsi="宋体" w:eastAsia="宋体" w:cs="宋体"/>
          <w:color w:val="auto"/>
          <w:sz w:val="28"/>
          <w:szCs w:val="28"/>
          <w:highlight w:val="none"/>
          <w:lang w:eastAsia="zh-CN"/>
        </w:rPr>
        <w:t>。</w:t>
      </w:r>
    </w:p>
    <w:p w14:paraId="696B29F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6.2.2附加工作酬金按下列方法确定：</w:t>
      </w:r>
    </w:p>
    <w:p w14:paraId="6D942E22">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lang w:eastAsia="zh-CN"/>
        </w:rPr>
        <w:t>不增加合同金额</w:t>
      </w:r>
      <w:r>
        <w:rPr>
          <w:rFonts w:hint="eastAsia" w:ascii="宋体" w:hAnsi="宋体" w:eastAsia="宋体" w:cs="宋体"/>
          <w:color w:val="auto"/>
          <w:sz w:val="28"/>
          <w:szCs w:val="28"/>
          <w:highlight w:val="none"/>
          <w:lang w:eastAsia="zh-CN"/>
        </w:rPr>
        <w:t>。</w:t>
      </w:r>
    </w:p>
    <w:p w14:paraId="7809671B">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6.2.3 正常工作酬金增加额按下列方法确定：</w:t>
      </w:r>
    </w:p>
    <w:p w14:paraId="04820C5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lang w:eastAsia="zh-CN"/>
        </w:rPr>
        <w:t>不增加合同金额</w:t>
      </w:r>
      <w:r>
        <w:rPr>
          <w:rFonts w:hint="eastAsia" w:ascii="宋体" w:hAnsi="宋体" w:eastAsia="宋体" w:cs="宋体"/>
          <w:color w:val="auto"/>
          <w:sz w:val="28"/>
          <w:szCs w:val="28"/>
          <w:highlight w:val="none"/>
          <w:lang w:eastAsia="zh-CN"/>
        </w:rPr>
        <w:t>。</w:t>
      </w:r>
    </w:p>
    <w:p w14:paraId="3E113025">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6.2.4 因工程规模</w:t>
      </w:r>
      <w:r>
        <w:rPr>
          <w:rFonts w:hint="eastAsia" w:ascii="宋体" w:hAnsi="宋体" w:eastAsia="宋体" w:cs="宋体"/>
          <w:color w:val="auto"/>
          <w:sz w:val="28"/>
          <w:szCs w:val="28"/>
          <w:highlight w:val="none"/>
          <w:lang w:eastAsia="zh-CN"/>
        </w:rPr>
        <w:t>、总投资</w:t>
      </w:r>
      <w:r>
        <w:rPr>
          <w:rFonts w:hint="eastAsia" w:ascii="宋体" w:hAnsi="宋体" w:eastAsia="宋体" w:cs="宋体"/>
          <w:color w:val="auto"/>
          <w:sz w:val="28"/>
          <w:szCs w:val="28"/>
          <w:highlight w:val="none"/>
        </w:rPr>
        <w:t>、监理范围的变化导致监理人的正常工作量减少时，按减少工作量的比例从协议书约定的正常工作酬金中扣减相同比例的酬金</w:t>
      </w:r>
      <w:r>
        <w:rPr>
          <w:rFonts w:hint="eastAsia" w:ascii="宋体" w:hAnsi="宋体" w:eastAsia="宋体" w:cs="宋体"/>
          <w:color w:val="auto"/>
          <w:sz w:val="28"/>
          <w:szCs w:val="28"/>
          <w:highlight w:val="none"/>
          <w:lang w:eastAsia="zh-CN"/>
        </w:rPr>
        <w:t>，具体如下：</w:t>
      </w:r>
    </w:p>
    <w:p w14:paraId="2733A9ED">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（1）若经评审的施工控制价比可研批复施工费用上下浮动不超过10%（含10%），则合同价格=中标价；</w:t>
      </w:r>
    </w:p>
    <w:p w14:paraId="713373D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（2）若经评审的施工控制价比可研批复施工费用上浮超过10%，则合同价格=中标价×（经评审的施工控制价/可研批复施工费用-10%）；</w:t>
      </w:r>
    </w:p>
    <w:p w14:paraId="66D6CDC5">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若经评审的施工控制价比可研批复施工费用下浮超过10%，则合同价格=中标价×（经评审的施工控制价/可研批复施工费用+10%）。</w:t>
      </w:r>
    </w:p>
    <w:p w14:paraId="4A8A8B0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p>
    <w:p w14:paraId="1618F17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6.2.5凡发生下列情形之一的，委托人有权单方解除本合同：</w:t>
      </w:r>
    </w:p>
    <w:p w14:paraId="28DE0526">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6.2.5.1 擅自将本合同约定项目转包、分包给他人的；</w:t>
      </w:r>
    </w:p>
    <w:p w14:paraId="2F0D62FB">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6.2.5.2 不履行或怠于履行监理职责的；</w:t>
      </w:r>
    </w:p>
    <w:p w14:paraId="4AFDA64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6.2.5.3 与第三方串通，损害委托人利益的；</w:t>
      </w:r>
    </w:p>
    <w:p w14:paraId="4801EB9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6.2.5.4 监理工作频频出现错误，且不整改或无力整改的；</w:t>
      </w:r>
    </w:p>
    <w:p w14:paraId="34C2457F">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6.2.5.5 其他严重违约行为，致使委托人的合同目的无法实现的。</w:t>
      </w:r>
    </w:p>
    <w:p w14:paraId="554DE4CB">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依据上述条款单方解除本合同的，自解除合同通知送达监理人之日起本合同即解除。委托人依据上述条款解除本合同的，监理人应当按本合同价款的20%向委托人支付违约金，并赔偿因此给委托人造成的所有经济损失。</w:t>
      </w:r>
    </w:p>
    <w:p w14:paraId="5ECBB2ED">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7. 争议解决</w:t>
      </w:r>
    </w:p>
    <w:p w14:paraId="65509869">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7.1 </w:t>
      </w:r>
      <w:r>
        <w:rPr>
          <w:rFonts w:hint="eastAsia" w:ascii="宋体" w:hAnsi="宋体" w:eastAsia="宋体" w:cs="宋体"/>
          <w:bCs/>
          <w:color w:val="auto"/>
          <w:sz w:val="28"/>
          <w:szCs w:val="28"/>
          <w:highlight w:val="none"/>
        </w:rPr>
        <w:t>调解</w:t>
      </w:r>
    </w:p>
    <w:p w14:paraId="65AAB720">
      <w:pPr>
        <w:kinsoku/>
        <w:wordWrap/>
        <w:overflowPunct/>
        <w:topLinePunct w:val="0"/>
        <w:bidi w:val="0"/>
        <w:adjustRightInd/>
        <w:snapToGrid/>
        <w:spacing w:line="500" w:lineRule="exact"/>
        <w:ind w:left="0" w:leftChars="0" w:right="0"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本合同争议进行调解时，可提交</w:t>
      </w:r>
      <w:r>
        <w:rPr>
          <w:rFonts w:hint="eastAsia" w:ascii="宋体" w:hAnsi="宋体" w:eastAsia="宋体" w:cs="宋体"/>
          <w:color w:val="auto"/>
          <w:sz w:val="28"/>
          <w:szCs w:val="28"/>
          <w:highlight w:val="none"/>
          <w:u w:val="single"/>
        </w:rPr>
        <w:t>当地建设行政主管部门</w:t>
      </w:r>
      <w:r>
        <w:rPr>
          <w:rFonts w:hint="eastAsia" w:ascii="宋体" w:hAnsi="宋体" w:eastAsia="宋体" w:cs="宋体"/>
          <w:color w:val="auto"/>
          <w:sz w:val="28"/>
          <w:szCs w:val="28"/>
          <w:highlight w:val="none"/>
        </w:rPr>
        <w:t>进行调解。</w:t>
      </w:r>
    </w:p>
    <w:p w14:paraId="5323881B">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w:t>
      </w:r>
      <w:r>
        <w:rPr>
          <w:rFonts w:hint="eastAsia" w:ascii="宋体" w:hAnsi="宋体" w:eastAsia="宋体" w:cs="宋体"/>
          <w:bCs/>
          <w:color w:val="auto"/>
          <w:sz w:val="28"/>
          <w:szCs w:val="28"/>
          <w:highlight w:val="none"/>
        </w:rPr>
        <w:t>仲裁或诉讼</w:t>
      </w:r>
    </w:p>
    <w:p w14:paraId="5A4E99A9">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合同争议的最终解决方式为下列第</w:t>
      </w:r>
      <w:r>
        <w:rPr>
          <w:rFonts w:hint="eastAsia" w:ascii="宋体" w:hAnsi="宋体" w:eastAsia="宋体" w:cs="宋体"/>
          <w:color w:val="auto"/>
          <w:sz w:val="28"/>
          <w:szCs w:val="28"/>
          <w:highlight w:val="none"/>
          <w:u w:val="single"/>
        </w:rPr>
        <w:t xml:space="preserve"> 2</w:t>
      </w:r>
      <w:r>
        <w:rPr>
          <w:rFonts w:hint="eastAsia" w:ascii="宋体" w:hAnsi="宋体" w:eastAsia="宋体" w:cs="宋体"/>
          <w:color w:val="auto"/>
          <w:sz w:val="28"/>
          <w:szCs w:val="28"/>
          <w:highlight w:val="none"/>
        </w:rPr>
        <w:t>种方式：</w:t>
      </w:r>
    </w:p>
    <w:p w14:paraId="78A0C51E">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（1）提请</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仲裁委员会进行仲裁。</w:t>
      </w:r>
    </w:p>
    <w:p w14:paraId="02F4DC6D">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w:t>
      </w:r>
      <w:r>
        <w:rPr>
          <w:rFonts w:hint="eastAsia" w:ascii="宋体" w:hAnsi="宋体" w:eastAsia="宋体" w:cs="宋体"/>
          <w:color w:val="auto"/>
          <w:sz w:val="28"/>
          <w:szCs w:val="28"/>
          <w:highlight w:val="none"/>
          <w:u w:val="single"/>
        </w:rPr>
        <w:t xml:space="preserve"> 委托人所在地  </w:t>
      </w:r>
      <w:r>
        <w:rPr>
          <w:rFonts w:hint="eastAsia" w:ascii="宋体" w:hAnsi="宋体" w:eastAsia="宋体" w:cs="宋体"/>
          <w:color w:val="auto"/>
          <w:sz w:val="28"/>
          <w:szCs w:val="28"/>
          <w:highlight w:val="none"/>
        </w:rPr>
        <w:t>人民法院提起诉讼。</w:t>
      </w:r>
    </w:p>
    <w:p w14:paraId="7FDDFA0B">
      <w:pPr>
        <w:kinsoku/>
        <w:wordWrap/>
        <w:overflowPunct/>
        <w:topLinePunct w:val="0"/>
        <w:bidi w:val="0"/>
        <w:adjustRightInd/>
        <w:snapToGrid/>
        <w:spacing w:line="500" w:lineRule="exact"/>
        <w:ind w:left="0" w:leftChars="0" w:right="0"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 xml:space="preserve">8. 其他 </w:t>
      </w:r>
    </w:p>
    <w:p w14:paraId="7F58991D">
      <w:pPr>
        <w:kinsoku/>
        <w:wordWrap/>
        <w:overflowPunct/>
        <w:topLinePunct w:val="0"/>
        <w:bidi w:val="0"/>
        <w:adjustRightInd/>
        <w:snapToGrid/>
        <w:spacing w:line="500" w:lineRule="exact"/>
        <w:ind w:left="0" w:leftChars="0" w:right="0"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8.6 保密</w:t>
      </w:r>
    </w:p>
    <w:p w14:paraId="6F9AEB67">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委托人申明的保密事项和期限：</w:t>
      </w:r>
      <w:r>
        <w:rPr>
          <w:rFonts w:hint="eastAsia" w:ascii="宋体" w:hAnsi="宋体" w:eastAsia="宋体" w:cs="宋体"/>
          <w:color w:val="auto"/>
          <w:sz w:val="28"/>
          <w:szCs w:val="28"/>
          <w:highlight w:val="none"/>
          <w:u w:val="single"/>
        </w:rPr>
        <w:t>与施工单位签订的施工合同商务部分。期限为本合同结束前。</w:t>
      </w:r>
    </w:p>
    <w:p w14:paraId="42432CAF">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监理人申明的保密事项和期限：</w:t>
      </w:r>
      <w:r>
        <w:rPr>
          <w:rFonts w:hint="eastAsia" w:ascii="宋体" w:hAnsi="宋体" w:eastAsia="宋体" w:cs="宋体"/>
          <w:color w:val="auto"/>
          <w:sz w:val="28"/>
          <w:szCs w:val="28"/>
          <w:highlight w:val="none"/>
          <w:u w:val="single"/>
        </w:rPr>
        <w:t>监理规划，专项监理细则，专题报告。期限为本合同结束前。</w:t>
      </w:r>
    </w:p>
    <w:p w14:paraId="0BEDD1D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第三方申明的保密事项和期限：</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14:paraId="2C09C9B9">
      <w:pPr>
        <w:kinsoku/>
        <w:wordWrap/>
        <w:overflowPunct/>
        <w:topLinePunct w:val="0"/>
        <w:bidi w:val="0"/>
        <w:adjustRightInd/>
        <w:snapToGrid/>
        <w:spacing w:line="500" w:lineRule="exact"/>
        <w:ind w:left="0" w:leftChars="0" w:right="0" w:firstLine="554" w:firstLineChars="198"/>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8.8</w:t>
      </w:r>
      <w:r>
        <w:rPr>
          <w:rFonts w:hint="eastAsia" w:ascii="宋体" w:hAnsi="宋体" w:eastAsia="宋体" w:cs="宋体"/>
          <w:bCs/>
          <w:color w:val="auto"/>
          <w:sz w:val="28"/>
          <w:szCs w:val="28"/>
          <w:highlight w:val="none"/>
        </w:rPr>
        <w:t>著作权</w:t>
      </w:r>
    </w:p>
    <w:p w14:paraId="710775E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监理人在本合同履行期间及本合同终止后两年内出版涉及本工程的有关监理与相关服务的资料的限制条件：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须征得委托人同意</w:t>
      </w:r>
      <w:r>
        <w:rPr>
          <w:rFonts w:hint="eastAsia" w:ascii="宋体" w:hAnsi="宋体" w:eastAsia="宋体" w:cs="宋体"/>
          <w:color w:val="auto"/>
          <w:sz w:val="28"/>
          <w:szCs w:val="28"/>
          <w:highlight w:val="none"/>
        </w:rPr>
        <w:t>。</w:t>
      </w:r>
    </w:p>
    <w:p w14:paraId="7E017A8F">
      <w:pPr>
        <w:kinsoku/>
        <w:wordWrap/>
        <w:overflowPunct/>
        <w:topLinePunct w:val="0"/>
        <w:bidi w:val="0"/>
        <w:adjustRightInd/>
        <w:snapToGrid/>
        <w:spacing w:line="500" w:lineRule="exact"/>
        <w:ind w:left="0" w:leftChars="0" w:right="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补充条款</w:t>
      </w:r>
    </w:p>
    <w:p w14:paraId="27282271">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9.1补充条款中各项违约金、赔偿金,委托人有权从合同结算金额中</w:t>
      </w:r>
      <w:r>
        <w:rPr>
          <w:rFonts w:hint="eastAsia" w:ascii="宋体" w:hAnsi="宋体" w:eastAsia="宋体" w:cs="宋体"/>
          <w:color w:val="auto"/>
          <w:sz w:val="28"/>
          <w:szCs w:val="28"/>
          <w:highlight w:val="none"/>
          <w:lang w:val="en-US" w:eastAsia="zh-CN"/>
        </w:rPr>
        <w:t>相应</w:t>
      </w:r>
      <w:r>
        <w:rPr>
          <w:rFonts w:hint="eastAsia" w:ascii="宋体" w:hAnsi="宋体" w:eastAsia="宋体" w:cs="宋体"/>
          <w:color w:val="auto"/>
          <w:sz w:val="28"/>
          <w:szCs w:val="28"/>
          <w:highlight w:val="none"/>
        </w:rPr>
        <w:t>扣除。</w:t>
      </w:r>
    </w:p>
    <w:p w14:paraId="635A0C36">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9.2</w:t>
      </w:r>
      <w:r>
        <w:rPr>
          <w:rFonts w:hint="eastAsia" w:ascii="宋体" w:hAnsi="宋体" w:eastAsia="宋体" w:cs="宋体"/>
          <w:color w:val="auto"/>
          <w:sz w:val="28"/>
          <w:szCs w:val="28"/>
          <w:highlight w:val="none"/>
        </w:rPr>
        <w:t>监理人必须按照</w:t>
      </w:r>
      <w:r>
        <w:rPr>
          <w:rFonts w:hint="eastAsia" w:ascii="宋体" w:hAnsi="宋体" w:cs="宋体"/>
          <w:color w:val="auto"/>
          <w:sz w:val="28"/>
          <w:szCs w:val="28"/>
          <w:highlight w:val="none"/>
          <w:lang w:eastAsia="zh-CN"/>
        </w:rPr>
        <w:t>委托人</w:t>
      </w:r>
      <w:r>
        <w:rPr>
          <w:rFonts w:hint="eastAsia" w:ascii="宋体" w:hAnsi="宋体" w:eastAsia="宋体" w:cs="宋体"/>
          <w:color w:val="auto"/>
          <w:sz w:val="28"/>
          <w:szCs w:val="28"/>
          <w:highlight w:val="none"/>
          <w:lang w:eastAsia="zh-CN"/>
        </w:rPr>
        <w:t>的具体要求</w:t>
      </w:r>
      <w:r>
        <w:rPr>
          <w:rFonts w:hint="eastAsia" w:ascii="宋体" w:hAnsi="宋体" w:cs="宋体"/>
          <w:color w:val="auto"/>
          <w:sz w:val="28"/>
          <w:szCs w:val="28"/>
          <w:highlight w:val="none"/>
          <w:lang w:eastAsia="zh-CN"/>
        </w:rPr>
        <w:t>安排监理人员</w:t>
      </w:r>
      <w:r>
        <w:rPr>
          <w:rFonts w:hint="eastAsia" w:ascii="宋体" w:hAnsi="宋体" w:eastAsia="宋体" w:cs="宋体"/>
          <w:color w:val="auto"/>
          <w:sz w:val="28"/>
          <w:szCs w:val="28"/>
          <w:highlight w:val="none"/>
        </w:rPr>
        <w:t>进驻施工现场，如监理人未按照</w:t>
      </w:r>
      <w:r>
        <w:rPr>
          <w:rFonts w:hint="eastAsia" w:ascii="宋体" w:hAnsi="宋体" w:cs="宋体"/>
          <w:color w:val="auto"/>
          <w:sz w:val="28"/>
          <w:szCs w:val="28"/>
          <w:highlight w:val="none"/>
          <w:lang w:eastAsia="zh-CN"/>
        </w:rPr>
        <w:t>委托人</w:t>
      </w:r>
      <w:r>
        <w:rPr>
          <w:rFonts w:hint="eastAsia" w:ascii="宋体" w:hAnsi="宋体" w:eastAsia="宋体" w:cs="宋体"/>
          <w:color w:val="auto"/>
          <w:sz w:val="28"/>
          <w:szCs w:val="28"/>
          <w:highlight w:val="none"/>
          <w:lang w:eastAsia="zh-CN"/>
        </w:rPr>
        <w:t>的具体要求</w:t>
      </w:r>
      <w:r>
        <w:rPr>
          <w:rFonts w:hint="eastAsia" w:ascii="宋体" w:hAnsi="宋体" w:eastAsia="宋体" w:cs="宋体"/>
          <w:color w:val="auto"/>
          <w:sz w:val="28"/>
          <w:szCs w:val="28"/>
          <w:highlight w:val="none"/>
        </w:rPr>
        <w:t>进驻，委托人有权单方面解除委托监理合同，并</w:t>
      </w:r>
      <w:r>
        <w:rPr>
          <w:rFonts w:hint="eastAsia" w:ascii="宋体" w:hAnsi="宋体" w:cs="宋体"/>
          <w:color w:val="auto"/>
          <w:sz w:val="28"/>
          <w:szCs w:val="28"/>
          <w:highlight w:val="none"/>
          <w:lang w:eastAsia="zh-CN"/>
        </w:rPr>
        <w:t>有权</w:t>
      </w:r>
      <w:r>
        <w:rPr>
          <w:rFonts w:hint="eastAsia" w:ascii="宋体" w:hAnsi="宋体" w:eastAsia="宋体" w:cs="宋体"/>
          <w:color w:val="auto"/>
          <w:sz w:val="28"/>
          <w:szCs w:val="28"/>
          <w:highlight w:val="none"/>
        </w:rPr>
        <w:t>要求监理人按本合同总价款的</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%支付违约金，并赔偿因此给委托人造成的所有经济损失。</w:t>
      </w:r>
    </w:p>
    <w:p w14:paraId="19EB53D4">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项目总监进驻工地一周不少于5天,每少一</w:t>
      </w:r>
      <w:r>
        <w:rPr>
          <w:rFonts w:hint="eastAsia" w:ascii="宋体" w:hAnsi="宋体" w:cs="宋体"/>
          <w:color w:val="auto"/>
          <w:sz w:val="28"/>
          <w:szCs w:val="28"/>
          <w:highlight w:val="none"/>
          <w:lang w:eastAsia="zh-CN"/>
        </w:rPr>
        <w:t>天</w:t>
      </w:r>
      <w:r>
        <w:rPr>
          <w:rFonts w:hint="eastAsia" w:ascii="宋体" w:hAnsi="宋体" w:eastAsia="宋体" w:cs="宋体"/>
          <w:color w:val="auto"/>
          <w:sz w:val="28"/>
          <w:szCs w:val="28"/>
          <w:highlight w:val="none"/>
          <w:lang w:val="en-US" w:eastAsia="zh-CN"/>
        </w:rPr>
        <w:t>扣除</w:t>
      </w:r>
      <w:r>
        <w:rPr>
          <w:rFonts w:hint="eastAsia" w:ascii="宋体" w:hAnsi="宋体" w:eastAsia="宋体" w:cs="宋体"/>
          <w:color w:val="auto"/>
          <w:sz w:val="28"/>
          <w:szCs w:val="28"/>
          <w:highlight w:val="none"/>
        </w:rPr>
        <w:t>监理人违约金</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000元。</w:t>
      </w:r>
    </w:p>
    <w:p w14:paraId="16DA89A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监理人</w:t>
      </w:r>
      <w:r>
        <w:rPr>
          <w:rFonts w:hint="eastAsia" w:ascii="宋体" w:hAnsi="宋体" w:eastAsia="宋体" w:cs="宋体"/>
          <w:color w:val="auto"/>
          <w:sz w:val="28"/>
          <w:szCs w:val="28"/>
          <w:highlight w:val="none"/>
          <w:lang w:eastAsia="zh-CN"/>
        </w:rPr>
        <w:t>应</w:t>
      </w: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施工情况及工程进度，按委托人要求</w:t>
      </w:r>
      <w:r>
        <w:rPr>
          <w:rFonts w:hint="eastAsia" w:ascii="宋体" w:hAnsi="宋体" w:eastAsia="宋体" w:cs="宋体"/>
          <w:color w:val="auto"/>
          <w:sz w:val="28"/>
          <w:szCs w:val="28"/>
          <w:highlight w:val="none"/>
        </w:rPr>
        <w:t>合</w:t>
      </w:r>
      <w:r>
        <w:rPr>
          <w:rFonts w:hint="eastAsia" w:ascii="宋体" w:hAnsi="宋体" w:eastAsia="宋体" w:cs="宋体"/>
          <w:color w:val="auto"/>
          <w:sz w:val="28"/>
          <w:szCs w:val="28"/>
          <w:highlight w:val="none"/>
          <w:lang w:eastAsia="zh-CN"/>
        </w:rPr>
        <w:t>理</w:t>
      </w:r>
      <w:r>
        <w:rPr>
          <w:rFonts w:hint="eastAsia" w:ascii="宋体" w:hAnsi="宋体" w:eastAsia="宋体" w:cs="宋体"/>
          <w:color w:val="auto"/>
          <w:sz w:val="28"/>
          <w:szCs w:val="28"/>
          <w:highlight w:val="none"/>
        </w:rPr>
        <w:t>配置各专业监理人员,</w:t>
      </w:r>
      <w:r>
        <w:rPr>
          <w:rFonts w:hint="eastAsia" w:ascii="宋体" w:hAnsi="宋体" w:eastAsia="宋体" w:cs="宋体"/>
          <w:color w:val="auto"/>
          <w:sz w:val="28"/>
          <w:szCs w:val="28"/>
          <w:highlight w:val="none"/>
          <w:lang w:eastAsia="zh-CN"/>
        </w:rPr>
        <w:t>所有监理人员应</w:t>
      </w:r>
      <w:r>
        <w:rPr>
          <w:rFonts w:hint="eastAsia" w:ascii="宋体" w:hAnsi="宋体" w:eastAsia="宋体" w:cs="宋体"/>
          <w:color w:val="auto"/>
          <w:sz w:val="28"/>
          <w:szCs w:val="28"/>
          <w:highlight w:val="none"/>
        </w:rPr>
        <w:t>具有即时解决与本工程建设有关的问题难题的能力。发现监理人员不到位,监理人向委托人支付违约金每人次人民币</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000元。</w:t>
      </w:r>
    </w:p>
    <w:p w14:paraId="4A7E80D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项目总监及监理部主要人员</w:t>
      </w:r>
      <w:r>
        <w:rPr>
          <w:rFonts w:hint="eastAsia" w:ascii="宋体" w:hAnsi="宋体" w:cs="宋体"/>
          <w:color w:val="auto"/>
          <w:sz w:val="28"/>
          <w:szCs w:val="28"/>
          <w:highlight w:val="none"/>
          <w:lang w:eastAsia="zh-CN"/>
        </w:rPr>
        <w:t>未</w:t>
      </w:r>
      <w:r>
        <w:rPr>
          <w:rFonts w:hint="eastAsia" w:ascii="宋体" w:hAnsi="宋体" w:eastAsia="宋体" w:cs="宋体"/>
          <w:color w:val="auto"/>
          <w:sz w:val="28"/>
          <w:szCs w:val="28"/>
          <w:highlight w:val="none"/>
        </w:rPr>
        <w:t>经委托人同意不得随意更换; 如因监理人原因更换项目总监，须经委托人同意，且更换一次或一人</w:t>
      </w:r>
      <w:r>
        <w:rPr>
          <w:rFonts w:hint="eastAsia" w:ascii="宋体" w:hAnsi="宋体" w:eastAsia="宋体" w:cs="宋体"/>
          <w:color w:val="auto"/>
          <w:sz w:val="28"/>
          <w:szCs w:val="28"/>
          <w:highlight w:val="none"/>
          <w:lang w:val="en-US" w:eastAsia="zh-CN"/>
        </w:rPr>
        <w:t>扣</w:t>
      </w:r>
      <w:r>
        <w:rPr>
          <w:rFonts w:hint="eastAsia" w:ascii="宋体" w:hAnsi="宋体" w:eastAsia="宋体" w:cs="宋体"/>
          <w:color w:val="auto"/>
          <w:sz w:val="28"/>
          <w:szCs w:val="28"/>
          <w:highlight w:val="none"/>
        </w:rPr>
        <w:t>违约金</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000元。</w:t>
      </w:r>
    </w:p>
    <w:p w14:paraId="5C9075FE">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对不称职的项目总监,委托人有权要求监理方更换,对于不称职的人员,委托人有权要求监理方随时更换;更换人员在资质和素质、业务方面不应低于投标时所委派的原有人员。监理部人员工作不力,不能及时积极处理解决与本工程建设有关的问题及难题,委托人有权终止合约, 且不付责任何费用。监理人</w:t>
      </w:r>
      <w:r>
        <w:rPr>
          <w:rFonts w:hint="eastAsia" w:ascii="宋体" w:hAnsi="宋体" w:eastAsia="宋体" w:cs="宋体"/>
          <w:color w:val="auto"/>
          <w:sz w:val="28"/>
          <w:szCs w:val="28"/>
          <w:highlight w:val="none"/>
          <w:lang w:val="en-US" w:eastAsia="zh-CN"/>
        </w:rPr>
        <w:t>需</w:t>
      </w:r>
      <w:r>
        <w:rPr>
          <w:rFonts w:hint="eastAsia" w:ascii="宋体" w:hAnsi="宋体" w:eastAsia="宋体" w:cs="宋体"/>
          <w:color w:val="auto"/>
          <w:sz w:val="28"/>
          <w:szCs w:val="28"/>
          <w:highlight w:val="none"/>
        </w:rPr>
        <w:t>设立项目办公场所，必须配备</w:t>
      </w:r>
      <w:r>
        <w:rPr>
          <w:rFonts w:hint="eastAsia" w:ascii="宋体" w:hAnsi="宋体" w:eastAsia="宋体" w:cs="宋体"/>
          <w:color w:val="auto"/>
          <w:sz w:val="28"/>
          <w:szCs w:val="28"/>
          <w:highlight w:val="none"/>
          <w:lang w:eastAsia="zh-CN"/>
        </w:rPr>
        <w:t>招、</w:t>
      </w:r>
      <w:r>
        <w:rPr>
          <w:rFonts w:hint="eastAsia" w:ascii="宋体" w:hAnsi="宋体" w:eastAsia="宋体" w:cs="宋体"/>
          <w:color w:val="auto"/>
          <w:sz w:val="28"/>
          <w:szCs w:val="28"/>
          <w:highlight w:val="none"/>
        </w:rPr>
        <w:t>投标文件中明确的设备</w:t>
      </w:r>
      <w:r>
        <w:rPr>
          <w:rFonts w:hint="eastAsia" w:ascii="宋体" w:hAnsi="宋体" w:eastAsia="宋体" w:cs="宋体"/>
          <w:color w:val="auto"/>
          <w:sz w:val="28"/>
          <w:szCs w:val="28"/>
          <w:highlight w:val="none"/>
          <w:lang w:eastAsia="zh-CN"/>
        </w:rPr>
        <w:t>设施</w:t>
      </w:r>
      <w:r>
        <w:rPr>
          <w:rFonts w:hint="eastAsia" w:ascii="宋体" w:hAnsi="宋体" w:eastAsia="宋体" w:cs="宋体"/>
          <w:color w:val="auto"/>
          <w:sz w:val="28"/>
          <w:szCs w:val="28"/>
          <w:highlight w:val="none"/>
        </w:rPr>
        <w:t>，如检查缺少，每少一种将</w:t>
      </w:r>
      <w:r>
        <w:rPr>
          <w:rFonts w:hint="eastAsia" w:ascii="宋体" w:hAnsi="宋体" w:eastAsia="宋体" w:cs="宋体"/>
          <w:color w:val="auto"/>
          <w:sz w:val="28"/>
          <w:szCs w:val="28"/>
          <w:highlight w:val="none"/>
          <w:lang w:val="en-US" w:eastAsia="zh-CN"/>
        </w:rPr>
        <w:t>扣</w:t>
      </w:r>
      <w:r>
        <w:rPr>
          <w:rFonts w:hint="eastAsia" w:ascii="宋体" w:hAnsi="宋体" w:eastAsia="宋体" w:cs="宋体"/>
          <w:color w:val="auto"/>
          <w:sz w:val="28"/>
          <w:szCs w:val="28"/>
          <w:highlight w:val="none"/>
        </w:rPr>
        <w:t>违约金</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000元。</w:t>
      </w:r>
    </w:p>
    <w:p w14:paraId="08294781">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9.7 投标文件中确定的监理项目部须在合同签订后7日内组建完成,项目部成员必须全员坚守工作岗位，保证考勤;未经发包人同意，不得随意更换,对发包人提出的不合格人员，承包人必须及时更换,所更换人员的专业技术职称、资质和业绩不低于被更换人员;项目部人员考勤相关处罚以委托人相关规定执行。</w:t>
      </w:r>
    </w:p>
    <w:p w14:paraId="3421477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 xml:space="preserve"> 由于</w:t>
      </w:r>
      <w:r>
        <w:rPr>
          <w:rFonts w:hint="eastAsia" w:ascii="宋体" w:hAnsi="宋体" w:cs="宋体"/>
          <w:color w:val="auto"/>
          <w:sz w:val="28"/>
          <w:szCs w:val="28"/>
          <w:highlight w:val="none"/>
          <w:lang w:eastAsia="zh-CN"/>
        </w:rPr>
        <w:t>监理人的</w:t>
      </w:r>
      <w:r>
        <w:rPr>
          <w:rFonts w:hint="eastAsia" w:ascii="宋体" w:hAnsi="宋体" w:eastAsia="宋体" w:cs="宋体"/>
          <w:color w:val="auto"/>
          <w:sz w:val="28"/>
          <w:szCs w:val="28"/>
          <w:highlight w:val="none"/>
        </w:rPr>
        <w:t>工作失误造成质量事故、安全事故、质量缺陷、进度延误、未满足质量目标等，</w:t>
      </w:r>
      <w:r>
        <w:rPr>
          <w:rFonts w:hint="eastAsia" w:ascii="宋体" w:hAnsi="宋体" w:cs="宋体"/>
          <w:color w:val="auto"/>
          <w:sz w:val="28"/>
          <w:szCs w:val="28"/>
          <w:highlight w:val="none"/>
          <w:lang w:eastAsia="zh-CN"/>
        </w:rPr>
        <w:t>委托人</w:t>
      </w:r>
      <w:r>
        <w:rPr>
          <w:rFonts w:hint="eastAsia" w:ascii="宋体" w:hAnsi="宋体" w:eastAsia="宋体" w:cs="宋体"/>
          <w:color w:val="auto"/>
          <w:sz w:val="28"/>
          <w:szCs w:val="28"/>
          <w:highlight w:val="none"/>
        </w:rPr>
        <w:t>可根据具体情况，扣除监理违约金，扣款额度最高可累计到总费用的</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%，并且</w:t>
      </w:r>
      <w:r>
        <w:rPr>
          <w:rFonts w:hint="eastAsia" w:ascii="宋体" w:hAnsi="宋体" w:cs="宋体"/>
          <w:color w:val="auto"/>
          <w:sz w:val="28"/>
          <w:szCs w:val="28"/>
          <w:highlight w:val="none"/>
          <w:lang w:eastAsia="zh-CN"/>
        </w:rPr>
        <w:t>监理人</w:t>
      </w:r>
      <w:r>
        <w:rPr>
          <w:rFonts w:hint="eastAsia" w:ascii="宋体" w:hAnsi="宋体" w:eastAsia="宋体" w:cs="宋体"/>
          <w:color w:val="auto"/>
          <w:sz w:val="28"/>
          <w:szCs w:val="28"/>
          <w:highlight w:val="none"/>
        </w:rPr>
        <w:t>须赔偿由此给</w:t>
      </w:r>
      <w:r>
        <w:rPr>
          <w:rFonts w:hint="eastAsia" w:ascii="宋体" w:hAnsi="宋体" w:cs="宋体"/>
          <w:color w:val="auto"/>
          <w:sz w:val="28"/>
          <w:szCs w:val="28"/>
          <w:highlight w:val="none"/>
          <w:lang w:eastAsia="zh-CN"/>
        </w:rPr>
        <w:t>委托人</w:t>
      </w:r>
      <w:r>
        <w:rPr>
          <w:rFonts w:hint="eastAsia" w:ascii="宋体" w:hAnsi="宋体" w:eastAsia="宋体" w:cs="宋体"/>
          <w:color w:val="auto"/>
          <w:sz w:val="28"/>
          <w:szCs w:val="28"/>
          <w:highlight w:val="none"/>
        </w:rPr>
        <w:t>造成的损失</w:t>
      </w:r>
      <w:r>
        <w:rPr>
          <w:rFonts w:hint="eastAsia" w:ascii="宋体" w:hAnsi="宋体" w:eastAsia="宋体" w:cs="宋体"/>
          <w:color w:val="auto"/>
          <w:sz w:val="28"/>
          <w:szCs w:val="28"/>
          <w:highlight w:val="none"/>
          <w:lang w:eastAsia="zh-CN"/>
        </w:rPr>
        <w:t>。</w:t>
      </w:r>
    </w:p>
    <w:p w14:paraId="0957AAC1">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 xml:space="preserve"> 对设计图纸，监理人负有为委托人提供咨询、提出意见和建议</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责任</w:t>
      </w:r>
      <w:r>
        <w:rPr>
          <w:rFonts w:hint="eastAsia" w:ascii="宋体" w:hAnsi="宋体" w:eastAsia="宋体" w:cs="宋体"/>
          <w:color w:val="auto"/>
          <w:sz w:val="28"/>
          <w:szCs w:val="28"/>
          <w:highlight w:val="none"/>
          <w:lang w:eastAsia="zh-CN"/>
        </w:rPr>
        <w:t>。</w:t>
      </w:r>
    </w:p>
    <w:p w14:paraId="7BA2BEC9">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 xml:space="preserve"> 监理人员审查施工组织设计时，应要求施工单位的施工技术</w:t>
      </w:r>
      <w:r>
        <w:rPr>
          <w:rFonts w:hint="eastAsia" w:ascii="宋体" w:hAnsi="宋体" w:eastAsia="宋体" w:cs="宋体"/>
          <w:color w:val="auto"/>
          <w:sz w:val="28"/>
          <w:szCs w:val="28"/>
          <w:highlight w:val="none"/>
          <w:lang w:val="en-US" w:eastAsia="zh-CN"/>
        </w:rPr>
        <w:t>及</w:t>
      </w:r>
      <w:r>
        <w:rPr>
          <w:rFonts w:hint="eastAsia" w:ascii="宋体" w:hAnsi="宋体" w:eastAsia="宋体" w:cs="宋体"/>
          <w:color w:val="auto"/>
          <w:sz w:val="28"/>
          <w:szCs w:val="28"/>
          <w:highlight w:val="none"/>
        </w:rPr>
        <w:t>施工组织</w:t>
      </w:r>
      <w:r>
        <w:rPr>
          <w:rFonts w:hint="eastAsia" w:ascii="宋体" w:hAnsi="宋体" w:eastAsia="宋体" w:cs="宋体"/>
          <w:color w:val="auto"/>
          <w:sz w:val="28"/>
          <w:szCs w:val="28"/>
          <w:highlight w:val="none"/>
          <w:lang w:val="en-US" w:eastAsia="zh-CN"/>
        </w:rPr>
        <w:t>科学</w:t>
      </w:r>
      <w:r>
        <w:rPr>
          <w:rFonts w:hint="eastAsia" w:ascii="宋体" w:hAnsi="宋体" w:eastAsia="宋体" w:cs="宋体"/>
          <w:color w:val="auto"/>
          <w:sz w:val="28"/>
          <w:szCs w:val="28"/>
          <w:highlight w:val="none"/>
        </w:rPr>
        <w:t>合理，按</w:t>
      </w:r>
      <w:r>
        <w:rPr>
          <w:rFonts w:hint="eastAsia" w:ascii="宋体" w:hAnsi="宋体" w:eastAsia="宋体" w:cs="宋体"/>
          <w:color w:val="auto"/>
          <w:sz w:val="28"/>
          <w:szCs w:val="28"/>
          <w:highlight w:val="none"/>
          <w:lang w:val="en-US" w:eastAsia="zh-CN"/>
        </w:rPr>
        <w:t>施工合同</w:t>
      </w:r>
      <w:r>
        <w:rPr>
          <w:rFonts w:hint="eastAsia" w:ascii="宋体" w:hAnsi="宋体" w:eastAsia="宋体" w:cs="宋体"/>
          <w:color w:val="auto"/>
          <w:sz w:val="28"/>
          <w:szCs w:val="28"/>
          <w:highlight w:val="none"/>
        </w:rPr>
        <w:t>标准监督施工单位施工</w:t>
      </w:r>
      <w:r>
        <w:rPr>
          <w:rFonts w:hint="eastAsia" w:ascii="宋体" w:hAnsi="宋体" w:eastAsia="宋体" w:cs="宋体"/>
          <w:color w:val="auto"/>
          <w:sz w:val="28"/>
          <w:szCs w:val="28"/>
          <w:highlight w:val="none"/>
          <w:lang w:eastAsia="zh-CN"/>
        </w:rPr>
        <w:t>。</w:t>
      </w:r>
    </w:p>
    <w:p w14:paraId="58E133C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监理人不得接受施工单位或材料、设备供应单位的请客吃饭、礼品或佣金，不得向施工单位索要任何物品。如发现监理人有上述行为，委托人有权终止双方合同，由监理人赔偿由此给委托人造成的一切损失，并承担违约责任</w:t>
      </w:r>
      <w:r>
        <w:rPr>
          <w:rFonts w:hint="eastAsia" w:ascii="宋体" w:hAnsi="宋体" w:eastAsia="宋体" w:cs="宋体"/>
          <w:color w:val="auto"/>
          <w:sz w:val="28"/>
          <w:szCs w:val="28"/>
          <w:highlight w:val="none"/>
          <w:lang w:eastAsia="zh-CN"/>
        </w:rPr>
        <w:t>。</w:t>
      </w:r>
    </w:p>
    <w:p w14:paraId="71230D10">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监理人应严格按照《建筑法》、《河南省工程建设监理规程》、《建筑施工验收规范》及有关的法律、法规对工程实施监理</w:t>
      </w:r>
      <w:r>
        <w:rPr>
          <w:rFonts w:hint="eastAsia" w:ascii="宋体" w:hAnsi="宋体" w:eastAsia="宋体" w:cs="宋体"/>
          <w:color w:val="auto"/>
          <w:sz w:val="28"/>
          <w:szCs w:val="28"/>
          <w:highlight w:val="none"/>
          <w:lang w:eastAsia="zh-CN"/>
        </w:rPr>
        <w:t>。</w:t>
      </w:r>
    </w:p>
    <w:p w14:paraId="3E1B2B93">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监理人必须严格按照投标书的监理要求及工作程序进行监理工作</w:t>
      </w:r>
      <w:r>
        <w:rPr>
          <w:rFonts w:hint="eastAsia" w:ascii="宋体" w:hAnsi="宋体" w:eastAsia="宋体" w:cs="宋体"/>
          <w:color w:val="auto"/>
          <w:sz w:val="28"/>
          <w:szCs w:val="28"/>
          <w:highlight w:val="none"/>
          <w:lang w:eastAsia="zh-CN"/>
        </w:rPr>
        <w:t>。</w:t>
      </w:r>
    </w:p>
    <w:p w14:paraId="6B9B47B7">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质保期随施工合同。本工程的质量目标为: 合格。安全生产目标为：零死亡。安全生产方面，该项目在施工过程中，无死亡事故的发生，达到</w:t>
      </w:r>
      <w:r>
        <w:rPr>
          <w:rFonts w:hint="eastAsia" w:ascii="宋体" w:hAnsi="宋体" w:eastAsia="宋体" w:cs="宋体"/>
          <w:color w:val="auto"/>
          <w:sz w:val="28"/>
          <w:szCs w:val="28"/>
          <w:highlight w:val="none"/>
          <w:lang w:eastAsia="zh-CN"/>
        </w:rPr>
        <w:t>安全</w:t>
      </w:r>
      <w:r>
        <w:rPr>
          <w:rFonts w:hint="eastAsia" w:ascii="宋体" w:hAnsi="宋体" w:eastAsia="宋体" w:cs="宋体"/>
          <w:color w:val="auto"/>
          <w:sz w:val="28"/>
          <w:szCs w:val="28"/>
          <w:highlight w:val="none"/>
        </w:rPr>
        <w:t>文明施工</w:t>
      </w:r>
      <w:r>
        <w:rPr>
          <w:rFonts w:hint="eastAsia" w:ascii="宋体" w:hAnsi="宋体" w:eastAsia="宋体" w:cs="宋体"/>
          <w:color w:val="auto"/>
          <w:sz w:val="28"/>
          <w:szCs w:val="28"/>
          <w:highlight w:val="none"/>
          <w:lang w:eastAsia="zh-CN"/>
        </w:rPr>
        <w:t>的要求。</w:t>
      </w:r>
    </w:p>
    <w:p w14:paraId="3CAA61D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若施工过程中或竣工结算期间，委托人发现监理人的投标书没有完全响应招标文件，并且存在重大偏差。对于存在偏差的内容，双方同意按招标文件进行解释，并依法追究监理人相关责任。 </w:t>
      </w:r>
    </w:p>
    <w:p w14:paraId="033B7E6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工程施工进度严重拖延，月施工进度未能完成月计划的</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0%，监理</w:t>
      </w:r>
      <w:r>
        <w:rPr>
          <w:rFonts w:hint="eastAsia" w:ascii="宋体" w:hAnsi="宋体" w:cs="宋体"/>
          <w:color w:val="auto"/>
          <w:sz w:val="28"/>
          <w:szCs w:val="28"/>
          <w:highlight w:val="none"/>
          <w:lang w:eastAsia="zh-CN"/>
        </w:rPr>
        <w:t>人</w:t>
      </w:r>
      <w:r>
        <w:rPr>
          <w:rFonts w:hint="eastAsia" w:ascii="宋体" w:hAnsi="宋体" w:eastAsia="宋体" w:cs="宋体"/>
          <w:color w:val="auto"/>
          <w:sz w:val="28"/>
          <w:szCs w:val="28"/>
          <w:highlight w:val="none"/>
        </w:rPr>
        <w:t>未能提前预警并制定相应工期保证的调整措施，</w:t>
      </w:r>
      <w:r>
        <w:rPr>
          <w:rFonts w:hint="eastAsia" w:ascii="宋体" w:hAnsi="宋体" w:eastAsia="宋体" w:cs="宋体"/>
          <w:color w:val="auto"/>
          <w:sz w:val="28"/>
          <w:szCs w:val="28"/>
          <w:highlight w:val="none"/>
          <w:lang w:eastAsia="zh-CN"/>
        </w:rPr>
        <w:t>按违约计每次扣除监理合同价的</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‰违约金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43298D04">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施工现场发现不合格的施工材料或未经检验合格的施工材料用于施工，</w:t>
      </w:r>
      <w:r>
        <w:rPr>
          <w:rFonts w:hint="eastAsia" w:ascii="宋体" w:hAnsi="宋体" w:eastAsia="宋体" w:cs="宋体"/>
          <w:color w:val="auto"/>
          <w:sz w:val="28"/>
          <w:szCs w:val="28"/>
          <w:highlight w:val="none"/>
          <w:lang w:val="en-US" w:eastAsia="zh-CN"/>
        </w:rPr>
        <w:t>监理单位未采取措施的，</w:t>
      </w:r>
      <w:r>
        <w:rPr>
          <w:rFonts w:hint="eastAsia" w:ascii="宋体" w:hAnsi="宋体" w:eastAsia="宋体" w:cs="宋体"/>
          <w:color w:val="auto"/>
          <w:sz w:val="28"/>
          <w:szCs w:val="28"/>
          <w:highlight w:val="none"/>
        </w:rPr>
        <w:t>每发现一次，</w:t>
      </w:r>
      <w:r>
        <w:rPr>
          <w:rFonts w:hint="eastAsia" w:ascii="宋体" w:hAnsi="宋体" w:eastAsia="宋体" w:cs="宋体"/>
          <w:color w:val="auto"/>
          <w:sz w:val="28"/>
          <w:szCs w:val="28"/>
          <w:highlight w:val="none"/>
          <w:lang w:val="en-US" w:eastAsia="zh-CN"/>
        </w:rPr>
        <w:t>扣除监理合同价的10%违约金。</w:t>
      </w:r>
      <w:r>
        <w:rPr>
          <w:rFonts w:hint="eastAsia" w:ascii="宋体" w:hAnsi="宋体" w:eastAsia="宋体" w:cs="宋体"/>
          <w:color w:val="auto"/>
          <w:sz w:val="28"/>
          <w:szCs w:val="28"/>
          <w:highlight w:val="none"/>
        </w:rPr>
        <w:t xml:space="preserve"> </w:t>
      </w:r>
    </w:p>
    <w:p w14:paraId="5BE36C70">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监理人员未经批准</w:t>
      </w:r>
      <w:r>
        <w:rPr>
          <w:rFonts w:hint="eastAsia" w:ascii="宋体" w:hAnsi="宋体" w:eastAsia="宋体" w:cs="宋体"/>
          <w:color w:val="auto"/>
          <w:sz w:val="28"/>
          <w:szCs w:val="28"/>
          <w:highlight w:val="none"/>
          <w:lang w:eastAsia="zh-CN"/>
        </w:rPr>
        <w:t>擅离工作岗位</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val="en-US" w:eastAsia="zh-CN"/>
        </w:rPr>
        <w:t>工作时间</w:t>
      </w:r>
      <w:r>
        <w:rPr>
          <w:rFonts w:hint="eastAsia" w:ascii="宋体" w:hAnsi="宋体" w:eastAsia="宋体" w:cs="宋体"/>
          <w:color w:val="auto"/>
          <w:sz w:val="28"/>
          <w:szCs w:val="28"/>
          <w:highlight w:val="none"/>
        </w:rPr>
        <w:t>从事与本工程无关的事务，每发现一人次，扣</w:t>
      </w:r>
      <w:r>
        <w:rPr>
          <w:rFonts w:hint="eastAsia" w:ascii="宋体" w:hAnsi="宋体" w:eastAsia="宋体" w:cs="宋体"/>
          <w:color w:val="auto"/>
          <w:sz w:val="28"/>
          <w:szCs w:val="28"/>
          <w:highlight w:val="none"/>
          <w:lang w:val="en-US" w:eastAsia="zh-CN"/>
        </w:rPr>
        <w:t>违约金</w:t>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6C7B50D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监理</w:t>
      </w:r>
      <w:r>
        <w:rPr>
          <w:rFonts w:hint="eastAsia" w:ascii="宋体" w:hAnsi="宋体" w:eastAsia="宋体" w:cs="宋体"/>
          <w:color w:val="auto"/>
          <w:sz w:val="28"/>
          <w:szCs w:val="28"/>
          <w:highlight w:val="none"/>
          <w:lang w:eastAsia="zh-CN"/>
        </w:rPr>
        <w:t>人员</w:t>
      </w:r>
      <w:r>
        <w:rPr>
          <w:rFonts w:hint="eastAsia" w:ascii="宋体" w:hAnsi="宋体" w:eastAsia="宋体" w:cs="宋体"/>
          <w:color w:val="auto"/>
          <w:sz w:val="28"/>
          <w:szCs w:val="28"/>
          <w:highlight w:val="none"/>
        </w:rPr>
        <w:t>不得迟到早退，每发现一人次，扣</w:t>
      </w:r>
      <w:r>
        <w:rPr>
          <w:rFonts w:hint="eastAsia" w:ascii="宋体" w:hAnsi="宋体" w:eastAsia="宋体" w:cs="宋体"/>
          <w:color w:val="auto"/>
          <w:sz w:val="28"/>
          <w:szCs w:val="28"/>
          <w:highlight w:val="none"/>
          <w:lang w:val="en-US" w:eastAsia="zh-CN"/>
        </w:rPr>
        <w:t>违约金500</w:t>
      </w:r>
      <w:r>
        <w:rPr>
          <w:rFonts w:hint="eastAsia" w:ascii="宋体" w:hAnsi="宋体" w:eastAsia="宋体" w:cs="宋体"/>
          <w:color w:val="auto"/>
          <w:sz w:val="28"/>
          <w:szCs w:val="28"/>
          <w:highlight w:val="none"/>
        </w:rPr>
        <w:t>元；关键工序、特殊工序、及</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要求旁站监理的工序，监理部必须派监理人员全程旁站，每发现一人次不随施工旁站，扣监理</w:t>
      </w:r>
      <w:r>
        <w:rPr>
          <w:rFonts w:hint="eastAsia" w:ascii="宋体" w:hAnsi="宋体" w:eastAsia="宋体" w:cs="宋体"/>
          <w:color w:val="auto"/>
          <w:sz w:val="28"/>
          <w:szCs w:val="28"/>
          <w:highlight w:val="none"/>
          <w:lang w:val="en-US" w:eastAsia="zh-CN"/>
        </w:rPr>
        <w:t>违约金5</w:t>
      </w:r>
      <w:r>
        <w:rPr>
          <w:rFonts w:hint="eastAsia" w:ascii="宋体" w:hAnsi="宋体" w:eastAsia="宋体" w:cs="宋体"/>
          <w:color w:val="auto"/>
          <w:sz w:val="28"/>
          <w:szCs w:val="28"/>
          <w:highlight w:val="none"/>
        </w:rPr>
        <w:t>00元；不论任何时间，如果施工进行中，监理部必须有监理人员在现场进行监理工作，否则每发现一次扣监理</w:t>
      </w:r>
      <w:r>
        <w:rPr>
          <w:rFonts w:hint="eastAsia" w:ascii="宋体" w:hAnsi="宋体" w:eastAsia="宋体" w:cs="宋体"/>
          <w:color w:val="auto"/>
          <w:sz w:val="28"/>
          <w:szCs w:val="28"/>
          <w:highlight w:val="none"/>
          <w:lang w:val="en-US" w:eastAsia="zh-CN"/>
        </w:rPr>
        <w:t>违约金</w:t>
      </w:r>
      <w:r>
        <w:rPr>
          <w:rFonts w:hint="eastAsia" w:ascii="宋体" w:hAnsi="宋体" w:eastAsia="宋体" w:cs="宋体"/>
          <w:color w:val="auto"/>
          <w:sz w:val="28"/>
          <w:szCs w:val="28"/>
          <w:highlight w:val="none"/>
        </w:rPr>
        <w:t>100</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09FE37A0">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对监理人员考核中，每发现一人次记录不及时、不真实，实测记录没有</w:t>
      </w:r>
      <w:r>
        <w:rPr>
          <w:rFonts w:hint="eastAsia" w:ascii="宋体" w:hAnsi="宋体" w:eastAsia="宋体" w:cs="宋体"/>
          <w:color w:val="auto"/>
          <w:sz w:val="28"/>
          <w:szCs w:val="28"/>
          <w:highlight w:val="none"/>
          <w:lang w:val="en-US" w:eastAsia="zh-CN"/>
        </w:rPr>
        <w:t>达到</w:t>
      </w:r>
      <w:r>
        <w:rPr>
          <w:rFonts w:hint="eastAsia" w:ascii="宋体" w:hAnsi="宋体" w:eastAsia="宋体" w:cs="宋体"/>
          <w:color w:val="auto"/>
          <w:sz w:val="28"/>
          <w:szCs w:val="28"/>
          <w:highlight w:val="none"/>
        </w:rPr>
        <w:t>要求，扣监理</w:t>
      </w:r>
      <w:r>
        <w:rPr>
          <w:rFonts w:hint="eastAsia" w:ascii="宋体" w:hAnsi="宋体" w:eastAsia="宋体" w:cs="宋体"/>
          <w:color w:val="auto"/>
          <w:sz w:val="28"/>
          <w:szCs w:val="28"/>
          <w:highlight w:val="none"/>
          <w:lang w:val="en-US" w:eastAsia="zh-CN"/>
        </w:rPr>
        <w:t>违约金5</w:t>
      </w:r>
      <w:r>
        <w:rPr>
          <w:rFonts w:hint="eastAsia" w:ascii="宋体" w:hAnsi="宋体" w:eastAsia="宋体" w:cs="宋体"/>
          <w:color w:val="auto"/>
          <w:sz w:val="28"/>
          <w:szCs w:val="28"/>
          <w:highlight w:val="none"/>
        </w:rPr>
        <w:t>00元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3C2F976A">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9.21</w:t>
      </w:r>
      <w:r>
        <w:rPr>
          <w:rFonts w:hint="eastAsia" w:ascii="宋体" w:hAnsi="宋体" w:eastAsia="宋体" w:cs="宋体"/>
          <w:color w:val="auto"/>
          <w:sz w:val="28"/>
          <w:szCs w:val="28"/>
          <w:highlight w:val="none"/>
        </w:rPr>
        <w:t>除不可抗力因素外，工程施工过程中若出现国家规定的任何一般质量事故或安全事故则每次扣监理费1％；若出现国家规定的任何严重质量事故或安全事故则每次扣监理费</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14:paraId="62B0538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对工程质量通病（缺陷）、安全隐患、不文明施工现象不能有效控制，在下次检查中</w:t>
      </w:r>
      <w:r>
        <w:rPr>
          <w:rFonts w:hint="eastAsia" w:ascii="宋体" w:hAnsi="宋体" w:eastAsia="宋体" w:cs="宋体"/>
          <w:color w:val="auto"/>
          <w:sz w:val="28"/>
          <w:szCs w:val="28"/>
          <w:highlight w:val="none"/>
          <w:lang w:val="en-US" w:eastAsia="zh-CN"/>
        </w:rPr>
        <w:t>仍未采取措施，</w:t>
      </w:r>
      <w:r>
        <w:rPr>
          <w:rFonts w:hint="eastAsia" w:ascii="宋体" w:hAnsi="宋体" w:eastAsia="宋体" w:cs="宋体"/>
          <w:color w:val="auto"/>
          <w:sz w:val="28"/>
          <w:szCs w:val="28"/>
          <w:highlight w:val="none"/>
        </w:rPr>
        <w:t>重复出现时，扣监理</w:t>
      </w:r>
      <w:r>
        <w:rPr>
          <w:rFonts w:hint="eastAsia" w:ascii="宋体" w:hAnsi="宋体" w:eastAsia="宋体" w:cs="宋体"/>
          <w:color w:val="auto"/>
          <w:sz w:val="28"/>
          <w:szCs w:val="28"/>
          <w:highlight w:val="none"/>
          <w:lang w:val="en-US" w:eastAsia="zh-CN"/>
        </w:rPr>
        <w:t>违约金</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00</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eastAsia="zh-CN"/>
        </w:rPr>
        <w:t>。</w:t>
      </w:r>
    </w:p>
    <w:p w14:paraId="0619B445">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因工作失职或不当，造成工期延期或阶段性工期延误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每延误一天扣监理</w:t>
      </w:r>
      <w:r>
        <w:rPr>
          <w:rFonts w:hint="eastAsia" w:ascii="宋体" w:hAnsi="宋体" w:eastAsia="宋体" w:cs="宋体"/>
          <w:color w:val="auto"/>
          <w:sz w:val="28"/>
          <w:szCs w:val="28"/>
          <w:highlight w:val="none"/>
          <w:lang w:val="en-US" w:eastAsia="zh-CN"/>
        </w:rPr>
        <w:t>违约金</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00元，最高扣</w:t>
      </w:r>
      <w:r>
        <w:rPr>
          <w:rFonts w:hint="eastAsia" w:ascii="宋体" w:hAnsi="宋体" w:eastAsia="宋体" w:cs="宋体"/>
          <w:color w:val="auto"/>
          <w:sz w:val="28"/>
          <w:szCs w:val="28"/>
          <w:highlight w:val="none"/>
          <w:lang w:val="en-US" w:eastAsia="zh-CN"/>
        </w:rPr>
        <w:t>违约金不超过</w:t>
      </w:r>
      <w:r>
        <w:rPr>
          <w:rFonts w:hint="eastAsia" w:ascii="宋体" w:hAnsi="宋体" w:eastAsia="宋体" w:cs="宋体"/>
          <w:color w:val="auto"/>
          <w:sz w:val="28"/>
          <w:szCs w:val="28"/>
          <w:highlight w:val="none"/>
        </w:rPr>
        <w:t>当月监理费用的20%，视工期挽回程度，</w:t>
      </w:r>
      <w:r>
        <w:rPr>
          <w:rFonts w:hint="eastAsia" w:ascii="宋体" w:hAnsi="宋体" w:eastAsia="宋体" w:cs="宋体"/>
          <w:color w:val="auto"/>
          <w:sz w:val="28"/>
          <w:szCs w:val="28"/>
          <w:highlight w:val="none"/>
          <w:lang w:val="en-US" w:eastAsia="zh-CN"/>
        </w:rPr>
        <w:t>将扣除金额</w:t>
      </w:r>
      <w:r>
        <w:rPr>
          <w:rFonts w:hint="eastAsia" w:ascii="宋体" w:hAnsi="宋体" w:eastAsia="宋体" w:cs="宋体"/>
          <w:color w:val="auto"/>
          <w:sz w:val="28"/>
          <w:szCs w:val="28"/>
          <w:highlight w:val="none"/>
        </w:rPr>
        <w:t>部分或全额返还；若造成关键节点工期（以总包施工合同界定为准）延误，扣除费用不予返还，且甲方有权随时无条件终止合同，并保留按法律和合同规定进行索赔的权利</w:t>
      </w:r>
      <w:r>
        <w:rPr>
          <w:rFonts w:hint="eastAsia" w:ascii="宋体" w:hAnsi="宋体" w:eastAsia="宋体" w:cs="宋体"/>
          <w:color w:val="auto"/>
          <w:sz w:val="28"/>
          <w:szCs w:val="28"/>
          <w:highlight w:val="none"/>
          <w:lang w:eastAsia="zh-CN"/>
        </w:rPr>
        <w:t>。</w:t>
      </w:r>
    </w:p>
    <w:p w14:paraId="3660FDE8">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现场安全、文明施工存在问题接到上级主管部门及甲方通知</w:t>
      </w:r>
      <w:r>
        <w:rPr>
          <w:rFonts w:hint="eastAsia" w:ascii="宋体" w:hAnsi="宋体" w:eastAsia="宋体" w:cs="宋体"/>
          <w:color w:val="auto"/>
          <w:sz w:val="28"/>
          <w:szCs w:val="28"/>
          <w:highlight w:val="none"/>
          <w:lang w:val="en-US" w:eastAsia="zh-CN"/>
        </w:rPr>
        <w:t>未督促施工方</w:t>
      </w:r>
      <w:r>
        <w:rPr>
          <w:rFonts w:hint="eastAsia" w:ascii="宋体" w:hAnsi="宋体" w:eastAsia="宋体" w:cs="宋体"/>
          <w:color w:val="auto"/>
          <w:sz w:val="28"/>
          <w:szCs w:val="28"/>
          <w:highlight w:val="none"/>
        </w:rPr>
        <w:t>及时整改的，扣除乙方当月监理费用的10%</w:t>
      </w:r>
      <w:r>
        <w:rPr>
          <w:rFonts w:hint="eastAsia" w:ascii="宋体" w:hAnsi="宋体" w:eastAsia="宋体" w:cs="宋体"/>
          <w:color w:val="auto"/>
          <w:sz w:val="28"/>
          <w:szCs w:val="28"/>
          <w:highlight w:val="none"/>
          <w:lang w:val="en-US" w:eastAsia="zh-CN"/>
        </w:rPr>
        <w:t>作为违约金</w:t>
      </w:r>
      <w:r>
        <w:rPr>
          <w:rFonts w:hint="eastAsia" w:ascii="宋体" w:hAnsi="宋体" w:eastAsia="宋体" w:cs="宋体"/>
          <w:color w:val="auto"/>
          <w:sz w:val="28"/>
          <w:szCs w:val="28"/>
          <w:highlight w:val="none"/>
        </w:rPr>
        <w:t>，视整改情况</w:t>
      </w:r>
      <w:r>
        <w:rPr>
          <w:rFonts w:hint="eastAsia" w:ascii="宋体" w:hAnsi="宋体" w:eastAsia="宋体" w:cs="宋体"/>
          <w:color w:val="auto"/>
          <w:sz w:val="28"/>
          <w:szCs w:val="28"/>
          <w:highlight w:val="none"/>
          <w:lang w:val="en-US" w:eastAsia="zh-CN"/>
        </w:rPr>
        <w:t>将扣除金额</w:t>
      </w:r>
      <w:r>
        <w:rPr>
          <w:rFonts w:hint="eastAsia" w:ascii="宋体" w:hAnsi="宋体" w:eastAsia="宋体" w:cs="宋体"/>
          <w:color w:val="auto"/>
          <w:sz w:val="28"/>
          <w:szCs w:val="28"/>
          <w:highlight w:val="none"/>
        </w:rPr>
        <w:t>部分或全额返还；连续三个月或以上</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因此被扣</w:t>
      </w:r>
      <w:r>
        <w:rPr>
          <w:rFonts w:hint="eastAsia" w:ascii="宋体" w:hAnsi="宋体" w:eastAsia="宋体" w:cs="宋体"/>
          <w:color w:val="auto"/>
          <w:sz w:val="28"/>
          <w:szCs w:val="28"/>
          <w:highlight w:val="none"/>
          <w:lang w:val="en-US" w:eastAsia="zh-CN"/>
        </w:rPr>
        <w:t>违约金</w:t>
      </w:r>
      <w:r>
        <w:rPr>
          <w:rFonts w:hint="eastAsia" w:ascii="宋体" w:hAnsi="宋体" w:eastAsia="宋体" w:cs="宋体"/>
          <w:color w:val="auto"/>
          <w:sz w:val="28"/>
          <w:szCs w:val="28"/>
          <w:highlight w:val="none"/>
        </w:rPr>
        <w:t>的，自第三个月起，扣除的监理费用不予返还；现场安全、文明施工存在问题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监理未采取措施而</w:t>
      </w:r>
      <w:r>
        <w:rPr>
          <w:rFonts w:hint="eastAsia" w:ascii="宋体" w:hAnsi="宋体" w:eastAsia="宋体" w:cs="宋体"/>
          <w:color w:val="auto"/>
          <w:sz w:val="28"/>
          <w:szCs w:val="28"/>
          <w:highlight w:val="none"/>
        </w:rPr>
        <w:t>接到上级主管部门（质监、安检</w:t>
      </w:r>
      <w:r>
        <w:rPr>
          <w:rFonts w:hint="eastAsia" w:ascii="宋体" w:hAnsi="宋体" w:cs="宋体"/>
          <w:color w:val="auto"/>
          <w:sz w:val="28"/>
          <w:szCs w:val="28"/>
          <w:highlight w:val="none"/>
          <w:lang w:eastAsia="zh-CN"/>
        </w:rPr>
        <w:t>、环保等</w:t>
      </w:r>
      <w:r>
        <w:rPr>
          <w:rFonts w:hint="eastAsia" w:ascii="宋体" w:hAnsi="宋体" w:eastAsia="宋体" w:cs="宋体"/>
          <w:color w:val="auto"/>
          <w:sz w:val="28"/>
          <w:szCs w:val="28"/>
          <w:highlight w:val="none"/>
        </w:rPr>
        <w:t>）下发停工令的，扣除监理费用的</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作为违约金</w:t>
      </w:r>
      <w:r>
        <w:rPr>
          <w:rFonts w:hint="eastAsia" w:ascii="宋体" w:hAnsi="宋体" w:eastAsia="宋体" w:cs="宋体"/>
          <w:color w:val="auto"/>
          <w:sz w:val="28"/>
          <w:szCs w:val="28"/>
          <w:highlight w:val="none"/>
        </w:rPr>
        <w:t>；若发生以上两种情况甲方有权随时无条件终止合同，并保留按法律和合同规定进行索赔的权利</w:t>
      </w:r>
      <w:r>
        <w:rPr>
          <w:rFonts w:hint="eastAsia" w:ascii="宋体" w:hAnsi="宋体" w:eastAsia="宋体" w:cs="宋体"/>
          <w:color w:val="auto"/>
          <w:sz w:val="28"/>
          <w:szCs w:val="28"/>
          <w:highlight w:val="none"/>
          <w:lang w:eastAsia="zh-CN"/>
        </w:rPr>
        <w:t>。</w:t>
      </w:r>
    </w:p>
    <w:p w14:paraId="09A6745E">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因监理人原因造成不能按期竣工的，监理报酬不增加，同时应承担相应的损失，每延期一天，承担总酬金</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违约金</w:t>
      </w:r>
      <w:r>
        <w:rPr>
          <w:rFonts w:hint="eastAsia" w:ascii="宋体" w:hAnsi="宋体" w:eastAsia="宋体" w:cs="宋体"/>
          <w:color w:val="auto"/>
          <w:sz w:val="28"/>
          <w:szCs w:val="28"/>
          <w:highlight w:val="none"/>
        </w:rPr>
        <w:t xml:space="preserve">。  </w:t>
      </w:r>
    </w:p>
    <w:p w14:paraId="6AB976F2">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9.26乙方需要取得委托人批准才能行使的职权：停工权、签证权、支付工程款的权力、违约罚款权、主体结构和隐蔽工程验收权、主要材料设备确认权。  </w:t>
      </w:r>
    </w:p>
    <w:p w14:paraId="064EFE37">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9.27监理项目机构进驻现场后1个月内，经委托人检查发现所派现场的监理人员不能满足工程要求，须调换的，监理人应无条件及时调换。若委托人在此期限内认为监理人员未尽到监理责任或不能胜任此工程的，可有权将该监理人员清退出场，所发生的监理费用也不计取。   </w:t>
      </w:r>
    </w:p>
    <w:p w14:paraId="6A2DEAFD">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9.28为确保项目监理队伍的连续和稳定，该项目监理机构的组成人员经委托人书面确认后至该项目竣工验收结束，未经委托人同意，监理机构其主要组成人员的调整总人数不得超过三人，否则，扣除监理报酬总额的10%作为违约金。  </w:t>
      </w:r>
    </w:p>
    <w:p w14:paraId="5E25A495">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9.29监理组成人员不准接受施工单位的宴请和变相消费，不得利用工作岗位权利之便假公济私、收受贿赂，严禁向施工单位拿、卡、要的行为发生，如发现有上述行为，每人次扣违约金10000元，每次递增10000元，累计超过三人次，扣除监理报酬总额的3%作为违约金，并将此类人员清除出场。  </w:t>
      </w:r>
    </w:p>
    <w:p w14:paraId="3218174C">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9.30监理人员如有擅自越权行为，第一次扣监理人违约金1000元，第二次扣监理人违约金2000元，第三次扣监理人违约金5000元，同时委托人有权要求更换项目总监。自第三次以后监理人仍存在以上违约情况，委托人有权解除合同，且要求监理人承担由此给委托人造成的所有损失。  </w:t>
      </w:r>
    </w:p>
    <w:p w14:paraId="627014B5">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9.31在合同履行期间，大气污染</w:t>
      </w:r>
      <w:r>
        <w:rPr>
          <w:rFonts w:hint="eastAsia" w:ascii="宋体" w:hAnsi="宋体" w:eastAsia="宋体" w:cs="宋体"/>
          <w:color w:val="auto"/>
          <w:sz w:val="28"/>
          <w:szCs w:val="28"/>
          <w:highlight w:val="none"/>
        </w:rPr>
        <w:t>防治因监理工作不力的，委托人代表直接下发整改通知书或</w:t>
      </w:r>
      <w:r>
        <w:rPr>
          <w:rFonts w:hint="eastAsia" w:ascii="宋体" w:hAnsi="宋体" w:eastAsia="宋体" w:cs="宋体"/>
          <w:color w:val="auto"/>
          <w:sz w:val="28"/>
          <w:szCs w:val="28"/>
          <w:highlight w:val="none"/>
          <w:lang w:val="en-US" w:eastAsia="zh-CN"/>
        </w:rPr>
        <w:t>违约</w:t>
      </w:r>
      <w:r>
        <w:rPr>
          <w:rFonts w:hint="eastAsia" w:ascii="宋体" w:hAnsi="宋体" w:eastAsia="宋体" w:cs="宋体"/>
          <w:color w:val="auto"/>
          <w:sz w:val="28"/>
          <w:szCs w:val="28"/>
          <w:highlight w:val="none"/>
        </w:rPr>
        <w:t>通知书（</w:t>
      </w:r>
      <w:r>
        <w:rPr>
          <w:rFonts w:hint="eastAsia" w:ascii="宋体" w:hAnsi="宋体" w:eastAsia="宋体" w:cs="宋体"/>
          <w:color w:val="auto"/>
          <w:sz w:val="28"/>
          <w:szCs w:val="28"/>
          <w:highlight w:val="none"/>
          <w:lang w:val="en-US" w:eastAsia="zh-CN"/>
        </w:rPr>
        <w:t>扣除违约</w:t>
      </w:r>
      <w:r>
        <w:rPr>
          <w:rFonts w:hint="eastAsia" w:ascii="宋体" w:hAnsi="宋体" w:eastAsia="宋体" w:cs="宋体"/>
          <w:color w:val="auto"/>
          <w:sz w:val="28"/>
          <w:szCs w:val="28"/>
          <w:highlight w:val="none"/>
        </w:rPr>
        <w:t>金额1000-5000元人民币）</w:t>
      </w:r>
      <w:r>
        <w:rPr>
          <w:rFonts w:hint="eastAsia" w:ascii="宋体" w:hAnsi="宋体" w:eastAsia="宋体" w:cs="宋体"/>
          <w:color w:val="auto"/>
          <w:sz w:val="28"/>
          <w:szCs w:val="28"/>
          <w:highlight w:val="none"/>
          <w:lang w:eastAsia="zh-CN"/>
        </w:rPr>
        <w:t>。</w:t>
      </w:r>
    </w:p>
    <w:p w14:paraId="598F9B30">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9.32 若是监理人员与施工单位串通弄虚作假,签发不实的经济和工期签证,给委托人造成损失。视其情节轻重,扣减监理费用10000元—20000元。</w:t>
      </w:r>
    </w:p>
    <w:p w14:paraId="443AC6BB">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33</w:t>
      </w:r>
      <w:r>
        <w:rPr>
          <w:rFonts w:hint="eastAsia" w:ascii="宋体" w:hAnsi="宋体" w:eastAsia="宋体" w:cs="宋体"/>
          <w:color w:val="auto"/>
          <w:sz w:val="28"/>
          <w:szCs w:val="28"/>
          <w:highlight w:val="none"/>
        </w:rPr>
        <w:t>监理单位</w:t>
      </w:r>
      <w:r>
        <w:rPr>
          <w:rFonts w:hint="eastAsia" w:ascii="宋体" w:hAnsi="宋体" w:eastAsia="宋体" w:cs="宋体"/>
          <w:color w:val="auto"/>
          <w:sz w:val="28"/>
          <w:szCs w:val="28"/>
          <w:highlight w:val="none"/>
          <w:lang w:val="en-US" w:eastAsia="zh-CN"/>
        </w:rPr>
        <w:t>应履行</w:t>
      </w:r>
      <w:r>
        <w:rPr>
          <w:rFonts w:hint="eastAsia" w:ascii="宋体" w:hAnsi="宋体" w:eastAsia="宋体" w:cs="宋体"/>
          <w:color w:val="auto"/>
          <w:sz w:val="28"/>
          <w:szCs w:val="28"/>
          <w:highlight w:val="none"/>
        </w:rPr>
        <w:t>投标文件中做出的相关服务承诺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合同未约定事宜，均按国家相关规定执行。</w:t>
      </w:r>
    </w:p>
    <w:p w14:paraId="4A868AD1">
      <w:pPr>
        <w:kinsoku/>
        <w:wordWrap/>
        <w:overflowPunct/>
        <w:topLinePunct w:val="0"/>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9.34 因监理工作不尽职、规范管控不严格，对工程质量、施工进度、成本控制、安全管理、环社影响等方面管理置若罔闻，造成工程质量未达到施工合同约定质量标准,工期延误、工程返工，资金浪费、社会舆论等情况，被各级职能部门督办或审查出现问题给政府部门和业主造成不良后果的，扣除监理报酬总额的10%-30%作为违约金。  </w:t>
      </w:r>
    </w:p>
    <w:p w14:paraId="1CE9B59F">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9.35违约金</w:t>
      </w:r>
      <w:r>
        <w:rPr>
          <w:rFonts w:hint="eastAsia" w:ascii="宋体" w:hAnsi="宋体" w:eastAsia="宋体" w:cs="宋体"/>
          <w:color w:val="auto"/>
          <w:sz w:val="28"/>
          <w:szCs w:val="28"/>
          <w:highlight w:val="none"/>
        </w:rPr>
        <w:t>在结算金额中扣除，上缴</w:t>
      </w:r>
      <w:r>
        <w:rPr>
          <w:rFonts w:hint="eastAsia" w:ascii="宋体" w:hAnsi="宋体" w:eastAsia="宋体" w:cs="宋体"/>
          <w:color w:val="auto"/>
          <w:sz w:val="28"/>
          <w:szCs w:val="28"/>
          <w:highlight w:val="none"/>
          <w:lang w:val="en-US" w:eastAsia="zh-CN"/>
        </w:rPr>
        <w:t>延津县</w:t>
      </w:r>
      <w:r>
        <w:rPr>
          <w:rFonts w:hint="eastAsia" w:ascii="宋体" w:hAnsi="宋体" w:eastAsia="宋体" w:cs="宋体"/>
          <w:color w:val="auto"/>
          <w:sz w:val="28"/>
          <w:szCs w:val="28"/>
          <w:highlight w:val="none"/>
        </w:rPr>
        <w:t>财政</w:t>
      </w:r>
      <w:r>
        <w:rPr>
          <w:rFonts w:hint="eastAsia" w:ascii="宋体" w:hAnsi="宋体" w:eastAsia="宋体" w:cs="宋体"/>
          <w:color w:val="auto"/>
          <w:sz w:val="28"/>
          <w:szCs w:val="28"/>
          <w:highlight w:val="none"/>
          <w:lang w:eastAsia="zh-CN"/>
        </w:rPr>
        <w:t>。</w:t>
      </w:r>
    </w:p>
    <w:p w14:paraId="48C43532">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黑体" w:hAnsi="黑体" w:eastAsia="黑体" w:cs="黑体"/>
          <w:b w:val="0"/>
          <w:bCs w:val="0"/>
          <w:color w:val="auto"/>
          <w:sz w:val="32"/>
          <w:szCs w:val="32"/>
          <w:highlight w:val="none"/>
        </w:rPr>
        <w:t>总监理工程师岗位职责</w:t>
      </w:r>
    </w:p>
    <w:p w14:paraId="6FD27854">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jc w:val="center"/>
        <w:textAlignment w:val="auto"/>
        <w:rPr>
          <w:rFonts w:hint="eastAsia" w:ascii="宋体" w:hAnsi="宋体" w:eastAsia="宋体" w:cs="宋体"/>
          <w:b/>
          <w:bCs/>
          <w:color w:val="auto"/>
          <w:sz w:val="28"/>
          <w:szCs w:val="28"/>
          <w:highlight w:val="none"/>
        </w:rPr>
      </w:pPr>
    </w:p>
    <w:p w14:paraId="73173047">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一、主持监理部的现场全面工作，领导监理部（组）全体人员对合同实施的全过程进行全面的监督和管理，对监理部（组）各种设施和财物进行管理。监督监理部下属成员的行为。</w:t>
      </w:r>
    </w:p>
    <w:p w14:paraId="0CF31DB6">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二、根据监理工作的需要向承包商签发有关指令、指示，并报业主备案</w:t>
      </w:r>
      <w:r>
        <w:rPr>
          <w:rFonts w:hint="eastAsia" w:ascii="宋体" w:hAnsi="宋体" w:eastAsia="宋体" w:cs="宋体"/>
          <w:color w:val="auto"/>
          <w:sz w:val="28"/>
          <w:szCs w:val="28"/>
          <w:highlight w:val="none"/>
          <w:lang w:eastAsia="zh-CN"/>
        </w:rPr>
        <w:t>。</w:t>
      </w:r>
    </w:p>
    <w:p w14:paraId="2F5255DF">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三、全面熟悉合同文件，审查设计图纸，对在合同执行过程中发生的问题及时采取解决措施并及时向业主报告</w:t>
      </w:r>
      <w:r>
        <w:rPr>
          <w:rFonts w:hint="eastAsia" w:ascii="宋体" w:hAnsi="宋体" w:eastAsia="宋体" w:cs="宋体"/>
          <w:color w:val="auto"/>
          <w:sz w:val="28"/>
          <w:szCs w:val="28"/>
          <w:highlight w:val="none"/>
          <w:lang w:eastAsia="zh-CN"/>
        </w:rPr>
        <w:t>。</w:t>
      </w:r>
    </w:p>
    <w:p w14:paraId="23946FD6">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四、主持审查承包商的总体施工组织计划、方案和开工报告。审签《工程分项开工申请批复单》，按新乡市扬尘治理开复工申请整理填报、审查；监督承包商施工计划的实施，对滞后于计划的工程，督促承包商采取积极有效的措施或调整施工计划予以补救，并及时上报业主</w:t>
      </w:r>
      <w:r>
        <w:rPr>
          <w:rFonts w:hint="eastAsia" w:ascii="宋体" w:hAnsi="宋体" w:eastAsia="宋体" w:cs="宋体"/>
          <w:color w:val="auto"/>
          <w:sz w:val="28"/>
          <w:szCs w:val="28"/>
          <w:highlight w:val="none"/>
          <w:lang w:eastAsia="zh-CN"/>
        </w:rPr>
        <w:t>。</w:t>
      </w:r>
    </w:p>
    <w:p w14:paraId="2C466718">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五、按合同文件严格控制施工质量，组织审批原材料的试验成果报告及各种混合料配合比的试验报告</w:t>
      </w:r>
      <w:r>
        <w:rPr>
          <w:rFonts w:hint="eastAsia" w:ascii="宋体" w:hAnsi="宋体" w:eastAsia="宋体" w:cs="宋体"/>
          <w:color w:val="auto"/>
          <w:sz w:val="28"/>
          <w:szCs w:val="28"/>
          <w:highlight w:val="none"/>
          <w:lang w:eastAsia="zh-CN"/>
        </w:rPr>
        <w:t>。</w:t>
      </w:r>
    </w:p>
    <w:p w14:paraId="1DE92D42">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六、定期及时处理影响质量、进度和安全的各种问题。</w:t>
      </w:r>
    </w:p>
    <w:p w14:paraId="24FA6EFC">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七、组织审签《中间计量单》和支付报表并上报业主，签发工程分项或工序的《中间交工证书》</w:t>
      </w:r>
      <w:r>
        <w:rPr>
          <w:rFonts w:hint="eastAsia" w:ascii="宋体" w:hAnsi="宋体" w:eastAsia="宋体" w:cs="宋体"/>
          <w:color w:val="auto"/>
          <w:sz w:val="28"/>
          <w:szCs w:val="28"/>
          <w:highlight w:val="none"/>
          <w:lang w:eastAsia="zh-CN"/>
        </w:rPr>
        <w:t>。</w:t>
      </w:r>
    </w:p>
    <w:p w14:paraId="328916D5">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八、组织审核承包商工地的机械设备及人员配置情况，审查承包商的质量保证体系及自检人员资格；检查承包商的现场安全保护措施，对存在隐患的施工或操作应指令承包商限期改正</w:t>
      </w:r>
      <w:r>
        <w:rPr>
          <w:rFonts w:hint="eastAsia" w:ascii="宋体" w:hAnsi="宋体" w:eastAsia="宋体" w:cs="宋体"/>
          <w:color w:val="auto"/>
          <w:sz w:val="28"/>
          <w:szCs w:val="28"/>
          <w:highlight w:val="none"/>
          <w:lang w:eastAsia="zh-CN"/>
        </w:rPr>
        <w:t>。</w:t>
      </w:r>
    </w:p>
    <w:p w14:paraId="4B84A9D1">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九、对承包商的延期或费用索赔要求，提出处理意见报业主</w:t>
      </w:r>
      <w:r>
        <w:rPr>
          <w:rFonts w:hint="eastAsia" w:ascii="宋体" w:hAnsi="宋体" w:eastAsia="宋体" w:cs="宋体"/>
          <w:color w:val="auto"/>
          <w:sz w:val="28"/>
          <w:szCs w:val="28"/>
          <w:highlight w:val="none"/>
          <w:lang w:eastAsia="zh-CN"/>
        </w:rPr>
        <w:t>。</w:t>
      </w:r>
    </w:p>
    <w:p w14:paraId="3C952068">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十、主持定期或不定期的工地会议，研究并解决施工中的各种问题</w:t>
      </w:r>
      <w:r>
        <w:rPr>
          <w:rFonts w:hint="eastAsia" w:ascii="宋体" w:hAnsi="宋体" w:eastAsia="宋体" w:cs="宋体"/>
          <w:color w:val="auto"/>
          <w:sz w:val="28"/>
          <w:szCs w:val="28"/>
          <w:highlight w:val="none"/>
          <w:lang w:eastAsia="zh-CN"/>
        </w:rPr>
        <w:t>。</w:t>
      </w:r>
    </w:p>
    <w:p w14:paraId="03E95E27">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十一、主持并审批报送业主的各种报表、工作报告</w:t>
      </w:r>
      <w:r>
        <w:rPr>
          <w:rFonts w:hint="eastAsia" w:ascii="宋体" w:hAnsi="宋体" w:eastAsia="宋体" w:cs="宋体"/>
          <w:color w:val="auto"/>
          <w:sz w:val="28"/>
          <w:szCs w:val="28"/>
          <w:highlight w:val="none"/>
          <w:lang w:eastAsia="zh-CN"/>
        </w:rPr>
        <w:t>。</w:t>
      </w:r>
    </w:p>
    <w:p w14:paraId="662A7833">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十二、审查承包商提交的工程竣工验收资料，主持编制监理工作总结报告</w:t>
      </w:r>
      <w:r>
        <w:rPr>
          <w:rFonts w:hint="eastAsia" w:ascii="宋体" w:hAnsi="宋体" w:eastAsia="宋体" w:cs="宋体"/>
          <w:color w:val="auto"/>
          <w:sz w:val="28"/>
          <w:szCs w:val="28"/>
          <w:highlight w:val="none"/>
          <w:lang w:eastAsia="zh-CN"/>
        </w:rPr>
        <w:t>。</w:t>
      </w:r>
    </w:p>
    <w:p w14:paraId="0FB563F6">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十三、完成监理公司交办的其它工作</w:t>
      </w:r>
      <w:r>
        <w:rPr>
          <w:rFonts w:hint="eastAsia" w:ascii="宋体" w:hAnsi="宋体" w:eastAsia="宋体" w:cs="宋体"/>
          <w:color w:val="auto"/>
          <w:sz w:val="28"/>
          <w:szCs w:val="28"/>
          <w:highlight w:val="none"/>
          <w:lang w:eastAsia="zh-CN"/>
        </w:rPr>
        <w:t>。</w:t>
      </w:r>
    </w:p>
    <w:p w14:paraId="725DF1B1">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十四、本职位职责系本合同的一部分，具有同等的法律效力。如有违反，按本合同约定承担相应的违约或赔偿责任。</w:t>
      </w:r>
    </w:p>
    <w:p w14:paraId="680E24CC">
      <w:pPr>
        <w:kinsoku/>
        <w:overflowPunct/>
        <w:bidi w:val="0"/>
        <w:adjustRightInd/>
        <w:snapToGrid/>
        <w:spacing w:line="500" w:lineRule="exact"/>
        <w:ind w:left="0" w:leftChars="0" w:right="0"/>
        <w:rPr>
          <w:rFonts w:hint="eastAsia" w:ascii="宋体" w:hAnsi="宋体" w:eastAsia="宋体" w:cs="宋体"/>
          <w:b/>
          <w:color w:val="auto"/>
          <w:sz w:val="28"/>
          <w:szCs w:val="28"/>
          <w:highlight w:val="none"/>
        </w:rPr>
      </w:pPr>
    </w:p>
    <w:p w14:paraId="3463C514">
      <w:pPr>
        <w:kinsoku/>
        <w:overflowPunct/>
        <w:bidi w:val="0"/>
        <w:adjustRightInd/>
        <w:snapToGrid/>
        <w:spacing w:line="500" w:lineRule="exact"/>
        <w:ind w:left="0" w:leftChars="0" w:right="0"/>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项目总监服务承诺书</w:t>
      </w:r>
    </w:p>
    <w:p w14:paraId="112E52CF">
      <w:pPr>
        <w:kinsoku/>
        <w:overflowPunct/>
        <w:bidi w:val="0"/>
        <w:adjustRightInd/>
        <w:snapToGrid/>
        <w:spacing w:line="500" w:lineRule="exact"/>
        <w:ind w:left="0" w:leftChars="0" w:right="0" w:firstLine="280" w:firstLineChars="100"/>
        <w:rPr>
          <w:rFonts w:hint="eastAsia" w:ascii="宋体" w:hAnsi="宋体" w:eastAsia="宋体" w:cs="宋体"/>
          <w:color w:val="auto"/>
          <w:sz w:val="28"/>
          <w:szCs w:val="28"/>
          <w:highlight w:val="none"/>
        </w:rPr>
      </w:pPr>
    </w:p>
    <w:p w14:paraId="65A0DEBD">
      <w:pPr>
        <w:kinsoku/>
        <w:overflowPunct/>
        <w:bidi w:val="0"/>
        <w:adjustRightInd/>
        <w:snapToGrid/>
        <w:spacing w:line="500" w:lineRule="exact"/>
        <w:ind w:left="0" w:leftChars="0" w:right="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延津县先进制造业开发区管理委员会</w:t>
      </w:r>
      <w:r>
        <w:rPr>
          <w:rFonts w:hint="eastAsia" w:ascii="宋体" w:hAnsi="宋体" w:eastAsia="宋体" w:cs="宋体"/>
          <w:color w:val="auto"/>
          <w:sz w:val="28"/>
          <w:szCs w:val="28"/>
          <w:highlight w:val="none"/>
          <w:u w:val="single"/>
        </w:rPr>
        <w:t xml:space="preserve"> </w:t>
      </w:r>
    </w:p>
    <w:p w14:paraId="50967FED">
      <w:pPr>
        <w:kinsoku/>
        <w:overflowPunct/>
        <w:bidi w:val="0"/>
        <w:adjustRightInd/>
        <w:snapToGrid/>
        <w:spacing w:line="500" w:lineRule="exact"/>
        <w:ind w:left="0" w:leftChars="0" w:right="0"/>
        <w:rPr>
          <w:rFonts w:hint="eastAsia" w:ascii="宋体" w:hAnsi="宋体" w:eastAsia="宋体" w:cs="宋体"/>
          <w:color w:val="auto"/>
          <w:sz w:val="28"/>
          <w:szCs w:val="28"/>
          <w:highlight w:val="none"/>
          <w:u w:val="single"/>
        </w:rPr>
      </w:pPr>
    </w:p>
    <w:p w14:paraId="4B9CA7DB">
      <w:pPr>
        <w:kinsoku/>
        <w:overflowPunct/>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我单位郑重承诺：</w:t>
      </w:r>
    </w:p>
    <w:p w14:paraId="60549A5F">
      <w:pPr>
        <w:kinsoku/>
        <w:overflowPunct/>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我公司拟派项目总监理工程师具有市政公用工程专业国家注册监理工程师执业资格证书。</w:t>
      </w:r>
    </w:p>
    <w:p w14:paraId="5DAED4BC">
      <w:pPr>
        <w:kinsoku/>
        <w:overflowPunct/>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我公司拟派项目总监具有丰富的类似工程监理经验，身体健康，作风良好，能有效管理工程项目。</w:t>
      </w:r>
    </w:p>
    <w:p w14:paraId="210549FF">
      <w:pPr>
        <w:kinsoku/>
        <w:overflowPunct/>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拟派项目总监在公司的统一协调管理下，组织相关监理人员进驻施工现场进行现场管理，项目总监每周驻工地时间不少于5个工作日。</w:t>
      </w:r>
    </w:p>
    <w:p w14:paraId="3D86ECFE">
      <w:pPr>
        <w:kinsoku/>
        <w:overflowPunct/>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项目总监认真编制监理方案，方案中明确质量要求和标准。认真审查施工单位的质量保证技术措施，在施工的过程对施工质量进行严格监督检查。</w:t>
      </w:r>
    </w:p>
    <w:p w14:paraId="3DBCE0F0">
      <w:pPr>
        <w:kinsoku/>
        <w:overflowPunct/>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项目总监严格依照法律、法规及有关技术标准、经施工图审查机构审查合格并加盖了专用章的设计文件和监理合同约定对施工质量实施监理，承担质量监理责任。并协助业主组织好图纸会审与竣工验收和资料归档等工作。</w:t>
      </w:r>
    </w:p>
    <w:p w14:paraId="2B51428F">
      <w:pPr>
        <w:kinsoku/>
        <w:overflowPunct/>
        <w:bidi w:val="0"/>
        <w:adjustRightInd/>
        <w:snapToGrid/>
        <w:spacing w:line="500" w:lineRule="exact"/>
        <w:ind w:left="0" w:leftChars="0" w:right="0" w:firstLine="560" w:firstLineChars="200"/>
        <w:rPr>
          <w:rFonts w:hint="eastAsia" w:ascii="宋体" w:hAnsi="宋体" w:eastAsia="宋体" w:cs="宋体"/>
          <w:color w:val="auto"/>
          <w:sz w:val="28"/>
          <w:szCs w:val="28"/>
          <w:highlight w:val="none"/>
        </w:rPr>
      </w:pPr>
    </w:p>
    <w:p w14:paraId="392BEE55">
      <w:pPr>
        <w:kinsoku/>
        <w:overflowPunct/>
        <w:bidi w:val="0"/>
        <w:adjustRightInd/>
        <w:snapToGrid/>
        <w:spacing w:line="500" w:lineRule="exact"/>
        <w:ind w:left="0" w:leftChars="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p>
    <w:p w14:paraId="6875D426">
      <w:pPr>
        <w:kinsoku/>
        <w:overflowPunct/>
        <w:bidi w:val="0"/>
        <w:adjustRightInd/>
        <w:snapToGrid/>
        <w:spacing w:line="500" w:lineRule="exact"/>
        <w:ind w:left="0" w:leftChars="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E7BC4B8">
      <w:pPr>
        <w:kinsoku/>
        <w:overflowPunct/>
        <w:bidi w:val="0"/>
        <w:adjustRightInd/>
        <w:snapToGrid/>
        <w:spacing w:line="500" w:lineRule="exact"/>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监理人：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76C3278D">
      <w:pPr>
        <w:kinsoku/>
        <w:overflowPunct/>
        <w:bidi w:val="0"/>
        <w:adjustRightInd/>
        <w:snapToGrid/>
        <w:spacing w:line="500" w:lineRule="exact"/>
        <w:ind w:right="0" w:firstLine="4760" w:firstLineChars="17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9976B6D">
      <w:pPr>
        <w:keepNext w:val="0"/>
        <w:keepLines w:val="0"/>
        <w:pageBreakBefore/>
        <w:widowControl w:val="0"/>
        <w:kinsoku/>
        <w:wordWrap/>
        <w:overflowPunct/>
        <w:topLinePunct w:val="0"/>
        <w:autoSpaceDE/>
        <w:autoSpaceDN/>
        <w:bidi w:val="0"/>
        <w:adjustRightInd/>
        <w:snapToGrid/>
        <w:spacing w:line="580" w:lineRule="exact"/>
        <w:ind w:right="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 xml:space="preserve">  </w:t>
      </w:r>
      <w:r>
        <w:rPr>
          <w:rFonts w:hint="eastAsia" w:ascii="黑体" w:hAnsi="黑体" w:eastAsia="黑体" w:cs="黑体"/>
          <w:b w:val="0"/>
          <w:bCs w:val="0"/>
          <w:color w:val="auto"/>
          <w:sz w:val="32"/>
          <w:szCs w:val="32"/>
          <w:highlight w:val="none"/>
          <w:lang w:val="en-US" w:eastAsia="zh-CN"/>
        </w:rPr>
        <w:t>监理人主要管理人员</w:t>
      </w:r>
    </w:p>
    <w:tbl>
      <w:tblPr>
        <w:tblStyle w:val="10"/>
        <w:tblW w:w="91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60"/>
        <w:gridCol w:w="1202"/>
        <w:gridCol w:w="150"/>
        <w:gridCol w:w="1411"/>
        <w:gridCol w:w="1548"/>
        <w:gridCol w:w="3135"/>
      </w:tblGrid>
      <w:tr w14:paraId="19616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12" w:space="0"/>
              <w:bottom w:val="double" w:color="auto" w:sz="6" w:space="0"/>
            </w:tcBorders>
            <w:noWrap w:val="0"/>
            <w:vAlign w:val="center"/>
          </w:tcPr>
          <w:p w14:paraId="48C6021B">
            <w:pPr>
              <w:keepNext/>
              <w:keepLines w:val="0"/>
              <w:pageBreakBefore w:val="0"/>
              <w:widowControl w:val="0"/>
              <w:kinsoku/>
              <w:wordWrap w:val="0"/>
              <w:overflowPunct/>
              <w:topLinePunct/>
              <w:autoSpaceDE/>
              <w:autoSpaceDN/>
              <w:bidi w:val="0"/>
              <w:adjustRightInd/>
              <w:snapToGrid/>
              <w:spacing w:line="380" w:lineRule="exact"/>
              <w:ind w:left="0" w:leftChars="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352" w:type="dxa"/>
            <w:gridSpan w:val="2"/>
            <w:tcBorders>
              <w:top w:val="single" w:color="auto" w:sz="12" w:space="0"/>
              <w:bottom w:val="double" w:color="auto" w:sz="6" w:space="0"/>
            </w:tcBorders>
            <w:noWrap w:val="0"/>
            <w:vAlign w:val="center"/>
          </w:tcPr>
          <w:p w14:paraId="00467B1A">
            <w:pPr>
              <w:keepNext/>
              <w:keepLines w:val="0"/>
              <w:pageBreakBefore w:val="0"/>
              <w:widowControl w:val="0"/>
              <w:kinsoku/>
              <w:wordWrap w:val="0"/>
              <w:overflowPunct/>
              <w:topLinePunct/>
              <w:autoSpaceDE/>
              <w:autoSpaceDN/>
              <w:bidi w:val="0"/>
              <w:adjustRightInd/>
              <w:snapToGrid/>
              <w:spacing w:line="380" w:lineRule="exact"/>
              <w:ind w:left="0" w:leftChars="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411" w:type="dxa"/>
            <w:tcBorders>
              <w:top w:val="single" w:color="auto" w:sz="12" w:space="0"/>
              <w:bottom w:val="double" w:color="auto" w:sz="6" w:space="0"/>
            </w:tcBorders>
            <w:noWrap w:val="0"/>
            <w:vAlign w:val="center"/>
          </w:tcPr>
          <w:p w14:paraId="65823D2C">
            <w:pPr>
              <w:keepNext/>
              <w:keepLines w:val="0"/>
              <w:pageBreakBefore w:val="0"/>
              <w:widowControl w:val="0"/>
              <w:kinsoku/>
              <w:wordWrap w:val="0"/>
              <w:overflowPunct/>
              <w:topLinePunct/>
              <w:autoSpaceDE/>
              <w:autoSpaceDN/>
              <w:bidi w:val="0"/>
              <w:adjustRightInd/>
              <w:snapToGrid/>
              <w:spacing w:line="380" w:lineRule="exact"/>
              <w:ind w:left="0" w:leftChars="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1548" w:type="dxa"/>
            <w:tcBorders>
              <w:top w:val="single" w:color="auto" w:sz="12" w:space="0"/>
              <w:bottom w:val="double" w:color="auto" w:sz="6" w:space="0"/>
            </w:tcBorders>
            <w:noWrap w:val="0"/>
            <w:vAlign w:val="center"/>
          </w:tcPr>
          <w:p w14:paraId="210F4E21">
            <w:pPr>
              <w:keepNext/>
              <w:keepLines w:val="0"/>
              <w:pageBreakBefore w:val="0"/>
              <w:widowControl w:val="0"/>
              <w:kinsoku/>
              <w:wordWrap w:val="0"/>
              <w:overflowPunct/>
              <w:topLinePunct/>
              <w:autoSpaceDE/>
              <w:autoSpaceDN/>
              <w:bidi w:val="0"/>
              <w:adjustRightInd/>
              <w:snapToGrid/>
              <w:spacing w:line="380" w:lineRule="exact"/>
              <w:ind w:left="0" w:leftChars="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3135" w:type="dxa"/>
            <w:tcBorders>
              <w:top w:val="single" w:color="auto" w:sz="12" w:space="0"/>
              <w:bottom w:val="double" w:color="auto" w:sz="6" w:space="0"/>
            </w:tcBorders>
            <w:noWrap w:val="0"/>
            <w:vAlign w:val="center"/>
          </w:tcPr>
          <w:p w14:paraId="408D793F">
            <w:pPr>
              <w:keepNext/>
              <w:keepLines w:val="0"/>
              <w:pageBreakBefore w:val="0"/>
              <w:widowControl w:val="0"/>
              <w:kinsoku/>
              <w:wordWrap w:val="0"/>
              <w:overflowPunct/>
              <w:topLinePunct/>
              <w:autoSpaceDE/>
              <w:autoSpaceDN/>
              <w:bidi w:val="0"/>
              <w:adjustRightInd/>
              <w:snapToGrid/>
              <w:spacing w:line="380" w:lineRule="exact"/>
              <w:ind w:left="0" w:leftChars="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主要资历、经验及承担过的项目</w:t>
            </w:r>
          </w:p>
        </w:tc>
      </w:tr>
      <w:tr w14:paraId="63534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06" w:type="dxa"/>
            <w:gridSpan w:val="6"/>
            <w:tcBorders>
              <w:top w:val="double" w:color="auto" w:sz="6" w:space="0"/>
              <w:bottom w:val="single" w:color="auto" w:sz="6" w:space="0"/>
            </w:tcBorders>
            <w:noWrap w:val="0"/>
            <w:vAlign w:val="center"/>
          </w:tcPr>
          <w:p w14:paraId="448B665B">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14:paraId="38F41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nil"/>
              <w:bottom w:val="nil"/>
            </w:tcBorders>
            <w:noWrap w:val="0"/>
            <w:vAlign w:val="center"/>
          </w:tcPr>
          <w:p w14:paraId="07AB0A99">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总监理工程师</w:t>
            </w:r>
          </w:p>
        </w:tc>
        <w:tc>
          <w:tcPr>
            <w:tcW w:w="1202" w:type="dxa"/>
            <w:tcBorders>
              <w:top w:val="nil"/>
            </w:tcBorders>
            <w:noWrap w:val="0"/>
            <w:vAlign w:val="center"/>
          </w:tcPr>
          <w:p w14:paraId="34A4279C">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tcBorders>
              <w:top w:val="nil"/>
            </w:tcBorders>
            <w:noWrap w:val="0"/>
            <w:vAlign w:val="center"/>
          </w:tcPr>
          <w:p w14:paraId="544799E5">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tcBorders>
              <w:top w:val="nil"/>
            </w:tcBorders>
            <w:noWrap w:val="0"/>
            <w:vAlign w:val="center"/>
          </w:tcPr>
          <w:p w14:paraId="0950E5B5">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3135" w:type="dxa"/>
            <w:tcBorders>
              <w:top w:val="nil"/>
            </w:tcBorders>
            <w:noWrap w:val="0"/>
            <w:vAlign w:val="center"/>
          </w:tcPr>
          <w:p w14:paraId="4BFC83A1">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r>
      <w:tr w14:paraId="4E7A8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1660" w:type="dxa"/>
            <w:vMerge w:val="restart"/>
            <w:tcBorders>
              <w:top w:val="single" w:color="auto" w:sz="6" w:space="0"/>
            </w:tcBorders>
            <w:noWrap w:val="0"/>
            <w:vAlign w:val="center"/>
          </w:tcPr>
          <w:p w14:paraId="74B761CF">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202" w:type="dxa"/>
            <w:noWrap w:val="0"/>
            <w:vAlign w:val="center"/>
          </w:tcPr>
          <w:p w14:paraId="4E713ECA">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1561" w:type="dxa"/>
            <w:gridSpan w:val="2"/>
            <w:noWrap w:val="0"/>
            <w:vAlign w:val="center"/>
          </w:tcPr>
          <w:p w14:paraId="1E4D72DD">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1548" w:type="dxa"/>
            <w:noWrap w:val="0"/>
            <w:vAlign w:val="center"/>
          </w:tcPr>
          <w:p w14:paraId="48F2124C">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226B1424">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09484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1660" w:type="dxa"/>
            <w:vMerge w:val="continue"/>
            <w:tcBorders>
              <w:bottom w:val="nil"/>
            </w:tcBorders>
            <w:noWrap w:val="0"/>
            <w:vAlign w:val="center"/>
          </w:tcPr>
          <w:p w14:paraId="491A0FC3">
            <w:pPr>
              <w:keepNext/>
              <w:kinsoku/>
              <w:wordWrap w:val="0"/>
              <w:overflowPunct/>
              <w:topLinePunct/>
              <w:bidi w:val="0"/>
              <w:adjustRightInd/>
              <w:snapToGrid/>
              <w:spacing w:line="500" w:lineRule="exact"/>
              <w:ind w:left="0" w:leftChars="0" w:right="0" w:firstLine="560" w:firstLineChars="200"/>
              <w:jc w:val="center"/>
              <w:rPr>
                <w:rFonts w:hint="eastAsia" w:ascii="宋体" w:hAnsi="宋体" w:eastAsia="宋体" w:cs="宋体"/>
                <w:color w:val="auto"/>
                <w:sz w:val="28"/>
                <w:szCs w:val="28"/>
                <w:highlight w:val="none"/>
              </w:rPr>
            </w:pPr>
          </w:p>
        </w:tc>
        <w:tc>
          <w:tcPr>
            <w:tcW w:w="1202" w:type="dxa"/>
            <w:noWrap w:val="0"/>
            <w:vAlign w:val="center"/>
          </w:tcPr>
          <w:p w14:paraId="4D4127CF">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1561" w:type="dxa"/>
            <w:gridSpan w:val="2"/>
            <w:noWrap w:val="0"/>
            <w:vAlign w:val="center"/>
          </w:tcPr>
          <w:p w14:paraId="45C416C8">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1548" w:type="dxa"/>
            <w:noWrap w:val="0"/>
            <w:vAlign w:val="center"/>
          </w:tcPr>
          <w:p w14:paraId="194423F2">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7E6C304C">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1193C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06" w:type="dxa"/>
            <w:gridSpan w:val="6"/>
            <w:tcBorders>
              <w:top w:val="single" w:color="auto" w:sz="6" w:space="0"/>
              <w:bottom w:val="single" w:color="auto" w:sz="6" w:space="0"/>
            </w:tcBorders>
            <w:noWrap w:val="0"/>
            <w:vAlign w:val="center"/>
          </w:tcPr>
          <w:p w14:paraId="2945830B">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5992D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70BD965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4260DEC9">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44F5C092">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4D3641D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3135" w:type="dxa"/>
            <w:noWrap w:val="0"/>
            <w:vAlign w:val="center"/>
          </w:tcPr>
          <w:p w14:paraId="33BFEB1C">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b/>
                <w:bCs/>
                <w:color w:val="auto"/>
                <w:sz w:val="28"/>
                <w:szCs w:val="28"/>
                <w:highlight w:val="none"/>
              </w:rPr>
            </w:pPr>
          </w:p>
        </w:tc>
      </w:tr>
      <w:tr w14:paraId="12752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12436649">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6084971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4F439CEA">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7CDBD4C7">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0577707B">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77323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0B9CA747">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313400CD">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18BCB87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503FB6B0">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6422D497">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7D32D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46A38C7D">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2F5DB1CD">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156A39AB">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20D7B3C1">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1B45C41D">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641E7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441930F0">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4865E503">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00A878FB">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6FFABA72">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423CA495">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6941A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69EC1C4E">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6CCA7F18">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2C064F0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68FC64E0">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5F7A2A20">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2D0B8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397E0E8C">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1832474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6E349B3E">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4CF9FC99">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3E3E1A43">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39CB5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302A8366">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3AF599D5">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679E8B01">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1E43B1ED">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22D57AE3">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2FD3E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4C23BD86">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专监</w:t>
            </w:r>
          </w:p>
        </w:tc>
        <w:tc>
          <w:tcPr>
            <w:tcW w:w="1202" w:type="dxa"/>
            <w:noWrap w:val="0"/>
            <w:vAlign w:val="center"/>
          </w:tcPr>
          <w:p w14:paraId="64F4AFDD">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27518307">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6A785591">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39D28E22">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400F5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6F8E68A0">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造价员</w:t>
            </w:r>
          </w:p>
        </w:tc>
        <w:tc>
          <w:tcPr>
            <w:tcW w:w="1202" w:type="dxa"/>
            <w:noWrap w:val="0"/>
            <w:vAlign w:val="center"/>
          </w:tcPr>
          <w:p w14:paraId="6AE48340">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29C8D1F0">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75F7C42A">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686A5D85">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6E797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60" w:type="dxa"/>
            <w:tcBorders>
              <w:top w:val="single" w:color="auto" w:sz="6" w:space="0"/>
              <w:bottom w:val="single" w:color="auto" w:sz="6" w:space="0"/>
            </w:tcBorders>
            <w:noWrap w:val="0"/>
            <w:vAlign w:val="center"/>
          </w:tcPr>
          <w:p w14:paraId="28AC77F5">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安全员</w:t>
            </w:r>
          </w:p>
        </w:tc>
        <w:tc>
          <w:tcPr>
            <w:tcW w:w="1202" w:type="dxa"/>
            <w:noWrap w:val="0"/>
            <w:vAlign w:val="center"/>
          </w:tcPr>
          <w:p w14:paraId="4EFDFF6B">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3574AA5B">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sz w:val="28"/>
                <w:szCs w:val="28"/>
                <w:highlight w:val="none"/>
                <w:lang w:val="en-US" w:eastAsia="zh-CN"/>
              </w:rPr>
            </w:pPr>
          </w:p>
        </w:tc>
        <w:tc>
          <w:tcPr>
            <w:tcW w:w="1548" w:type="dxa"/>
            <w:noWrap w:val="0"/>
            <w:vAlign w:val="center"/>
          </w:tcPr>
          <w:p w14:paraId="50A91AFC">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rPr>
            </w:pPr>
          </w:p>
        </w:tc>
        <w:tc>
          <w:tcPr>
            <w:tcW w:w="3135" w:type="dxa"/>
            <w:noWrap w:val="0"/>
            <w:vAlign w:val="center"/>
          </w:tcPr>
          <w:p w14:paraId="1986D6FC">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52104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1660" w:type="dxa"/>
            <w:tcBorders>
              <w:top w:val="single" w:color="auto" w:sz="6" w:space="0"/>
              <w:bottom w:val="single" w:color="auto" w:sz="6" w:space="0"/>
            </w:tcBorders>
            <w:noWrap w:val="0"/>
            <w:vAlign w:val="center"/>
          </w:tcPr>
          <w:p w14:paraId="4D446D59">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见证员</w:t>
            </w:r>
          </w:p>
        </w:tc>
        <w:tc>
          <w:tcPr>
            <w:tcW w:w="1202" w:type="dxa"/>
            <w:noWrap w:val="0"/>
            <w:vAlign w:val="center"/>
          </w:tcPr>
          <w:p w14:paraId="1B5E4267">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0C4FE678">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sz w:val="28"/>
                <w:szCs w:val="28"/>
                <w:highlight w:val="none"/>
              </w:rPr>
            </w:pPr>
          </w:p>
        </w:tc>
        <w:tc>
          <w:tcPr>
            <w:tcW w:w="1548" w:type="dxa"/>
            <w:noWrap w:val="0"/>
            <w:vAlign w:val="center"/>
          </w:tcPr>
          <w:p w14:paraId="22C9742D">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3135" w:type="dxa"/>
            <w:noWrap w:val="0"/>
            <w:vAlign w:val="center"/>
          </w:tcPr>
          <w:p w14:paraId="10328C28">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r w14:paraId="56B0A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1660" w:type="dxa"/>
            <w:tcBorders>
              <w:top w:val="single" w:color="auto" w:sz="6" w:space="0"/>
            </w:tcBorders>
            <w:noWrap w:val="0"/>
            <w:vAlign w:val="center"/>
          </w:tcPr>
          <w:p w14:paraId="10B8A31A">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tc>
        <w:tc>
          <w:tcPr>
            <w:tcW w:w="1202" w:type="dxa"/>
            <w:noWrap w:val="0"/>
            <w:vAlign w:val="center"/>
          </w:tcPr>
          <w:p w14:paraId="534F23A6">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1561" w:type="dxa"/>
            <w:gridSpan w:val="2"/>
            <w:noWrap w:val="0"/>
            <w:vAlign w:val="center"/>
          </w:tcPr>
          <w:p w14:paraId="5FB3C217">
            <w:pPr>
              <w:keepNext/>
              <w:kinsoku/>
              <w:wordWrap w:val="0"/>
              <w:overflowPunct/>
              <w:topLinePunct/>
              <w:bidi w:val="0"/>
              <w:adjustRightInd/>
              <w:snapToGrid/>
              <w:spacing w:line="500" w:lineRule="exact"/>
              <w:ind w:left="0" w:leftChars="0" w:right="0" w:rightChars="0"/>
              <w:jc w:val="center"/>
              <w:rPr>
                <w:rFonts w:hint="eastAsia" w:ascii="宋体" w:hAnsi="宋体" w:eastAsia="宋体" w:cs="宋体"/>
                <w:color w:val="auto"/>
                <w:sz w:val="28"/>
                <w:szCs w:val="28"/>
                <w:highlight w:val="none"/>
              </w:rPr>
            </w:pPr>
          </w:p>
        </w:tc>
        <w:tc>
          <w:tcPr>
            <w:tcW w:w="1548" w:type="dxa"/>
            <w:noWrap w:val="0"/>
            <w:vAlign w:val="center"/>
          </w:tcPr>
          <w:p w14:paraId="6328C41A">
            <w:pPr>
              <w:keepNext/>
              <w:kinsoku/>
              <w:wordWrap w:val="0"/>
              <w:overflowPunct/>
              <w:topLinePunct/>
              <w:bidi w:val="0"/>
              <w:adjustRightInd/>
              <w:snapToGrid/>
              <w:spacing w:line="500" w:lineRule="exact"/>
              <w:ind w:left="0" w:leftChars="0" w:right="0"/>
              <w:jc w:val="center"/>
              <w:rPr>
                <w:rFonts w:hint="eastAsia" w:ascii="宋体" w:hAnsi="宋体" w:eastAsia="宋体" w:cs="宋体"/>
                <w:color w:val="auto"/>
                <w:sz w:val="28"/>
                <w:szCs w:val="28"/>
                <w:highlight w:val="none"/>
                <w:lang w:val="en-US" w:eastAsia="zh-CN"/>
              </w:rPr>
            </w:pPr>
          </w:p>
        </w:tc>
        <w:tc>
          <w:tcPr>
            <w:tcW w:w="3135" w:type="dxa"/>
            <w:noWrap w:val="0"/>
            <w:vAlign w:val="center"/>
          </w:tcPr>
          <w:p w14:paraId="62A4243C">
            <w:pPr>
              <w:keepNext/>
              <w:keepLines w:val="0"/>
              <w:pageBreakBefore w:val="0"/>
              <w:widowControl w:val="0"/>
              <w:kinsoku/>
              <w:wordWrap w:val="0"/>
              <w:overflowPunct/>
              <w:topLinePunct/>
              <w:autoSpaceDE/>
              <w:autoSpaceDN/>
              <w:bidi w:val="0"/>
              <w:adjustRightInd/>
              <w:snapToGrid/>
              <w:spacing w:line="500" w:lineRule="exact"/>
              <w:ind w:left="0" w:leftChars="0" w:right="0" w:firstLine="0" w:firstLineChars="0"/>
              <w:jc w:val="center"/>
              <w:textAlignment w:val="auto"/>
              <w:rPr>
                <w:rFonts w:hint="eastAsia" w:ascii="宋体" w:hAnsi="宋体" w:eastAsia="宋体" w:cs="宋体"/>
                <w:color w:val="auto"/>
                <w:sz w:val="28"/>
                <w:szCs w:val="28"/>
                <w:highlight w:val="none"/>
              </w:rPr>
            </w:pPr>
          </w:p>
        </w:tc>
      </w:tr>
    </w:tbl>
    <w:p w14:paraId="08E71AC5">
      <w:pPr>
        <w:widowControl w:val="0"/>
        <w:kinsoku/>
        <w:overflowPunct/>
        <w:autoSpaceDE w:val="0"/>
        <w:autoSpaceDN w:val="0"/>
        <w:bidi w:val="0"/>
        <w:adjustRightInd/>
        <w:snapToGrid/>
        <w:spacing w:line="500" w:lineRule="exact"/>
        <w:ind w:left="0" w:leftChars="0" w:right="0"/>
        <w:jc w:val="both"/>
        <w:rPr>
          <w:rFonts w:hint="eastAsia" w:ascii="宋体" w:hAnsi="宋体" w:eastAsia="宋体" w:cs="宋体"/>
          <w:b w:val="0"/>
          <w:bCs w:val="0"/>
          <w:color w:val="auto"/>
          <w:kern w:val="0"/>
          <w:sz w:val="28"/>
          <w:szCs w:val="28"/>
          <w:highlight w:val="none"/>
          <w:lang w:val="en-US" w:eastAsia="en-US" w:bidi="ar-SA"/>
        </w:rPr>
      </w:pPr>
    </w:p>
    <w:p w14:paraId="7C3A495F">
      <w:pPr>
        <w:spacing w:line="220" w:lineRule="auto"/>
        <w:rPr>
          <w:color w:val="auto"/>
          <w:sz w:val="24"/>
          <w:szCs w:val="24"/>
          <w:highlight w:val="none"/>
        </w:rPr>
      </w:pPr>
    </w:p>
    <w:p w14:paraId="769A488A">
      <w:pPr>
        <w:rPr>
          <w:color w:val="auto"/>
          <w:sz w:val="24"/>
          <w:szCs w:val="24"/>
          <w:highlight w:val="none"/>
        </w:rPr>
      </w:pPr>
    </w:p>
    <w:p w14:paraId="195A0686">
      <w:pPr>
        <w:rPr>
          <w:color w:val="auto"/>
          <w:highlight w:val="none"/>
        </w:rPr>
      </w:pPr>
      <w:r>
        <w:rPr>
          <w:color w:val="auto"/>
          <w:highlight w:val="none"/>
        </w:rPr>
        <w:br w:type="page"/>
      </w:r>
    </w:p>
    <w:p w14:paraId="2F738C91">
      <w:pPr>
        <w:pStyle w:val="4"/>
        <w:spacing w:before="117" w:line="219" w:lineRule="auto"/>
        <w:ind w:left="3288"/>
        <w:outlineLvl w:val="0"/>
        <w:rPr>
          <w:color w:val="auto"/>
          <w:sz w:val="36"/>
          <w:szCs w:val="36"/>
          <w:highlight w:val="none"/>
        </w:rPr>
      </w:pPr>
      <w:bookmarkStart w:id="78" w:name="_Toc6353"/>
      <w:r>
        <w:rPr>
          <w:color w:val="auto"/>
          <w:sz w:val="36"/>
          <w:szCs w:val="36"/>
          <w:highlight w:val="none"/>
          <w14:textOutline w14:w="6540" w14:cap="flat" w14:cmpd="sng">
            <w14:solidFill>
              <w14:srgbClr w14:val="000000"/>
            </w14:solidFill>
            <w14:prstDash w14:val="solid"/>
            <w14:miter w14:val="0"/>
          </w14:textOutline>
        </w:rPr>
        <w:t>第五章</w:t>
      </w:r>
      <w:r>
        <w:rPr>
          <w:color w:val="auto"/>
          <w:sz w:val="36"/>
          <w:szCs w:val="36"/>
          <w:highlight w:val="none"/>
        </w:rPr>
        <w:t xml:space="preserve"> </w:t>
      </w:r>
      <w:r>
        <w:rPr>
          <w:color w:val="auto"/>
          <w:sz w:val="36"/>
          <w:szCs w:val="36"/>
          <w:highlight w:val="none"/>
          <w14:textOutline w14:w="6540" w14:cap="flat" w14:cmpd="sng">
            <w14:solidFill>
              <w14:srgbClr w14:val="000000"/>
            </w14:solidFill>
            <w14:prstDash w14:val="solid"/>
            <w14:miter w14:val="0"/>
          </w14:textOutline>
        </w:rPr>
        <w:t>监理规范</w:t>
      </w:r>
      <w:bookmarkEnd w:id="78"/>
    </w:p>
    <w:p w14:paraId="1EB50BBC">
      <w:pPr>
        <w:pStyle w:val="4"/>
        <w:spacing w:before="171" w:line="219" w:lineRule="auto"/>
        <w:ind w:left="147"/>
        <w:rPr>
          <w:color w:val="auto"/>
          <w:sz w:val="24"/>
          <w:szCs w:val="24"/>
          <w:highlight w:val="none"/>
        </w:rPr>
      </w:pPr>
      <w:r>
        <w:rPr>
          <w:color w:val="auto"/>
          <w:spacing w:val="-6"/>
          <w:sz w:val="24"/>
          <w:szCs w:val="24"/>
          <w:highlight w:val="none"/>
        </w:rPr>
        <w:t>1、本项目工程监理执行《建设工程监理规范》</w:t>
      </w:r>
      <w:r>
        <w:rPr>
          <w:color w:val="auto"/>
          <w:spacing w:val="75"/>
          <w:sz w:val="24"/>
          <w:szCs w:val="24"/>
          <w:highlight w:val="none"/>
        </w:rPr>
        <w:t xml:space="preserve"> </w:t>
      </w:r>
      <w:r>
        <w:rPr>
          <w:color w:val="auto"/>
          <w:spacing w:val="-6"/>
          <w:sz w:val="24"/>
          <w:szCs w:val="24"/>
          <w:highlight w:val="none"/>
        </w:rPr>
        <w:t>(GB50319-2013)。</w:t>
      </w:r>
    </w:p>
    <w:p w14:paraId="3CB350E3">
      <w:pPr>
        <w:pStyle w:val="4"/>
        <w:spacing w:before="195" w:line="220" w:lineRule="auto"/>
        <w:jc w:val="right"/>
        <w:rPr>
          <w:color w:val="auto"/>
          <w:sz w:val="24"/>
          <w:szCs w:val="24"/>
          <w:highlight w:val="none"/>
        </w:rPr>
      </w:pPr>
      <w:r>
        <w:rPr>
          <w:color w:val="auto"/>
          <w:spacing w:val="-1"/>
          <w:sz w:val="24"/>
          <w:szCs w:val="24"/>
          <w:highlight w:val="none"/>
        </w:rPr>
        <w:t>2、监理招标文件与国家的有关法律、法规有冲突时，以国家有关法律、法规为准。</w:t>
      </w:r>
    </w:p>
    <w:p w14:paraId="0FAF672D">
      <w:pPr>
        <w:spacing w:line="220" w:lineRule="auto"/>
        <w:rPr>
          <w:color w:val="auto"/>
          <w:sz w:val="24"/>
          <w:szCs w:val="24"/>
          <w:highlight w:val="none"/>
        </w:rPr>
        <w:sectPr>
          <w:footerReference r:id="rId10" w:type="default"/>
          <w:pgSz w:w="11850" w:h="16785"/>
          <w:pgMar w:top="1426" w:right="1700" w:bottom="1022" w:left="1291" w:header="0" w:footer="862" w:gutter="0"/>
          <w:pgNumType w:fmt="decimal"/>
          <w:cols w:space="720" w:num="1"/>
        </w:sectPr>
      </w:pPr>
    </w:p>
    <w:p w14:paraId="407079F1">
      <w:pPr>
        <w:rPr>
          <w:color w:val="auto"/>
          <w:highlight w:val="none"/>
        </w:rPr>
      </w:pPr>
    </w:p>
    <w:p w14:paraId="51B436E5">
      <w:pPr>
        <w:rPr>
          <w:color w:val="auto"/>
          <w:sz w:val="24"/>
          <w:szCs w:val="24"/>
          <w:highlight w:val="none"/>
        </w:rPr>
      </w:pPr>
    </w:p>
    <w:p w14:paraId="49BEA19D">
      <w:pPr>
        <w:pStyle w:val="4"/>
        <w:spacing w:before="72" w:line="219" w:lineRule="auto"/>
        <w:ind w:left="2441"/>
        <w:outlineLvl w:val="0"/>
        <w:rPr>
          <w:color w:val="auto"/>
          <w:sz w:val="36"/>
          <w:szCs w:val="36"/>
          <w:highlight w:val="none"/>
        </w:rPr>
      </w:pPr>
      <w:bookmarkStart w:id="79" w:name="_Toc30096"/>
      <w:r>
        <w:rPr>
          <w:color w:val="auto"/>
          <w:sz w:val="36"/>
          <w:szCs w:val="36"/>
          <w:highlight w:val="none"/>
          <w14:textOutline w14:w="6540" w14:cap="flat" w14:cmpd="sng">
            <w14:solidFill>
              <w14:srgbClr w14:val="000000"/>
            </w14:solidFill>
            <w14:prstDash w14:val="solid"/>
            <w14:miter w14:val="0"/>
          </w14:textOutline>
        </w:rPr>
        <w:t>第六章</w:t>
      </w:r>
      <w:r>
        <w:rPr>
          <w:color w:val="auto"/>
          <w:sz w:val="36"/>
          <w:szCs w:val="36"/>
          <w:highlight w:val="none"/>
        </w:rPr>
        <w:t xml:space="preserve"> </w:t>
      </w:r>
      <w:r>
        <w:rPr>
          <w:color w:val="auto"/>
          <w:sz w:val="36"/>
          <w:szCs w:val="36"/>
          <w:highlight w:val="none"/>
          <w14:textOutline w14:w="6540" w14:cap="flat" w14:cmpd="sng">
            <w14:solidFill>
              <w14:srgbClr w14:val="000000"/>
            </w14:solidFill>
            <w14:prstDash w14:val="solid"/>
            <w14:miter w14:val="0"/>
          </w14:textOutline>
        </w:rPr>
        <w:t>投标文件格式</w:t>
      </w:r>
      <w:bookmarkEnd w:id="79"/>
    </w:p>
    <w:p w14:paraId="18625470">
      <w:pPr>
        <w:spacing w:line="253" w:lineRule="auto"/>
        <w:rPr>
          <w:rFonts w:ascii="Arial"/>
          <w:color w:val="auto"/>
          <w:sz w:val="21"/>
          <w:highlight w:val="none"/>
        </w:rPr>
      </w:pPr>
    </w:p>
    <w:p w14:paraId="107CDAD9">
      <w:pPr>
        <w:spacing w:line="253" w:lineRule="auto"/>
        <w:rPr>
          <w:rFonts w:ascii="Arial"/>
          <w:color w:val="auto"/>
          <w:sz w:val="21"/>
          <w:highlight w:val="none"/>
        </w:rPr>
      </w:pPr>
    </w:p>
    <w:p w14:paraId="54B8DF14">
      <w:pPr>
        <w:spacing w:line="253" w:lineRule="auto"/>
        <w:rPr>
          <w:rFonts w:ascii="Arial"/>
          <w:color w:val="auto"/>
          <w:sz w:val="21"/>
          <w:highlight w:val="none"/>
        </w:rPr>
      </w:pPr>
    </w:p>
    <w:p w14:paraId="59CA25E5">
      <w:pPr>
        <w:spacing w:line="253" w:lineRule="auto"/>
        <w:rPr>
          <w:rFonts w:ascii="Arial"/>
          <w:color w:val="auto"/>
          <w:sz w:val="21"/>
          <w:highlight w:val="none"/>
        </w:rPr>
      </w:pPr>
    </w:p>
    <w:p w14:paraId="2E378BDF">
      <w:pPr>
        <w:spacing w:line="253" w:lineRule="auto"/>
        <w:rPr>
          <w:rFonts w:ascii="Arial"/>
          <w:color w:val="auto"/>
          <w:sz w:val="21"/>
          <w:highlight w:val="none"/>
        </w:rPr>
      </w:pPr>
    </w:p>
    <w:p w14:paraId="0BD63D68">
      <w:pPr>
        <w:spacing w:line="253" w:lineRule="auto"/>
        <w:rPr>
          <w:rFonts w:ascii="Arial"/>
          <w:color w:val="auto"/>
          <w:sz w:val="21"/>
          <w:highlight w:val="none"/>
        </w:rPr>
      </w:pPr>
    </w:p>
    <w:p w14:paraId="1AAAE8BE">
      <w:pPr>
        <w:spacing w:line="253" w:lineRule="auto"/>
        <w:rPr>
          <w:rFonts w:ascii="Arial"/>
          <w:color w:val="auto"/>
          <w:sz w:val="21"/>
          <w:highlight w:val="none"/>
        </w:rPr>
      </w:pPr>
    </w:p>
    <w:p w14:paraId="2CE6069A">
      <w:pPr>
        <w:spacing w:line="253" w:lineRule="auto"/>
        <w:rPr>
          <w:rFonts w:ascii="Arial"/>
          <w:color w:val="auto"/>
          <w:sz w:val="21"/>
          <w:highlight w:val="none"/>
        </w:rPr>
      </w:pPr>
    </w:p>
    <w:p w14:paraId="7043233A">
      <w:pPr>
        <w:spacing w:line="254" w:lineRule="auto"/>
        <w:rPr>
          <w:rFonts w:ascii="Arial"/>
          <w:color w:val="auto"/>
          <w:sz w:val="21"/>
          <w:highlight w:val="none"/>
        </w:rPr>
      </w:pPr>
    </w:p>
    <w:p w14:paraId="49D4A2EF">
      <w:pPr>
        <w:spacing w:line="254" w:lineRule="auto"/>
        <w:rPr>
          <w:rFonts w:ascii="Arial"/>
          <w:color w:val="auto"/>
          <w:sz w:val="21"/>
          <w:highlight w:val="none"/>
        </w:rPr>
      </w:pPr>
    </w:p>
    <w:p w14:paraId="293057B2">
      <w:pPr>
        <w:pStyle w:val="4"/>
        <w:tabs>
          <w:tab w:val="left" w:pos="3733"/>
        </w:tabs>
        <w:spacing w:before="91" w:line="224" w:lineRule="auto"/>
        <w:ind w:left="1196"/>
        <w:rPr>
          <w:color w:val="auto"/>
          <w:highlight w:val="none"/>
        </w:rPr>
      </w:pPr>
      <w:r>
        <w:rPr>
          <w:color w:val="auto"/>
          <w:highlight w:val="none"/>
          <w:u w:val="single" w:color="auto"/>
        </w:rPr>
        <w:tab/>
      </w:r>
      <w:r>
        <w:rPr>
          <w:color w:val="auto"/>
          <w:spacing w:val="-11"/>
          <w:highlight w:val="none"/>
        </w:rPr>
        <w:t>（项目名称）</w:t>
      </w:r>
      <w:r>
        <w:rPr>
          <w:color w:val="auto"/>
          <w:spacing w:val="-74"/>
          <w:highlight w:val="none"/>
        </w:rPr>
        <w:t xml:space="preserve"> </w:t>
      </w:r>
      <w:r>
        <w:rPr>
          <w:color w:val="auto"/>
          <w:spacing w:val="2"/>
          <w:highlight w:val="none"/>
          <w:u w:val="single" w:color="auto"/>
        </w:rPr>
        <w:t xml:space="preserve">        </w:t>
      </w:r>
      <w:r>
        <w:rPr>
          <w:color w:val="auto"/>
          <w:spacing w:val="-122"/>
          <w:highlight w:val="none"/>
        </w:rPr>
        <w:t xml:space="preserve"> </w:t>
      </w:r>
      <w:r>
        <w:rPr>
          <w:color w:val="auto"/>
          <w:spacing w:val="-11"/>
          <w:highlight w:val="none"/>
        </w:rPr>
        <w:t>标段</w:t>
      </w:r>
    </w:p>
    <w:p w14:paraId="1DE756BF">
      <w:pPr>
        <w:spacing w:line="250" w:lineRule="auto"/>
        <w:rPr>
          <w:rFonts w:ascii="Arial"/>
          <w:color w:val="auto"/>
          <w:sz w:val="21"/>
          <w:highlight w:val="none"/>
        </w:rPr>
      </w:pPr>
    </w:p>
    <w:p w14:paraId="624ACE9C">
      <w:pPr>
        <w:spacing w:line="250" w:lineRule="auto"/>
        <w:rPr>
          <w:rFonts w:ascii="Arial"/>
          <w:color w:val="auto"/>
          <w:sz w:val="21"/>
          <w:highlight w:val="none"/>
        </w:rPr>
      </w:pPr>
    </w:p>
    <w:p w14:paraId="09C31B4E">
      <w:pPr>
        <w:spacing w:line="250" w:lineRule="auto"/>
        <w:rPr>
          <w:rFonts w:ascii="Arial"/>
          <w:color w:val="auto"/>
          <w:sz w:val="21"/>
          <w:highlight w:val="none"/>
        </w:rPr>
      </w:pPr>
    </w:p>
    <w:p w14:paraId="6E5C3E66">
      <w:pPr>
        <w:spacing w:line="250" w:lineRule="auto"/>
        <w:rPr>
          <w:rFonts w:ascii="Arial"/>
          <w:color w:val="auto"/>
          <w:sz w:val="21"/>
          <w:highlight w:val="none"/>
        </w:rPr>
      </w:pPr>
    </w:p>
    <w:p w14:paraId="7074F5A1">
      <w:pPr>
        <w:spacing w:line="250" w:lineRule="auto"/>
        <w:rPr>
          <w:rFonts w:ascii="Arial"/>
          <w:color w:val="auto"/>
          <w:sz w:val="21"/>
          <w:highlight w:val="none"/>
        </w:rPr>
      </w:pPr>
    </w:p>
    <w:p w14:paraId="0DD8ABC6">
      <w:pPr>
        <w:spacing w:line="250" w:lineRule="auto"/>
        <w:rPr>
          <w:rFonts w:ascii="Arial"/>
          <w:color w:val="auto"/>
          <w:sz w:val="21"/>
          <w:highlight w:val="none"/>
        </w:rPr>
      </w:pPr>
    </w:p>
    <w:p w14:paraId="5B8342B8">
      <w:pPr>
        <w:spacing w:line="250" w:lineRule="auto"/>
        <w:rPr>
          <w:rFonts w:ascii="Arial"/>
          <w:color w:val="auto"/>
          <w:sz w:val="21"/>
          <w:highlight w:val="none"/>
        </w:rPr>
      </w:pPr>
    </w:p>
    <w:p w14:paraId="72ACC683">
      <w:pPr>
        <w:spacing w:line="250" w:lineRule="auto"/>
        <w:rPr>
          <w:rFonts w:ascii="Arial"/>
          <w:color w:val="auto"/>
          <w:sz w:val="21"/>
          <w:highlight w:val="none"/>
        </w:rPr>
      </w:pPr>
    </w:p>
    <w:p w14:paraId="751FA46B">
      <w:pPr>
        <w:spacing w:line="250" w:lineRule="auto"/>
        <w:rPr>
          <w:rFonts w:ascii="Arial"/>
          <w:color w:val="auto"/>
          <w:sz w:val="21"/>
          <w:highlight w:val="none"/>
        </w:rPr>
      </w:pPr>
    </w:p>
    <w:p w14:paraId="207D504D">
      <w:pPr>
        <w:spacing w:line="250" w:lineRule="auto"/>
        <w:rPr>
          <w:rFonts w:ascii="Arial"/>
          <w:color w:val="auto"/>
          <w:sz w:val="21"/>
          <w:highlight w:val="none"/>
        </w:rPr>
      </w:pPr>
    </w:p>
    <w:p w14:paraId="6981BEED">
      <w:pPr>
        <w:spacing w:line="250" w:lineRule="auto"/>
        <w:rPr>
          <w:rFonts w:ascii="Arial"/>
          <w:color w:val="auto"/>
          <w:sz w:val="21"/>
          <w:highlight w:val="none"/>
        </w:rPr>
      </w:pPr>
    </w:p>
    <w:p w14:paraId="71485FCC">
      <w:pPr>
        <w:pStyle w:val="4"/>
        <w:spacing w:before="273" w:line="220" w:lineRule="auto"/>
        <w:ind w:left="1869"/>
        <w:outlineLvl w:val="1"/>
        <w:rPr>
          <w:color w:val="auto"/>
          <w:sz w:val="84"/>
          <w:szCs w:val="84"/>
          <w:highlight w:val="none"/>
        </w:rPr>
      </w:pPr>
      <w:bookmarkStart w:id="80" w:name="_Toc21626"/>
      <w:r>
        <w:rPr>
          <w:color w:val="auto"/>
          <w:spacing w:val="-30"/>
          <w:sz w:val="84"/>
          <w:szCs w:val="84"/>
          <w:highlight w:val="none"/>
          <w14:textOutline w14:w="15248" w14:cap="flat" w14:cmpd="sng">
            <w14:solidFill>
              <w14:srgbClr w14:val="000000"/>
            </w14:solidFill>
            <w14:prstDash w14:val="solid"/>
            <w14:miter w14:val="0"/>
          </w14:textOutline>
        </w:rPr>
        <w:t>投</w:t>
      </w:r>
      <w:r>
        <w:rPr>
          <w:color w:val="auto"/>
          <w:spacing w:val="39"/>
          <w:sz w:val="84"/>
          <w:szCs w:val="84"/>
          <w:highlight w:val="none"/>
        </w:rPr>
        <w:t xml:space="preserve"> </w:t>
      </w:r>
      <w:r>
        <w:rPr>
          <w:color w:val="auto"/>
          <w:spacing w:val="-30"/>
          <w:sz w:val="84"/>
          <w:szCs w:val="84"/>
          <w:highlight w:val="none"/>
          <w14:textOutline w14:w="15248" w14:cap="flat" w14:cmpd="sng">
            <w14:solidFill>
              <w14:srgbClr w14:val="000000"/>
            </w14:solidFill>
            <w14:prstDash w14:val="solid"/>
            <w14:miter w14:val="0"/>
          </w14:textOutline>
        </w:rPr>
        <w:t>标</w:t>
      </w:r>
      <w:r>
        <w:rPr>
          <w:color w:val="auto"/>
          <w:spacing w:val="41"/>
          <w:sz w:val="84"/>
          <w:szCs w:val="84"/>
          <w:highlight w:val="none"/>
        </w:rPr>
        <w:t xml:space="preserve"> </w:t>
      </w:r>
      <w:r>
        <w:rPr>
          <w:color w:val="auto"/>
          <w:spacing w:val="-30"/>
          <w:sz w:val="84"/>
          <w:szCs w:val="84"/>
          <w:highlight w:val="none"/>
          <w14:textOutline w14:w="15248" w14:cap="flat" w14:cmpd="sng">
            <w14:solidFill>
              <w14:srgbClr w14:val="000000"/>
            </w14:solidFill>
            <w14:prstDash w14:val="solid"/>
            <w14:miter w14:val="0"/>
          </w14:textOutline>
        </w:rPr>
        <w:t>文</w:t>
      </w:r>
      <w:r>
        <w:rPr>
          <w:color w:val="auto"/>
          <w:spacing w:val="30"/>
          <w:sz w:val="84"/>
          <w:szCs w:val="84"/>
          <w:highlight w:val="none"/>
        </w:rPr>
        <w:t xml:space="preserve"> </w:t>
      </w:r>
      <w:r>
        <w:rPr>
          <w:color w:val="auto"/>
          <w:spacing w:val="-30"/>
          <w:sz w:val="84"/>
          <w:szCs w:val="84"/>
          <w:highlight w:val="none"/>
          <w14:textOutline w14:w="15248" w14:cap="flat" w14:cmpd="sng">
            <w14:solidFill>
              <w14:srgbClr w14:val="000000"/>
            </w14:solidFill>
            <w14:prstDash w14:val="solid"/>
            <w14:miter w14:val="0"/>
          </w14:textOutline>
        </w:rPr>
        <w:t>件</w:t>
      </w:r>
      <w:bookmarkEnd w:id="80"/>
    </w:p>
    <w:p w14:paraId="480B175C">
      <w:pPr>
        <w:spacing w:line="242" w:lineRule="auto"/>
        <w:rPr>
          <w:rFonts w:ascii="Arial"/>
          <w:color w:val="auto"/>
          <w:sz w:val="21"/>
          <w:highlight w:val="none"/>
        </w:rPr>
      </w:pPr>
    </w:p>
    <w:p w14:paraId="122B243F">
      <w:pPr>
        <w:spacing w:line="243" w:lineRule="auto"/>
        <w:rPr>
          <w:rFonts w:ascii="Arial"/>
          <w:color w:val="auto"/>
          <w:sz w:val="21"/>
          <w:highlight w:val="none"/>
        </w:rPr>
      </w:pPr>
    </w:p>
    <w:p w14:paraId="28AB40A8">
      <w:pPr>
        <w:pStyle w:val="4"/>
        <w:spacing w:before="78" w:line="220" w:lineRule="auto"/>
        <w:ind w:left="1810"/>
        <w:rPr>
          <w:color w:val="auto"/>
          <w:sz w:val="24"/>
          <w:szCs w:val="24"/>
          <w:highlight w:val="none"/>
        </w:rPr>
      </w:pPr>
      <w:r>
        <w:rPr>
          <w:color w:val="auto"/>
          <w:spacing w:val="-11"/>
          <w:sz w:val="24"/>
          <w:szCs w:val="24"/>
          <w:highlight w:val="none"/>
        </w:rPr>
        <w:t>项目编号：</w:t>
      </w:r>
    </w:p>
    <w:p w14:paraId="5AF0ACE8">
      <w:pPr>
        <w:spacing w:line="246" w:lineRule="auto"/>
        <w:rPr>
          <w:rFonts w:ascii="Arial"/>
          <w:color w:val="auto"/>
          <w:sz w:val="21"/>
          <w:highlight w:val="none"/>
        </w:rPr>
      </w:pPr>
    </w:p>
    <w:p w14:paraId="3BFD9AB0">
      <w:pPr>
        <w:spacing w:line="246" w:lineRule="auto"/>
        <w:rPr>
          <w:rFonts w:ascii="Arial"/>
          <w:color w:val="auto"/>
          <w:sz w:val="21"/>
          <w:highlight w:val="none"/>
        </w:rPr>
      </w:pPr>
    </w:p>
    <w:p w14:paraId="3D072F3A">
      <w:pPr>
        <w:spacing w:line="246" w:lineRule="auto"/>
        <w:rPr>
          <w:rFonts w:ascii="Arial"/>
          <w:color w:val="auto"/>
          <w:sz w:val="21"/>
          <w:highlight w:val="none"/>
        </w:rPr>
      </w:pPr>
    </w:p>
    <w:p w14:paraId="63DB2B68">
      <w:pPr>
        <w:spacing w:line="246" w:lineRule="auto"/>
        <w:rPr>
          <w:rFonts w:ascii="Arial"/>
          <w:color w:val="auto"/>
          <w:sz w:val="21"/>
          <w:highlight w:val="none"/>
        </w:rPr>
      </w:pPr>
    </w:p>
    <w:p w14:paraId="021DA477">
      <w:pPr>
        <w:spacing w:line="246" w:lineRule="auto"/>
        <w:rPr>
          <w:rFonts w:ascii="Arial"/>
          <w:color w:val="auto"/>
          <w:sz w:val="21"/>
          <w:highlight w:val="none"/>
        </w:rPr>
      </w:pPr>
    </w:p>
    <w:p w14:paraId="06D46C45">
      <w:pPr>
        <w:spacing w:line="246" w:lineRule="auto"/>
        <w:rPr>
          <w:rFonts w:ascii="Arial"/>
          <w:color w:val="auto"/>
          <w:sz w:val="21"/>
          <w:highlight w:val="none"/>
        </w:rPr>
      </w:pPr>
    </w:p>
    <w:p w14:paraId="33061FAE">
      <w:pPr>
        <w:spacing w:line="247" w:lineRule="auto"/>
        <w:rPr>
          <w:rFonts w:ascii="Arial"/>
          <w:color w:val="auto"/>
          <w:sz w:val="21"/>
          <w:highlight w:val="none"/>
        </w:rPr>
      </w:pPr>
    </w:p>
    <w:p w14:paraId="23B7513F">
      <w:pPr>
        <w:spacing w:line="247" w:lineRule="auto"/>
        <w:rPr>
          <w:rFonts w:ascii="Arial"/>
          <w:color w:val="auto"/>
          <w:sz w:val="21"/>
          <w:highlight w:val="none"/>
        </w:rPr>
      </w:pPr>
    </w:p>
    <w:p w14:paraId="654684FB">
      <w:pPr>
        <w:spacing w:line="247" w:lineRule="auto"/>
        <w:rPr>
          <w:rFonts w:ascii="Arial"/>
          <w:color w:val="auto"/>
          <w:sz w:val="21"/>
          <w:highlight w:val="none"/>
        </w:rPr>
      </w:pPr>
    </w:p>
    <w:p w14:paraId="1DEC1BCB">
      <w:pPr>
        <w:spacing w:line="247" w:lineRule="auto"/>
        <w:rPr>
          <w:rFonts w:ascii="Arial"/>
          <w:color w:val="auto"/>
          <w:sz w:val="21"/>
          <w:highlight w:val="none"/>
        </w:rPr>
      </w:pPr>
    </w:p>
    <w:p w14:paraId="45DD0E8A">
      <w:pPr>
        <w:spacing w:line="247" w:lineRule="auto"/>
        <w:rPr>
          <w:rFonts w:ascii="Arial"/>
          <w:color w:val="auto"/>
          <w:sz w:val="21"/>
          <w:highlight w:val="none"/>
        </w:rPr>
      </w:pPr>
    </w:p>
    <w:p w14:paraId="44695BD4">
      <w:pPr>
        <w:spacing w:line="247" w:lineRule="auto"/>
        <w:rPr>
          <w:rFonts w:ascii="Arial"/>
          <w:color w:val="auto"/>
          <w:sz w:val="21"/>
          <w:highlight w:val="none"/>
        </w:rPr>
      </w:pPr>
    </w:p>
    <w:p w14:paraId="781BADBE">
      <w:pPr>
        <w:spacing w:line="247" w:lineRule="auto"/>
        <w:rPr>
          <w:rFonts w:ascii="Arial"/>
          <w:color w:val="auto"/>
          <w:sz w:val="21"/>
          <w:highlight w:val="none"/>
        </w:rPr>
      </w:pPr>
    </w:p>
    <w:p w14:paraId="11BE0E85">
      <w:pPr>
        <w:spacing w:line="247" w:lineRule="auto"/>
        <w:rPr>
          <w:rFonts w:ascii="Arial"/>
          <w:color w:val="auto"/>
          <w:sz w:val="21"/>
          <w:highlight w:val="none"/>
        </w:rPr>
      </w:pPr>
    </w:p>
    <w:p w14:paraId="013EB855">
      <w:pPr>
        <w:pStyle w:val="4"/>
        <w:spacing w:before="91" w:line="222" w:lineRule="auto"/>
        <w:ind w:left="1421"/>
        <w:rPr>
          <w:color w:val="auto"/>
          <w:highlight w:val="none"/>
        </w:rPr>
      </w:pPr>
      <w:r>
        <w:rPr>
          <w:color w:val="auto"/>
          <w:spacing w:val="-18"/>
          <w:highlight w:val="none"/>
        </w:rPr>
        <w:t xml:space="preserve">投标人： </w:t>
      </w:r>
      <w:r>
        <w:rPr>
          <w:color w:val="auto"/>
          <w:highlight w:val="none"/>
          <w:u w:val="single" w:color="auto"/>
        </w:rPr>
        <w:t xml:space="preserve">                     </w:t>
      </w:r>
      <w:r>
        <w:rPr>
          <w:color w:val="auto"/>
          <w:spacing w:val="-71"/>
          <w:highlight w:val="none"/>
        </w:rPr>
        <w:t xml:space="preserve"> </w:t>
      </w:r>
      <w:r>
        <w:rPr>
          <w:color w:val="auto"/>
          <w:spacing w:val="-18"/>
          <w:highlight w:val="none"/>
        </w:rPr>
        <w:t>(电子签章)</w:t>
      </w:r>
    </w:p>
    <w:p w14:paraId="18A49D15">
      <w:pPr>
        <w:pStyle w:val="4"/>
        <w:spacing w:before="204" w:line="222" w:lineRule="auto"/>
        <w:ind w:left="1418"/>
        <w:rPr>
          <w:color w:val="auto"/>
          <w:highlight w:val="none"/>
        </w:rPr>
      </w:pPr>
      <w:r>
        <w:rPr>
          <w:color w:val="auto"/>
          <w:spacing w:val="-12"/>
          <w:highlight w:val="none"/>
        </w:rPr>
        <w:t>法定代表人：</w:t>
      </w:r>
      <w:r>
        <w:rPr>
          <w:color w:val="auto"/>
          <w:spacing w:val="-52"/>
          <w:highlight w:val="none"/>
        </w:rPr>
        <w:t xml:space="preserve"> </w:t>
      </w:r>
      <w:r>
        <w:rPr>
          <w:color w:val="auto"/>
          <w:highlight w:val="none"/>
          <w:u w:val="single" w:color="auto"/>
        </w:rPr>
        <w:t xml:space="preserve">                 </w:t>
      </w:r>
      <w:r>
        <w:rPr>
          <w:color w:val="auto"/>
          <w:spacing w:val="-70"/>
          <w:highlight w:val="none"/>
        </w:rPr>
        <w:t xml:space="preserve"> </w:t>
      </w:r>
      <w:r>
        <w:rPr>
          <w:color w:val="auto"/>
          <w:spacing w:val="-12"/>
          <w:highlight w:val="none"/>
        </w:rPr>
        <w:t>(电子签章)</w:t>
      </w:r>
    </w:p>
    <w:p w14:paraId="066DFCD2">
      <w:pPr>
        <w:pStyle w:val="4"/>
        <w:spacing w:before="204" w:line="223" w:lineRule="auto"/>
        <w:ind w:left="1541"/>
        <w:rPr>
          <w:color w:val="auto"/>
          <w:highlight w:val="none"/>
        </w:rPr>
      </w:pPr>
      <w:r>
        <w:rPr>
          <w:color w:val="auto"/>
          <w:spacing w:val="-19"/>
          <w:highlight w:val="none"/>
        </w:rPr>
        <w:t>日期：</w:t>
      </w:r>
      <w:r>
        <w:rPr>
          <w:color w:val="auto"/>
          <w:spacing w:val="-32"/>
          <w:highlight w:val="none"/>
        </w:rPr>
        <w:t xml:space="preserve"> </w:t>
      </w:r>
      <w:r>
        <w:rPr>
          <w:color w:val="auto"/>
          <w:spacing w:val="1"/>
          <w:highlight w:val="none"/>
          <w:u w:val="single" w:color="auto"/>
        </w:rPr>
        <w:t xml:space="preserve">         </w:t>
      </w:r>
      <w:r>
        <w:rPr>
          <w:color w:val="auto"/>
          <w:spacing w:val="-120"/>
          <w:highlight w:val="none"/>
        </w:rPr>
        <w:t xml:space="preserve"> </w:t>
      </w:r>
      <w:r>
        <w:rPr>
          <w:color w:val="auto"/>
          <w:spacing w:val="-19"/>
          <w:highlight w:val="none"/>
        </w:rPr>
        <w:t>年</w:t>
      </w:r>
      <w:r>
        <w:rPr>
          <w:color w:val="auto"/>
          <w:spacing w:val="-19"/>
          <w:highlight w:val="none"/>
          <w:u w:val="single" w:color="auto"/>
        </w:rPr>
        <w:t xml:space="preserve">          </w:t>
      </w:r>
      <w:r>
        <w:rPr>
          <w:color w:val="auto"/>
          <w:spacing w:val="-122"/>
          <w:highlight w:val="none"/>
        </w:rPr>
        <w:t xml:space="preserve"> </w:t>
      </w:r>
      <w:r>
        <w:rPr>
          <w:color w:val="auto"/>
          <w:spacing w:val="-19"/>
          <w:highlight w:val="none"/>
        </w:rPr>
        <w:t>月</w:t>
      </w:r>
      <w:r>
        <w:rPr>
          <w:color w:val="auto"/>
          <w:spacing w:val="-19"/>
          <w:highlight w:val="none"/>
          <w:u w:val="single" w:color="auto"/>
        </w:rPr>
        <w:t xml:space="preserve">         </w:t>
      </w:r>
      <w:r>
        <w:rPr>
          <w:color w:val="auto"/>
          <w:spacing w:val="-80"/>
          <w:highlight w:val="none"/>
        </w:rPr>
        <w:t xml:space="preserve"> </w:t>
      </w:r>
      <w:r>
        <w:rPr>
          <w:color w:val="auto"/>
          <w:spacing w:val="-19"/>
          <w:highlight w:val="none"/>
        </w:rPr>
        <w:t>日</w:t>
      </w:r>
    </w:p>
    <w:p w14:paraId="1E208DD4">
      <w:pPr>
        <w:spacing w:line="223" w:lineRule="auto"/>
        <w:rPr>
          <w:color w:val="auto"/>
          <w:highlight w:val="none"/>
        </w:rPr>
        <w:sectPr>
          <w:footerReference r:id="rId11" w:type="default"/>
          <w:pgSz w:w="11850" w:h="16785"/>
          <w:pgMar w:top="1374" w:right="1777" w:bottom="1022" w:left="1777" w:header="0" w:footer="862" w:gutter="0"/>
          <w:pgNumType w:fmt="decimal"/>
          <w:cols w:space="720" w:num="1"/>
        </w:sectPr>
      </w:pPr>
    </w:p>
    <w:p w14:paraId="00E738A5">
      <w:pPr>
        <w:pStyle w:val="4"/>
        <w:spacing w:before="63" w:line="225" w:lineRule="auto"/>
        <w:ind w:left="3732"/>
        <w:rPr>
          <w:color w:val="auto"/>
          <w:sz w:val="31"/>
          <w:szCs w:val="31"/>
          <w:highlight w:val="none"/>
        </w:rPr>
      </w:pPr>
      <w:r>
        <w:rPr>
          <w:color w:val="auto"/>
          <w:spacing w:val="-34"/>
          <w:sz w:val="31"/>
          <w:szCs w:val="31"/>
          <w:highlight w:val="none"/>
          <w14:textOutline w14:w="5724" w14:cap="flat" w14:cmpd="sng">
            <w14:solidFill>
              <w14:srgbClr w14:val="000000"/>
            </w14:solidFill>
            <w14:prstDash w14:val="solid"/>
            <w14:miter w14:val="0"/>
          </w14:textOutline>
        </w:rPr>
        <w:t>目</w:t>
      </w:r>
      <w:r>
        <w:rPr>
          <w:color w:val="auto"/>
          <w:spacing w:val="17"/>
          <w:sz w:val="31"/>
          <w:szCs w:val="31"/>
          <w:highlight w:val="none"/>
        </w:rPr>
        <w:t xml:space="preserve">  </w:t>
      </w:r>
      <w:r>
        <w:rPr>
          <w:color w:val="auto"/>
          <w:spacing w:val="-34"/>
          <w:sz w:val="31"/>
          <w:szCs w:val="31"/>
          <w:highlight w:val="none"/>
          <w14:textOutline w14:w="5724" w14:cap="flat" w14:cmpd="sng">
            <w14:solidFill>
              <w14:srgbClr w14:val="000000"/>
            </w14:solidFill>
            <w14:prstDash w14:val="solid"/>
            <w14:miter w14:val="0"/>
          </w14:textOutline>
        </w:rPr>
        <w:t>录</w:t>
      </w:r>
    </w:p>
    <w:p w14:paraId="32AF26AB">
      <w:pPr>
        <w:pStyle w:val="4"/>
        <w:spacing w:before="238" w:line="219" w:lineRule="auto"/>
        <w:ind w:left="171"/>
        <w:rPr>
          <w:color w:val="auto"/>
          <w:sz w:val="21"/>
          <w:szCs w:val="21"/>
          <w:highlight w:val="none"/>
        </w:rPr>
      </w:pPr>
      <w:r>
        <w:rPr>
          <w:color w:val="auto"/>
          <w:spacing w:val="-2"/>
          <w:sz w:val="21"/>
          <w:szCs w:val="21"/>
          <w:highlight w:val="none"/>
        </w:rPr>
        <w:t>一、投标函及投标函附录</w:t>
      </w:r>
    </w:p>
    <w:p w14:paraId="344BF981">
      <w:pPr>
        <w:pStyle w:val="4"/>
        <w:spacing w:before="291" w:line="556" w:lineRule="exact"/>
        <w:ind w:left="171"/>
        <w:rPr>
          <w:color w:val="auto"/>
          <w:sz w:val="21"/>
          <w:szCs w:val="21"/>
          <w:highlight w:val="none"/>
        </w:rPr>
      </w:pPr>
      <w:r>
        <w:rPr>
          <w:color w:val="auto"/>
          <w:spacing w:val="-1"/>
          <w:position w:val="26"/>
          <w:sz w:val="21"/>
          <w:szCs w:val="21"/>
          <w:highlight w:val="none"/>
        </w:rPr>
        <w:t>二、法定代表人身份证明及授权委托书</w:t>
      </w:r>
    </w:p>
    <w:p w14:paraId="06BAD474">
      <w:pPr>
        <w:pStyle w:val="4"/>
        <w:spacing w:line="219" w:lineRule="auto"/>
        <w:ind w:left="168"/>
        <w:rPr>
          <w:color w:val="auto"/>
          <w:sz w:val="21"/>
          <w:szCs w:val="21"/>
          <w:highlight w:val="none"/>
        </w:rPr>
      </w:pPr>
      <w:r>
        <w:rPr>
          <w:color w:val="auto"/>
          <w:spacing w:val="-1"/>
          <w:sz w:val="21"/>
          <w:szCs w:val="21"/>
          <w:highlight w:val="none"/>
        </w:rPr>
        <w:t>三、资格审查资料</w:t>
      </w:r>
    </w:p>
    <w:p w14:paraId="21FA00B2">
      <w:pPr>
        <w:pStyle w:val="4"/>
        <w:spacing w:before="290" w:line="219" w:lineRule="auto"/>
        <w:ind w:left="187"/>
        <w:rPr>
          <w:color w:val="auto"/>
          <w:sz w:val="21"/>
          <w:szCs w:val="21"/>
          <w:highlight w:val="none"/>
        </w:rPr>
      </w:pPr>
      <w:r>
        <w:rPr>
          <w:color w:val="auto"/>
          <w:spacing w:val="-5"/>
          <w:sz w:val="21"/>
          <w:szCs w:val="21"/>
          <w:highlight w:val="none"/>
        </w:rPr>
        <w:t>四、承诺书</w:t>
      </w:r>
    </w:p>
    <w:p w14:paraId="69D5E5AB">
      <w:pPr>
        <w:pStyle w:val="4"/>
        <w:spacing w:before="291" w:line="556" w:lineRule="exact"/>
        <w:ind w:left="171"/>
        <w:rPr>
          <w:color w:val="auto"/>
          <w:sz w:val="21"/>
          <w:szCs w:val="21"/>
          <w:highlight w:val="none"/>
        </w:rPr>
      </w:pPr>
      <w:r>
        <w:rPr>
          <w:color w:val="auto"/>
          <w:spacing w:val="-2"/>
          <w:position w:val="26"/>
          <w:sz w:val="21"/>
          <w:szCs w:val="21"/>
          <w:highlight w:val="none"/>
        </w:rPr>
        <w:t>五、其他资料</w:t>
      </w:r>
    </w:p>
    <w:p w14:paraId="0C5CD91A">
      <w:pPr>
        <w:pStyle w:val="4"/>
        <w:spacing w:line="220" w:lineRule="auto"/>
        <w:ind w:left="169"/>
        <w:rPr>
          <w:color w:val="auto"/>
          <w:sz w:val="21"/>
          <w:szCs w:val="21"/>
          <w:highlight w:val="none"/>
        </w:rPr>
      </w:pPr>
      <w:r>
        <w:rPr>
          <w:color w:val="auto"/>
          <w:spacing w:val="-2"/>
          <w:sz w:val="21"/>
          <w:szCs w:val="21"/>
          <w:highlight w:val="none"/>
        </w:rPr>
        <w:t>六、监理大纲</w:t>
      </w:r>
    </w:p>
    <w:p w14:paraId="70D5CAD6">
      <w:pPr>
        <w:spacing w:line="220" w:lineRule="auto"/>
        <w:rPr>
          <w:color w:val="auto"/>
          <w:sz w:val="21"/>
          <w:szCs w:val="21"/>
          <w:highlight w:val="none"/>
        </w:rPr>
        <w:sectPr>
          <w:footerReference r:id="rId12" w:type="default"/>
          <w:pgSz w:w="11850" w:h="16785"/>
          <w:pgMar w:top="1392" w:right="1777" w:bottom="1022" w:left="1777" w:header="0" w:footer="862" w:gutter="0"/>
          <w:pgNumType w:fmt="decimal"/>
          <w:cols w:space="720" w:num="1"/>
        </w:sectPr>
      </w:pPr>
    </w:p>
    <w:p w14:paraId="7EB7EC23">
      <w:pPr>
        <w:spacing w:line="406" w:lineRule="auto"/>
        <w:rPr>
          <w:rFonts w:ascii="Arial"/>
          <w:color w:val="auto"/>
          <w:sz w:val="21"/>
          <w:highlight w:val="none"/>
        </w:rPr>
      </w:pPr>
    </w:p>
    <w:p w14:paraId="0505A7F2">
      <w:pPr>
        <w:pStyle w:val="4"/>
        <w:spacing w:before="100" w:line="222" w:lineRule="auto"/>
        <w:ind w:left="2743"/>
        <w:outlineLvl w:val="1"/>
        <w:rPr>
          <w:color w:val="auto"/>
          <w:sz w:val="31"/>
          <w:szCs w:val="31"/>
          <w:highlight w:val="none"/>
        </w:rPr>
      </w:pPr>
      <w:bookmarkStart w:id="81" w:name="_Toc10683"/>
      <w:r>
        <w:rPr>
          <w:color w:val="auto"/>
          <w:spacing w:val="10"/>
          <w:sz w:val="31"/>
          <w:szCs w:val="31"/>
          <w:highlight w:val="none"/>
          <w14:textOutline w14:w="5724" w14:cap="flat" w14:cmpd="sng">
            <w14:solidFill>
              <w14:srgbClr w14:val="000000"/>
            </w14:solidFill>
            <w14:prstDash w14:val="solid"/>
            <w14:miter w14:val="0"/>
          </w14:textOutline>
        </w:rPr>
        <w:t>一、投标函及投标函附录</w:t>
      </w:r>
      <w:bookmarkEnd w:id="81"/>
    </w:p>
    <w:p w14:paraId="3875484B">
      <w:pPr>
        <w:spacing w:line="339" w:lineRule="auto"/>
        <w:rPr>
          <w:rFonts w:ascii="Arial"/>
          <w:color w:val="auto"/>
          <w:sz w:val="21"/>
          <w:highlight w:val="none"/>
        </w:rPr>
      </w:pPr>
    </w:p>
    <w:p w14:paraId="6AC44FEA">
      <w:pPr>
        <w:pStyle w:val="4"/>
        <w:spacing w:before="91" w:line="224" w:lineRule="auto"/>
        <w:ind w:left="3678"/>
        <w:outlineLvl w:val="2"/>
        <w:rPr>
          <w:color w:val="auto"/>
          <w:highlight w:val="none"/>
        </w:rPr>
      </w:pPr>
      <w:bookmarkStart w:id="82" w:name="_Toc8108"/>
      <w:r>
        <w:rPr>
          <w:color w:val="auto"/>
          <w:spacing w:val="-1"/>
          <w:highlight w:val="none"/>
          <w14:textOutline w14:w="5179" w14:cap="flat" w14:cmpd="sng">
            <w14:solidFill>
              <w14:srgbClr w14:val="000000"/>
            </w14:solidFill>
            <w14:prstDash w14:val="solid"/>
            <w14:miter w14:val="0"/>
          </w14:textOutline>
        </w:rPr>
        <w:t>（一）投标函</w:t>
      </w:r>
      <w:bookmarkEnd w:id="82"/>
    </w:p>
    <w:p w14:paraId="36176AC1">
      <w:pPr>
        <w:pStyle w:val="4"/>
        <w:spacing w:before="26" w:line="220" w:lineRule="auto"/>
        <w:rPr>
          <w:color w:val="auto"/>
          <w:sz w:val="21"/>
          <w:szCs w:val="21"/>
          <w:highlight w:val="none"/>
        </w:rPr>
      </w:pPr>
      <w:r>
        <w:rPr>
          <w:color w:val="auto"/>
          <w:spacing w:val="-22"/>
          <w:w w:val="98"/>
          <w:sz w:val="21"/>
          <w:szCs w:val="21"/>
          <w:highlight w:val="none"/>
        </w:rPr>
        <w:t>致</w:t>
      </w:r>
      <w:r>
        <w:rPr>
          <w:color w:val="auto"/>
          <w:spacing w:val="-5"/>
          <w:sz w:val="21"/>
          <w:szCs w:val="21"/>
          <w:highlight w:val="none"/>
        </w:rPr>
        <w:t>：</w:t>
      </w:r>
      <w:r>
        <w:rPr>
          <w:color w:val="auto"/>
          <w:spacing w:val="-32"/>
          <w:sz w:val="21"/>
          <w:szCs w:val="21"/>
          <w:highlight w:val="none"/>
        </w:rPr>
        <w:t xml:space="preserve"> </w:t>
      </w:r>
      <w:r>
        <w:rPr>
          <w:color w:val="auto"/>
          <w:sz w:val="21"/>
          <w:szCs w:val="21"/>
          <w:highlight w:val="none"/>
          <w:u w:val="single" w:color="auto"/>
        </w:rPr>
        <w:t xml:space="preserve">                     </w:t>
      </w:r>
      <w:r>
        <w:rPr>
          <w:color w:val="auto"/>
          <w:spacing w:val="16"/>
          <w:sz w:val="21"/>
          <w:szCs w:val="21"/>
          <w:highlight w:val="none"/>
        </w:rPr>
        <w:t xml:space="preserve"> </w:t>
      </w:r>
      <w:r>
        <w:rPr>
          <w:color w:val="auto"/>
          <w:spacing w:val="-5"/>
          <w:sz w:val="21"/>
          <w:szCs w:val="21"/>
          <w:highlight w:val="none"/>
        </w:rPr>
        <w:t>（</w:t>
      </w:r>
      <w:r>
        <w:rPr>
          <w:color w:val="auto"/>
          <w:spacing w:val="-22"/>
          <w:w w:val="98"/>
          <w:sz w:val="21"/>
          <w:szCs w:val="21"/>
          <w:highlight w:val="none"/>
        </w:rPr>
        <w:t>招标人名称）</w:t>
      </w:r>
    </w:p>
    <w:p w14:paraId="42AC4067">
      <w:pPr>
        <w:pStyle w:val="4"/>
        <w:spacing w:before="154" w:line="363" w:lineRule="auto"/>
        <w:ind w:left="1" w:firstLine="14"/>
        <w:jc w:val="both"/>
        <w:rPr>
          <w:color w:val="auto"/>
          <w:sz w:val="21"/>
          <w:szCs w:val="21"/>
          <w:highlight w:val="none"/>
        </w:rPr>
      </w:pPr>
      <w:r>
        <w:rPr>
          <w:color w:val="auto"/>
          <w:sz w:val="21"/>
          <w:szCs w:val="21"/>
          <w:highlight w:val="none"/>
        </w:rPr>
        <w:t>1、我方已仔细研究了</w:t>
      </w:r>
      <w:r>
        <w:rPr>
          <w:color w:val="auto"/>
          <w:spacing w:val="-79"/>
          <w:sz w:val="21"/>
          <w:szCs w:val="21"/>
          <w:highlight w:val="none"/>
        </w:rPr>
        <w:t xml:space="preserve"> </w:t>
      </w:r>
      <w:r>
        <w:rPr>
          <w:color w:val="auto"/>
          <w:spacing w:val="2"/>
          <w:sz w:val="21"/>
          <w:szCs w:val="21"/>
          <w:highlight w:val="none"/>
          <w:u w:val="single" w:color="auto"/>
        </w:rPr>
        <w:t xml:space="preserve">                </w:t>
      </w:r>
      <w:r>
        <w:rPr>
          <w:color w:val="auto"/>
          <w:spacing w:val="-93"/>
          <w:sz w:val="21"/>
          <w:szCs w:val="21"/>
          <w:highlight w:val="none"/>
        </w:rPr>
        <w:t xml:space="preserve"> </w:t>
      </w:r>
      <w:r>
        <w:rPr>
          <w:color w:val="auto"/>
          <w:sz w:val="21"/>
          <w:szCs w:val="21"/>
          <w:highlight w:val="none"/>
        </w:rPr>
        <w:t>项目招标文件的全部内容，愿按照招标文件</w:t>
      </w:r>
      <w:r>
        <w:rPr>
          <w:color w:val="auto"/>
          <w:spacing w:val="-1"/>
          <w:sz w:val="21"/>
          <w:szCs w:val="21"/>
          <w:highlight w:val="none"/>
        </w:rPr>
        <w:t>中规定的条款</w:t>
      </w:r>
      <w:r>
        <w:rPr>
          <w:color w:val="auto"/>
          <w:sz w:val="21"/>
          <w:szCs w:val="21"/>
          <w:highlight w:val="none"/>
        </w:rPr>
        <w:t xml:space="preserve"> </w:t>
      </w:r>
      <w:r>
        <w:rPr>
          <w:color w:val="auto"/>
          <w:spacing w:val="5"/>
          <w:sz w:val="21"/>
          <w:szCs w:val="21"/>
          <w:highlight w:val="none"/>
        </w:rPr>
        <w:t>和要求，完成本项目。投标报价为</w:t>
      </w:r>
      <w:r>
        <w:rPr>
          <w:rFonts w:hint="eastAsia"/>
          <w:color w:val="auto"/>
          <w:spacing w:val="5"/>
          <w:sz w:val="21"/>
          <w:szCs w:val="21"/>
          <w:highlight w:val="none"/>
          <w:lang w:eastAsia="zh-CN"/>
        </w:rPr>
        <w:t>（大写）</w:t>
      </w:r>
      <w:r>
        <w:rPr>
          <w:color w:val="auto"/>
          <w:spacing w:val="-30"/>
          <w:sz w:val="21"/>
          <w:szCs w:val="21"/>
          <w:highlight w:val="none"/>
          <w:u w:val="single" w:color="auto"/>
        </w:rPr>
        <w:t xml:space="preserve"> </w:t>
      </w:r>
      <w:r>
        <w:rPr>
          <w:rFonts w:hint="eastAsia"/>
          <w:color w:val="auto"/>
          <w:spacing w:val="5"/>
          <w:sz w:val="21"/>
          <w:szCs w:val="21"/>
          <w:highlight w:val="none"/>
          <w:u w:val="single" w:color="auto"/>
          <w:lang w:val="en-US" w:eastAsia="zh-CN"/>
        </w:rPr>
        <w:t xml:space="preserve">       （¥    元）</w:t>
      </w:r>
      <w:r>
        <w:rPr>
          <w:color w:val="auto"/>
          <w:sz w:val="21"/>
          <w:szCs w:val="21"/>
          <w:highlight w:val="none"/>
        </w:rPr>
        <w:t>，</w:t>
      </w:r>
      <w:r>
        <w:rPr>
          <w:color w:val="auto"/>
          <w:spacing w:val="5"/>
          <w:sz w:val="21"/>
          <w:szCs w:val="21"/>
          <w:highlight w:val="none"/>
        </w:rPr>
        <w:t>工期</w:t>
      </w:r>
      <w:r>
        <w:rPr>
          <w:color w:val="auto"/>
          <w:spacing w:val="-91"/>
          <w:sz w:val="21"/>
          <w:szCs w:val="21"/>
          <w:highlight w:val="none"/>
        </w:rPr>
        <w:t xml:space="preserve"> </w:t>
      </w:r>
      <w:r>
        <w:rPr>
          <w:rFonts w:hint="eastAsia"/>
          <w:color w:val="auto"/>
          <w:spacing w:val="0"/>
          <w:sz w:val="21"/>
          <w:szCs w:val="21"/>
          <w:highlight w:val="none"/>
        </w:rPr>
        <w:t>（交货期/监理周期/设计周期）</w:t>
      </w:r>
      <w:r>
        <w:rPr>
          <w:rFonts w:hint="eastAsia"/>
          <w:color w:val="auto"/>
          <w:spacing w:val="0"/>
          <w:sz w:val="21"/>
          <w:szCs w:val="21"/>
          <w:highlight w:val="none"/>
          <w:lang w:eastAsia="zh-CN"/>
        </w:rPr>
        <w:t>为合同生效后</w:t>
      </w:r>
      <w:r>
        <w:rPr>
          <w:color w:val="auto"/>
          <w:spacing w:val="0"/>
          <w:sz w:val="21"/>
          <w:szCs w:val="21"/>
          <w:highlight w:val="none"/>
          <w:u w:val="single" w:color="auto"/>
        </w:rPr>
        <w:t xml:space="preserve">  </w:t>
      </w:r>
      <w:r>
        <w:rPr>
          <w:color w:val="auto"/>
          <w:spacing w:val="2"/>
          <w:sz w:val="21"/>
          <w:szCs w:val="21"/>
          <w:highlight w:val="none"/>
          <w:u w:val="single" w:color="auto"/>
        </w:rPr>
        <w:t xml:space="preserve">        </w:t>
      </w:r>
      <w:r>
        <w:rPr>
          <w:color w:val="auto"/>
          <w:spacing w:val="-70"/>
          <w:sz w:val="21"/>
          <w:szCs w:val="21"/>
          <w:highlight w:val="none"/>
        </w:rPr>
        <w:t xml:space="preserve"> </w:t>
      </w:r>
      <w:r>
        <w:rPr>
          <w:color w:val="auto"/>
          <w:spacing w:val="5"/>
          <w:sz w:val="21"/>
          <w:szCs w:val="21"/>
          <w:highlight w:val="none"/>
        </w:rPr>
        <w:t>，质量</w:t>
      </w:r>
      <w:r>
        <w:rPr>
          <w:color w:val="auto"/>
          <w:spacing w:val="-97"/>
          <w:sz w:val="21"/>
          <w:szCs w:val="21"/>
          <w:highlight w:val="none"/>
        </w:rPr>
        <w:t xml:space="preserve"> </w:t>
      </w:r>
      <w:r>
        <w:rPr>
          <w:color w:val="auto"/>
          <w:spacing w:val="2"/>
          <w:sz w:val="21"/>
          <w:szCs w:val="21"/>
          <w:highlight w:val="none"/>
          <w:u w:val="single" w:color="auto"/>
        </w:rPr>
        <w:t xml:space="preserve">           </w:t>
      </w:r>
      <w:r>
        <w:rPr>
          <w:color w:val="auto"/>
          <w:spacing w:val="-70"/>
          <w:sz w:val="21"/>
          <w:szCs w:val="21"/>
          <w:highlight w:val="none"/>
        </w:rPr>
        <w:t xml:space="preserve"> </w:t>
      </w:r>
      <w:r>
        <w:rPr>
          <w:color w:val="auto"/>
          <w:spacing w:val="5"/>
          <w:sz w:val="21"/>
          <w:szCs w:val="21"/>
          <w:highlight w:val="none"/>
        </w:rPr>
        <w:t>，项目负责</w:t>
      </w:r>
      <w:r>
        <w:rPr>
          <w:color w:val="auto"/>
          <w:spacing w:val="-5"/>
          <w:sz w:val="21"/>
          <w:szCs w:val="21"/>
          <w:highlight w:val="none"/>
        </w:rPr>
        <w:t>人</w:t>
      </w:r>
      <w:r>
        <w:rPr>
          <w:rFonts w:hint="eastAsia"/>
          <w:color w:val="auto"/>
          <w:spacing w:val="-5"/>
          <w:sz w:val="21"/>
          <w:szCs w:val="21"/>
          <w:highlight w:val="none"/>
          <w:lang w:eastAsia="zh-CN"/>
        </w:rPr>
        <w:t>（项目总监）</w:t>
      </w:r>
      <w:r>
        <w:rPr>
          <w:color w:val="auto"/>
          <w:sz w:val="21"/>
          <w:szCs w:val="21"/>
          <w:highlight w:val="none"/>
          <w:u w:val="single" w:color="auto"/>
        </w:rPr>
        <w:t xml:space="preserve">                 </w:t>
      </w:r>
      <w:r>
        <w:rPr>
          <w:color w:val="auto"/>
          <w:spacing w:val="-5"/>
          <w:sz w:val="21"/>
          <w:szCs w:val="21"/>
          <w:highlight w:val="none"/>
        </w:rPr>
        <w:t>。</w:t>
      </w:r>
    </w:p>
    <w:p w14:paraId="2A4A4A4D">
      <w:pPr>
        <w:pStyle w:val="4"/>
        <w:spacing w:before="152" w:line="405" w:lineRule="exact"/>
        <w:ind w:left="3"/>
        <w:rPr>
          <w:color w:val="auto"/>
          <w:sz w:val="21"/>
          <w:szCs w:val="21"/>
          <w:highlight w:val="none"/>
        </w:rPr>
      </w:pPr>
      <w:r>
        <w:rPr>
          <w:color w:val="auto"/>
          <w:spacing w:val="-2"/>
          <w:position w:val="14"/>
          <w:sz w:val="21"/>
          <w:szCs w:val="21"/>
          <w:highlight w:val="none"/>
        </w:rPr>
        <w:t>2、我方承诺在投标有效期内不修改、撤销投标文件。</w:t>
      </w:r>
    </w:p>
    <w:p w14:paraId="6FF8AD0E">
      <w:pPr>
        <w:pStyle w:val="4"/>
        <w:spacing w:before="1" w:line="219" w:lineRule="auto"/>
        <w:ind w:left="5"/>
        <w:rPr>
          <w:color w:val="auto"/>
          <w:sz w:val="21"/>
          <w:szCs w:val="21"/>
          <w:highlight w:val="none"/>
        </w:rPr>
      </w:pPr>
      <w:r>
        <w:rPr>
          <w:color w:val="auto"/>
          <w:spacing w:val="-2"/>
          <w:sz w:val="21"/>
          <w:szCs w:val="21"/>
          <w:highlight w:val="none"/>
        </w:rPr>
        <w:t>3、投标保证金已按招标文件规定提交。</w:t>
      </w:r>
    </w:p>
    <w:p w14:paraId="08F719C2">
      <w:pPr>
        <w:pStyle w:val="4"/>
        <w:spacing w:before="171" w:line="220" w:lineRule="auto"/>
        <w:rPr>
          <w:color w:val="auto"/>
          <w:sz w:val="21"/>
          <w:szCs w:val="21"/>
          <w:highlight w:val="none"/>
        </w:rPr>
      </w:pPr>
      <w:r>
        <w:rPr>
          <w:color w:val="auto"/>
          <w:spacing w:val="-6"/>
          <w:sz w:val="21"/>
          <w:szCs w:val="21"/>
          <w:highlight w:val="none"/>
        </w:rPr>
        <w:t>4、如我方中标：</w:t>
      </w:r>
    </w:p>
    <w:p w14:paraId="7A4F5C3D">
      <w:pPr>
        <w:pStyle w:val="4"/>
        <w:spacing w:before="155" w:line="405" w:lineRule="exact"/>
        <w:ind w:left="37"/>
        <w:rPr>
          <w:color w:val="auto"/>
          <w:sz w:val="21"/>
          <w:szCs w:val="21"/>
          <w:highlight w:val="none"/>
        </w:rPr>
      </w:pPr>
      <w:r>
        <w:rPr>
          <w:color w:val="auto"/>
          <w:spacing w:val="-2"/>
          <w:position w:val="14"/>
          <w:sz w:val="21"/>
          <w:szCs w:val="21"/>
          <w:highlight w:val="none"/>
        </w:rPr>
        <w:t>(1）我方承诺在收到中标通知书后，在中标通知书规定的期限内与你方签订合同。</w:t>
      </w:r>
    </w:p>
    <w:p w14:paraId="4D166981">
      <w:pPr>
        <w:pStyle w:val="4"/>
        <w:spacing w:before="1" w:line="218" w:lineRule="auto"/>
        <w:ind w:left="37"/>
        <w:rPr>
          <w:color w:val="auto"/>
          <w:sz w:val="21"/>
          <w:szCs w:val="21"/>
          <w:highlight w:val="none"/>
        </w:rPr>
      </w:pPr>
      <w:r>
        <w:rPr>
          <w:color w:val="auto"/>
          <w:spacing w:val="-2"/>
          <w:sz w:val="21"/>
          <w:szCs w:val="21"/>
          <w:highlight w:val="none"/>
        </w:rPr>
        <w:t>(2）随同本投标函递交的投标函附录属于合同文件的</w:t>
      </w:r>
      <w:r>
        <w:rPr>
          <w:color w:val="auto"/>
          <w:spacing w:val="-3"/>
          <w:sz w:val="21"/>
          <w:szCs w:val="21"/>
          <w:highlight w:val="none"/>
        </w:rPr>
        <w:t>组成部分。</w:t>
      </w:r>
    </w:p>
    <w:p w14:paraId="69F7F21E">
      <w:pPr>
        <w:pStyle w:val="4"/>
        <w:spacing w:before="156" w:line="406" w:lineRule="exact"/>
        <w:ind w:left="37"/>
        <w:rPr>
          <w:color w:val="auto"/>
          <w:sz w:val="21"/>
          <w:szCs w:val="21"/>
          <w:highlight w:val="none"/>
        </w:rPr>
      </w:pPr>
      <w:r>
        <w:rPr>
          <w:color w:val="auto"/>
          <w:spacing w:val="-3"/>
          <w:position w:val="14"/>
          <w:sz w:val="21"/>
          <w:szCs w:val="21"/>
          <w:highlight w:val="none"/>
        </w:rPr>
        <w:t>(3）我方承诺按照招标文件规定向你方递交履约担保。</w:t>
      </w:r>
    </w:p>
    <w:p w14:paraId="106EFB38">
      <w:pPr>
        <w:pStyle w:val="4"/>
        <w:spacing w:before="1" w:line="218" w:lineRule="auto"/>
        <w:ind w:left="37"/>
        <w:rPr>
          <w:color w:val="auto"/>
          <w:sz w:val="21"/>
          <w:szCs w:val="21"/>
          <w:highlight w:val="none"/>
        </w:rPr>
      </w:pPr>
      <w:r>
        <w:rPr>
          <w:color w:val="auto"/>
          <w:spacing w:val="-3"/>
          <w:sz w:val="21"/>
          <w:szCs w:val="21"/>
          <w:highlight w:val="none"/>
        </w:rPr>
        <w:t>(4）我方承诺在合同约定的期限内完成本项目。</w:t>
      </w:r>
    </w:p>
    <w:p w14:paraId="2CD8EBA4">
      <w:pPr>
        <w:pStyle w:val="4"/>
        <w:spacing w:before="171" w:line="405" w:lineRule="exact"/>
        <w:ind w:left="5"/>
        <w:rPr>
          <w:color w:val="auto"/>
          <w:sz w:val="21"/>
          <w:szCs w:val="21"/>
          <w:highlight w:val="none"/>
        </w:rPr>
      </w:pPr>
      <w:r>
        <w:rPr>
          <w:color w:val="auto"/>
          <w:position w:val="14"/>
          <w:sz w:val="21"/>
          <w:szCs w:val="21"/>
          <w:highlight w:val="none"/>
        </w:rPr>
        <w:t>5、我方在此声明，所递交的投标文件及有关资料内容完整、真实和准确</w:t>
      </w:r>
    </w:p>
    <w:p w14:paraId="61B3C231">
      <w:pPr>
        <w:pStyle w:val="4"/>
        <w:spacing w:before="1" w:line="219" w:lineRule="auto"/>
        <w:ind w:left="2"/>
        <w:rPr>
          <w:color w:val="auto"/>
          <w:sz w:val="21"/>
          <w:szCs w:val="21"/>
          <w:highlight w:val="none"/>
        </w:rPr>
      </w:pPr>
      <w:r>
        <w:rPr>
          <w:color w:val="auto"/>
          <w:spacing w:val="-7"/>
          <w:sz w:val="21"/>
          <w:szCs w:val="21"/>
          <w:highlight w:val="none"/>
        </w:rPr>
        <w:t>6、</w:t>
      </w:r>
      <w:r>
        <w:rPr>
          <w:color w:val="auto"/>
          <w:spacing w:val="-7"/>
          <w:sz w:val="21"/>
          <w:szCs w:val="21"/>
          <w:highlight w:val="none"/>
          <w:u w:val="single" w:color="auto"/>
        </w:rPr>
        <w:t xml:space="preserve">                                   </w:t>
      </w:r>
      <w:r>
        <w:rPr>
          <w:color w:val="auto"/>
          <w:spacing w:val="-7"/>
          <w:sz w:val="21"/>
          <w:szCs w:val="21"/>
          <w:highlight w:val="none"/>
        </w:rPr>
        <w:t xml:space="preserve"> （其他补充说</w:t>
      </w:r>
      <w:r>
        <w:rPr>
          <w:color w:val="auto"/>
          <w:spacing w:val="-8"/>
          <w:sz w:val="21"/>
          <w:szCs w:val="21"/>
          <w:highlight w:val="none"/>
        </w:rPr>
        <w:t>明）。</w:t>
      </w:r>
    </w:p>
    <w:p w14:paraId="42AE558A">
      <w:pPr>
        <w:spacing w:line="262" w:lineRule="auto"/>
        <w:rPr>
          <w:rFonts w:ascii="Arial"/>
          <w:color w:val="auto"/>
          <w:sz w:val="21"/>
          <w:highlight w:val="none"/>
        </w:rPr>
      </w:pPr>
    </w:p>
    <w:p w14:paraId="27D65750">
      <w:pPr>
        <w:spacing w:line="262" w:lineRule="auto"/>
        <w:rPr>
          <w:rFonts w:ascii="Arial"/>
          <w:color w:val="auto"/>
          <w:sz w:val="21"/>
          <w:highlight w:val="none"/>
        </w:rPr>
      </w:pPr>
    </w:p>
    <w:p w14:paraId="09E5A67B">
      <w:pPr>
        <w:spacing w:line="262" w:lineRule="auto"/>
        <w:rPr>
          <w:rFonts w:ascii="Arial"/>
          <w:color w:val="auto"/>
          <w:sz w:val="21"/>
          <w:highlight w:val="none"/>
        </w:rPr>
      </w:pPr>
    </w:p>
    <w:p w14:paraId="32E6195A">
      <w:pPr>
        <w:spacing w:line="262" w:lineRule="auto"/>
        <w:rPr>
          <w:rFonts w:ascii="Arial"/>
          <w:color w:val="auto"/>
          <w:sz w:val="21"/>
          <w:highlight w:val="none"/>
        </w:rPr>
      </w:pPr>
    </w:p>
    <w:p w14:paraId="3CCD56A6">
      <w:pPr>
        <w:spacing w:line="262" w:lineRule="auto"/>
        <w:rPr>
          <w:rFonts w:ascii="Arial"/>
          <w:color w:val="auto"/>
          <w:sz w:val="21"/>
          <w:highlight w:val="none"/>
        </w:rPr>
      </w:pPr>
    </w:p>
    <w:p w14:paraId="3B17E258">
      <w:pPr>
        <w:pStyle w:val="4"/>
        <w:spacing w:before="68" w:line="219" w:lineRule="auto"/>
        <w:ind w:left="3"/>
        <w:rPr>
          <w:color w:val="auto"/>
          <w:sz w:val="21"/>
          <w:szCs w:val="21"/>
          <w:highlight w:val="none"/>
        </w:rPr>
      </w:pPr>
      <w:r>
        <w:rPr>
          <w:color w:val="auto"/>
          <w:spacing w:val="-15"/>
          <w:sz w:val="21"/>
          <w:szCs w:val="21"/>
          <w:highlight w:val="none"/>
        </w:rPr>
        <w:t>投标人（盖电子签章</w:t>
      </w:r>
      <w:r>
        <w:rPr>
          <w:color w:val="auto"/>
          <w:spacing w:val="-13"/>
          <w:sz w:val="21"/>
          <w:szCs w:val="21"/>
          <w:highlight w:val="none"/>
        </w:rPr>
        <w:t>）：</w:t>
      </w:r>
      <w:r>
        <w:rPr>
          <w:color w:val="auto"/>
          <w:spacing w:val="47"/>
          <w:sz w:val="21"/>
          <w:szCs w:val="21"/>
          <w:highlight w:val="none"/>
        </w:rPr>
        <w:t xml:space="preserve"> </w:t>
      </w:r>
      <w:r>
        <w:rPr>
          <w:color w:val="auto"/>
          <w:sz w:val="21"/>
          <w:szCs w:val="21"/>
          <w:highlight w:val="none"/>
          <w:u w:val="single" w:color="auto"/>
        </w:rPr>
        <w:t xml:space="preserve">                    </w:t>
      </w:r>
    </w:p>
    <w:p w14:paraId="66D73CA9">
      <w:pPr>
        <w:spacing w:line="245" w:lineRule="auto"/>
        <w:rPr>
          <w:rFonts w:ascii="Arial"/>
          <w:color w:val="auto"/>
          <w:sz w:val="21"/>
          <w:highlight w:val="none"/>
        </w:rPr>
      </w:pPr>
    </w:p>
    <w:p w14:paraId="3343770F">
      <w:pPr>
        <w:spacing w:line="245" w:lineRule="auto"/>
        <w:rPr>
          <w:rFonts w:ascii="Arial"/>
          <w:color w:val="auto"/>
          <w:sz w:val="21"/>
          <w:highlight w:val="none"/>
        </w:rPr>
      </w:pPr>
    </w:p>
    <w:p w14:paraId="7D963803">
      <w:pPr>
        <w:pStyle w:val="4"/>
        <w:spacing w:before="69" w:line="219" w:lineRule="auto"/>
        <w:ind w:left="1"/>
        <w:rPr>
          <w:color w:val="auto"/>
          <w:sz w:val="21"/>
          <w:szCs w:val="21"/>
          <w:highlight w:val="none"/>
        </w:rPr>
      </w:pPr>
      <w:r>
        <w:rPr>
          <w:color w:val="auto"/>
          <w:spacing w:val="-12"/>
          <w:sz w:val="21"/>
          <w:szCs w:val="21"/>
          <w:highlight w:val="none"/>
        </w:rPr>
        <w:t>法定代表人（电子签章</w:t>
      </w:r>
      <w:r>
        <w:rPr>
          <w:color w:val="auto"/>
          <w:spacing w:val="-16"/>
          <w:sz w:val="21"/>
          <w:szCs w:val="21"/>
          <w:highlight w:val="none"/>
        </w:rPr>
        <w:t>）</w:t>
      </w:r>
      <w:r>
        <w:rPr>
          <w:color w:val="auto"/>
          <w:spacing w:val="39"/>
          <w:sz w:val="21"/>
          <w:szCs w:val="21"/>
          <w:highlight w:val="none"/>
        </w:rPr>
        <w:t xml:space="preserve"> </w:t>
      </w:r>
      <w:r>
        <w:rPr>
          <w:color w:val="auto"/>
          <w:spacing w:val="-16"/>
          <w:sz w:val="21"/>
          <w:szCs w:val="21"/>
          <w:highlight w:val="none"/>
        </w:rPr>
        <w:t>：</w:t>
      </w:r>
      <w:r>
        <w:rPr>
          <w:color w:val="auto"/>
          <w:sz w:val="21"/>
          <w:szCs w:val="21"/>
          <w:highlight w:val="none"/>
          <w:u w:val="single" w:color="auto"/>
        </w:rPr>
        <w:t xml:space="preserve">                    </w:t>
      </w:r>
    </w:p>
    <w:p w14:paraId="2FAB82C6">
      <w:pPr>
        <w:spacing w:line="252" w:lineRule="auto"/>
        <w:rPr>
          <w:rFonts w:ascii="Arial"/>
          <w:color w:val="auto"/>
          <w:sz w:val="21"/>
          <w:highlight w:val="none"/>
        </w:rPr>
      </w:pPr>
    </w:p>
    <w:p w14:paraId="17B74784">
      <w:pPr>
        <w:spacing w:line="253" w:lineRule="auto"/>
        <w:rPr>
          <w:rFonts w:ascii="Arial"/>
          <w:color w:val="auto"/>
          <w:sz w:val="21"/>
          <w:highlight w:val="none"/>
        </w:rPr>
      </w:pPr>
    </w:p>
    <w:p w14:paraId="36780870">
      <w:pPr>
        <w:pStyle w:val="4"/>
        <w:spacing w:before="69" w:line="220" w:lineRule="auto"/>
        <w:ind w:left="36"/>
        <w:rPr>
          <w:color w:val="auto"/>
          <w:sz w:val="21"/>
          <w:szCs w:val="21"/>
          <w:highlight w:val="none"/>
        </w:rPr>
      </w:pPr>
      <w:r>
        <w:rPr>
          <w:color w:val="auto"/>
          <w:spacing w:val="-43"/>
          <w:sz w:val="21"/>
          <w:szCs w:val="21"/>
          <w:highlight w:val="none"/>
        </w:rPr>
        <w:t>日</w:t>
      </w:r>
      <w:r>
        <w:rPr>
          <w:color w:val="auto"/>
          <w:spacing w:val="3"/>
          <w:sz w:val="21"/>
          <w:szCs w:val="21"/>
          <w:highlight w:val="none"/>
        </w:rPr>
        <w:t xml:space="preserve">    </w:t>
      </w:r>
      <w:r>
        <w:rPr>
          <w:color w:val="auto"/>
          <w:spacing w:val="-43"/>
          <w:sz w:val="21"/>
          <w:szCs w:val="21"/>
          <w:highlight w:val="none"/>
        </w:rPr>
        <w:t>期：</w:t>
      </w:r>
      <w:r>
        <w:rPr>
          <w:color w:val="auto"/>
          <w:spacing w:val="73"/>
          <w:sz w:val="21"/>
          <w:szCs w:val="21"/>
          <w:highlight w:val="none"/>
        </w:rPr>
        <w:t xml:space="preserve"> </w:t>
      </w:r>
      <w:r>
        <w:rPr>
          <w:color w:val="auto"/>
          <w:sz w:val="21"/>
          <w:szCs w:val="21"/>
          <w:highlight w:val="none"/>
          <w:u w:val="single" w:color="auto"/>
        </w:rPr>
        <w:t xml:space="preserve">                            </w:t>
      </w:r>
    </w:p>
    <w:p w14:paraId="0DD37692">
      <w:pPr>
        <w:spacing w:line="220" w:lineRule="auto"/>
        <w:rPr>
          <w:color w:val="auto"/>
          <w:sz w:val="21"/>
          <w:szCs w:val="21"/>
          <w:highlight w:val="none"/>
        </w:rPr>
        <w:sectPr>
          <w:footerReference r:id="rId13" w:type="default"/>
          <w:pgSz w:w="11850" w:h="16785"/>
          <w:pgMar w:top="1426" w:right="1410" w:bottom="1022" w:left="1419" w:header="0" w:footer="862" w:gutter="0"/>
          <w:pgNumType w:fmt="decimal"/>
          <w:cols w:space="720" w:num="1"/>
        </w:sectPr>
      </w:pPr>
    </w:p>
    <w:p w14:paraId="5D931D4E">
      <w:pPr>
        <w:pStyle w:val="4"/>
        <w:spacing w:before="56" w:line="221" w:lineRule="auto"/>
        <w:ind w:left="3595"/>
        <w:outlineLvl w:val="2"/>
        <w:rPr>
          <w:color w:val="auto"/>
          <w:highlight w:val="none"/>
        </w:rPr>
      </w:pPr>
      <w:bookmarkStart w:id="83" w:name="_Toc14769"/>
      <w:r>
        <w:rPr>
          <w:color w:val="auto"/>
          <w:highlight w:val="none"/>
          <w14:textOutline w14:w="5170" w14:cap="flat" w14:cmpd="sng">
            <w14:solidFill>
              <w14:srgbClr w14:val="000000"/>
            </w14:solidFill>
            <w14:prstDash w14:val="solid"/>
            <w14:miter w14:val="0"/>
          </w14:textOutline>
        </w:rPr>
        <w:t>（二）投标函附录</w:t>
      </w:r>
      <w:bookmarkEnd w:id="83"/>
    </w:p>
    <w:tbl>
      <w:tblPr>
        <w:tblStyle w:val="30"/>
        <w:tblW w:w="93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7"/>
        <w:gridCol w:w="2024"/>
        <w:gridCol w:w="1304"/>
        <w:gridCol w:w="1844"/>
        <w:gridCol w:w="1155"/>
        <w:gridCol w:w="1267"/>
      </w:tblGrid>
      <w:tr w14:paraId="74F1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trPr>
        <w:tc>
          <w:tcPr>
            <w:tcW w:w="1777" w:type="dxa"/>
            <w:vAlign w:val="top"/>
          </w:tcPr>
          <w:p w14:paraId="2948A74F">
            <w:pPr>
              <w:spacing w:line="260" w:lineRule="auto"/>
              <w:rPr>
                <w:rFonts w:ascii="Arial"/>
                <w:color w:val="auto"/>
                <w:sz w:val="21"/>
                <w:highlight w:val="none"/>
              </w:rPr>
            </w:pPr>
          </w:p>
          <w:p w14:paraId="6A1A358E">
            <w:pPr>
              <w:pStyle w:val="29"/>
              <w:spacing w:before="68" w:line="220" w:lineRule="auto"/>
              <w:ind w:left="175"/>
              <w:rPr>
                <w:color w:val="auto"/>
                <w:highlight w:val="none"/>
              </w:rPr>
            </w:pPr>
            <w:r>
              <w:rPr>
                <w:color w:val="auto"/>
                <w:spacing w:val="-14"/>
                <w:highlight w:val="none"/>
              </w:rPr>
              <w:t>工程名称、标段</w:t>
            </w:r>
          </w:p>
        </w:tc>
        <w:tc>
          <w:tcPr>
            <w:tcW w:w="7594" w:type="dxa"/>
            <w:gridSpan w:val="5"/>
            <w:vAlign w:val="top"/>
          </w:tcPr>
          <w:p w14:paraId="39CF9F57">
            <w:pPr>
              <w:rPr>
                <w:rFonts w:ascii="Arial"/>
                <w:color w:val="auto"/>
                <w:sz w:val="21"/>
                <w:highlight w:val="none"/>
              </w:rPr>
            </w:pPr>
          </w:p>
        </w:tc>
      </w:tr>
      <w:tr w14:paraId="1C71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777" w:type="dxa"/>
            <w:vAlign w:val="top"/>
          </w:tcPr>
          <w:p w14:paraId="3528E124">
            <w:pPr>
              <w:spacing w:line="254" w:lineRule="auto"/>
              <w:rPr>
                <w:rFonts w:ascii="Arial"/>
                <w:color w:val="auto"/>
                <w:sz w:val="21"/>
                <w:highlight w:val="none"/>
              </w:rPr>
            </w:pPr>
          </w:p>
          <w:p w14:paraId="0FCBA2D6">
            <w:pPr>
              <w:pStyle w:val="29"/>
              <w:spacing w:before="68" w:line="220" w:lineRule="auto"/>
              <w:ind w:left="446"/>
              <w:rPr>
                <w:color w:val="auto"/>
                <w:highlight w:val="none"/>
              </w:rPr>
            </w:pPr>
            <w:r>
              <w:rPr>
                <w:color w:val="auto"/>
                <w:spacing w:val="-7"/>
                <w:highlight w:val="none"/>
              </w:rPr>
              <w:t>投</w:t>
            </w:r>
            <w:r>
              <w:rPr>
                <w:color w:val="auto"/>
                <w:spacing w:val="9"/>
                <w:highlight w:val="none"/>
              </w:rPr>
              <w:t xml:space="preserve"> </w:t>
            </w:r>
            <w:r>
              <w:rPr>
                <w:color w:val="auto"/>
                <w:spacing w:val="-7"/>
                <w:highlight w:val="none"/>
              </w:rPr>
              <w:t>标</w:t>
            </w:r>
            <w:r>
              <w:rPr>
                <w:color w:val="auto"/>
                <w:spacing w:val="11"/>
                <w:highlight w:val="none"/>
              </w:rPr>
              <w:t xml:space="preserve"> </w:t>
            </w:r>
            <w:r>
              <w:rPr>
                <w:color w:val="auto"/>
                <w:spacing w:val="-7"/>
                <w:highlight w:val="none"/>
              </w:rPr>
              <w:t>人</w:t>
            </w:r>
          </w:p>
        </w:tc>
        <w:tc>
          <w:tcPr>
            <w:tcW w:w="7594" w:type="dxa"/>
            <w:gridSpan w:val="5"/>
            <w:vAlign w:val="top"/>
          </w:tcPr>
          <w:p w14:paraId="22F3290B">
            <w:pPr>
              <w:rPr>
                <w:rFonts w:ascii="Arial"/>
                <w:color w:val="auto"/>
                <w:sz w:val="21"/>
                <w:highlight w:val="none"/>
              </w:rPr>
            </w:pPr>
          </w:p>
        </w:tc>
      </w:tr>
      <w:tr w14:paraId="049B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777" w:type="dxa"/>
            <w:vAlign w:val="top"/>
          </w:tcPr>
          <w:p w14:paraId="6AC658EC">
            <w:pPr>
              <w:spacing w:line="344" w:lineRule="auto"/>
              <w:rPr>
                <w:rFonts w:ascii="Arial"/>
                <w:color w:val="auto"/>
                <w:sz w:val="21"/>
                <w:highlight w:val="none"/>
              </w:rPr>
            </w:pPr>
          </w:p>
          <w:p w14:paraId="477BD0B9">
            <w:pPr>
              <w:pStyle w:val="29"/>
              <w:spacing w:before="68" w:line="220" w:lineRule="auto"/>
              <w:ind w:left="446"/>
              <w:rPr>
                <w:rFonts w:hint="eastAsia" w:eastAsia="宋体"/>
                <w:color w:val="auto"/>
                <w:highlight w:val="none"/>
                <w:lang w:val="en-US" w:eastAsia="zh-CN"/>
              </w:rPr>
            </w:pPr>
            <w:r>
              <w:rPr>
                <w:color w:val="auto"/>
                <w:spacing w:val="-2"/>
                <w:highlight w:val="none"/>
              </w:rPr>
              <w:t>投标</w:t>
            </w:r>
            <w:r>
              <w:rPr>
                <w:rFonts w:hint="eastAsia"/>
                <w:color w:val="auto"/>
                <w:spacing w:val="-2"/>
                <w:highlight w:val="none"/>
                <w:lang w:val="en-US" w:eastAsia="zh-CN"/>
              </w:rPr>
              <w:t>报价</w:t>
            </w:r>
          </w:p>
        </w:tc>
        <w:tc>
          <w:tcPr>
            <w:tcW w:w="7594" w:type="dxa"/>
            <w:gridSpan w:val="5"/>
            <w:vAlign w:val="top"/>
          </w:tcPr>
          <w:p w14:paraId="5B036B67">
            <w:pPr>
              <w:pStyle w:val="29"/>
              <w:spacing w:before="70" w:line="315" w:lineRule="exact"/>
              <w:ind w:left="189"/>
              <w:rPr>
                <w:color w:val="auto"/>
                <w:highlight w:val="none"/>
              </w:rPr>
            </w:pPr>
            <w:r>
              <w:rPr>
                <w:color w:val="auto"/>
                <w:spacing w:val="-5"/>
                <w:position w:val="7"/>
                <w:highlight w:val="none"/>
              </w:rPr>
              <w:t>（大写）</w:t>
            </w:r>
          </w:p>
          <w:p w14:paraId="63D95DBD">
            <w:pPr>
              <w:pStyle w:val="29"/>
              <w:spacing w:line="221" w:lineRule="auto"/>
              <w:ind w:left="189"/>
              <w:rPr>
                <w:color w:val="auto"/>
                <w:highlight w:val="none"/>
              </w:rPr>
            </w:pPr>
            <w:r>
              <w:rPr>
                <w:color w:val="auto"/>
                <w:spacing w:val="-5"/>
                <w:highlight w:val="none"/>
              </w:rPr>
              <w:t>（小写）</w:t>
            </w:r>
          </w:p>
        </w:tc>
      </w:tr>
      <w:tr w14:paraId="09F7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777" w:type="dxa"/>
            <w:vAlign w:val="top"/>
          </w:tcPr>
          <w:p w14:paraId="342CFF64">
            <w:pPr>
              <w:spacing w:line="257" w:lineRule="auto"/>
              <w:rPr>
                <w:rFonts w:ascii="Arial"/>
                <w:color w:val="auto"/>
                <w:sz w:val="21"/>
                <w:highlight w:val="none"/>
              </w:rPr>
            </w:pPr>
          </w:p>
          <w:p w14:paraId="350B3D1B">
            <w:pPr>
              <w:pStyle w:val="29"/>
              <w:spacing w:before="69" w:line="220" w:lineRule="auto"/>
              <w:ind w:left="446"/>
              <w:rPr>
                <w:color w:val="auto"/>
                <w:highlight w:val="none"/>
              </w:rPr>
            </w:pPr>
            <w:r>
              <w:rPr>
                <w:color w:val="auto"/>
                <w:spacing w:val="-2"/>
                <w:highlight w:val="none"/>
              </w:rPr>
              <w:t>投标范围</w:t>
            </w:r>
          </w:p>
        </w:tc>
        <w:tc>
          <w:tcPr>
            <w:tcW w:w="7594" w:type="dxa"/>
            <w:gridSpan w:val="5"/>
            <w:vAlign w:val="top"/>
          </w:tcPr>
          <w:p w14:paraId="3F64145B">
            <w:pPr>
              <w:rPr>
                <w:rFonts w:ascii="Arial"/>
                <w:color w:val="auto"/>
                <w:sz w:val="21"/>
                <w:highlight w:val="none"/>
              </w:rPr>
            </w:pPr>
          </w:p>
        </w:tc>
      </w:tr>
      <w:tr w14:paraId="2869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777" w:type="dxa"/>
            <w:vAlign w:val="top"/>
          </w:tcPr>
          <w:p w14:paraId="517A11BA">
            <w:pPr>
              <w:spacing w:line="259" w:lineRule="auto"/>
              <w:rPr>
                <w:rFonts w:ascii="Arial"/>
                <w:color w:val="auto"/>
                <w:sz w:val="21"/>
                <w:highlight w:val="none"/>
              </w:rPr>
            </w:pPr>
          </w:p>
          <w:p w14:paraId="3A4C2B63">
            <w:pPr>
              <w:pStyle w:val="29"/>
              <w:spacing w:before="68" w:line="220" w:lineRule="auto"/>
              <w:ind w:left="444"/>
              <w:rPr>
                <w:color w:val="auto"/>
                <w:highlight w:val="none"/>
              </w:rPr>
            </w:pPr>
            <w:r>
              <w:rPr>
                <w:color w:val="auto"/>
                <w:spacing w:val="-2"/>
                <w:highlight w:val="none"/>
              </w:rPr>
              <w:t>质量标准</w:t>
            </w:r>
          </w:p>
        </w:tc>
        <w:tc>
          <w:tcPr>
            <w:tcW w:w="7594" w:type="dxa"/>
            <w:gridSpan w:val="5"/>
            <w:vAlign w:val="top"/>
          </w:tcPr>
          <w:p w14:paraId="67B9D268">
            <w:pPr>
              <w:rPr>
                <w:rFonts w:ascii="Arial"/>
                <w:color w:val="auto"/>
                <w:sz w:val="21"/>
                <w:highlight w:val="none"/>
              </w:rPr>
            </w:pPr>
          </w:p>
        </w:tc>
      </w:tr>
      <w:tr w14:paraId="5BCAE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777" w:type="dxa"/>
            <w:vAlign w:val="top"/>
          </w:tcPr>
          <w:p w14:paraId="3A89F896">
            <w:pPr>
              <w:spacing w:line="260" w:lineRule="auto"/>
              <w:rPr>
                <w:rFonts w:ascii="Arial"/>
                <w:color w:val="auto"/>
                <w:sz w:val="21"/>
                <w:highlight w:val="none"/>
              </w:rPr>
            </w:pPr>
          </w:p>
          <w:p w14:paraId="6CDE6AAD">
            <w:pPr>
              <w:pStyle w:val="29"/>
              <w:spacing w:before="68" w:line="220" w:lineRule="auto"/>
              <w:ind w:left="234"/>
              <w:rPr>
                <w:color w:val="auto"/>
                <w:highlight w:val="none"/>
              </w:rPr>
            </w:pPr>
            <w:r>
              <w:rPr>
                <w:color w:val="auto"/>
                <w:spacing w:val="-1"/>
                <w:highlight w:val="none"/>
              </w:rPr>
              <w:t>监理服务期限</w:t>
            </w:r>
          </w:p>
        </w:tc>
        <w:tc>
          <w:tcPr>
            <w:tcW w:w="7594" w:type="dxa"/>
            <w:gridSpan w:val="5"/>
            <w:vAlign w:val="top"/>
          </w:tcPr>
          <w:p w14:paraId="1033F283">
            <w:pPr>
              <w:rPr>
                <w:rFonts w:ascii="Arial"/>
                <w:color w:val="auto"/>
                <w:sz w:val="21"/>
                <w:highlight w:val="none"/>
              </w:rPr>
            </w:pPr>
          </w:p>
        </w:tc>
      </w:tr>
      <w:tr w14:paraId="79B0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trPr>
        <w:tc>
          <w:tcPr>
            <w:tcW w:w="1777" w:type="dxa"/>
            <w:vAlign w:val="top"/>
          </w:tcPr>
          <w:p w14:paraId="52112F6A">
            <w:pPr>
              <w:spacing w:line="263" w:lineRule="auto"/>
              <w:rPr>
                <w:rFonts w:ascii="Arial"/>
                <w:color w:val="auto"/>
                <w:sz w:val="21"/>
                <w:highlight w:val="none"/>
              </w:rPr>
            </w:pPr>
          </w:p>
          <w:p w14:paraId="7C2A2603">
            <w:pPr>
              <w:pStyle w:val="29"/>
              <w:spacing w:before="68" w:line="220" w:lineRule="auto"/>
              <w:ind w:left="341"/>
              <w:rPr>
                <w:color w:val="auto"/>
                <w:highlight w:val="none"/>
              </w:rPr>
            </w:pPr>
            <w:r>
              <w:rPr>
                <w:color w:val="auto"/>
                <w:spacing w:val="-2"/>
                <w:highlight w:val="none"/>
              </w:rPr>
              <w:t>投标有效期</w:t>
            </w:r>
          </w:p>
        </w:tc>
        <w:tc>
          <w:tcPr>
            <w:tcW w:w="7594" w:type="dxa"/>
            <w:gridSpan w:val="5"/>
            <w:vAlign w:val="top"/>
          </w:tcPr>
          <w:p w14:paraId="02A03D29">
            <w:pPr>
              <w:rPr>
                <w:rFonts w:ascii="Arial"/>
                <w:color w:val="auto"/>
                <w:sz w:val="21"/>
                <w:highlight w:val="none"/>
              </w:rPr>
            </w:pPr>
          </w:p>
        </w:tc>
      </w:tr>
      <w:tr w14:paraId="75E58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777" w:type="dxa"/>
            <w:vAlign w:val="top"/>
          </w:tcPr>
          <w:p w14:paraId="480F4F0D">
            <w:pPr>
              <w:spacing w:line="249" w:lineRule="auto"/>
              <w:rPr>
                <w:rFonts w:ascii="Arial"/>
                <w:color w:val="auto"/>
                <w:sz w:val="21"/>
                <w:highlight w:val="none"/>
              </w:rPr>
            </w:pPr>
          </w:p>
          <w:p w14:paraId="1FE0E25B">
            <w:pPr>
              <w:pStyle w:val="29"/>
              <w:spacing w:before="69" w:line="220" w:lineRule="auto"/>
              <w:ind w:left="462"/>
              <w:rPr>
                <w:color w:val="auto"/>
                <w:highlight w:val="none"/>
              </w:rPr>
            </w:pPr>
            <w:r>
              <w:rPr>
                <w:color w:val="auto"/>
                <w:spacing w:val="-2"/>
                <w:highlight w:val="none"/>
              </w:rPr>
              <w:t>项目总监</w:t>
            </w:r>
          </w:p>
        </w:tc>
        <w:tc>
          <w:tcPr>
            <w:tcW w:w="2024" w:type="dxa"/>
            <w:vAlign w:val="top"/>
          </w:tcPr>
          <w:p w14:paraId="3BAE96BA">
            <w:pPr>
              <w:rPr>
                <w:rFonts w:ascii="Arial"/>
                <w:color w:val="auto"/>
                <w:sz w:val="21"/>
                <w:highlight w:val="none"/>
              </w:rPr>
            </w:pPr>
          </w:p>
        </w:tc>
        <w:tc>
          <w:tcPr>
            <w:tcW w:w="1304" w:type="dxa"/>
            <w:vAlign w:val="top"/>
          </w:tcPr>
          <w:p w14:paraId="4AE9D7FA">
            <w:pPr>
              <w:spacing w:line="249" w:lineRule="auto"/>
              <w:rPr>
                <w:rFonts w:ascii="Arial"/>
                <w:color w:val="auto"/>
                <w:sz w:val="21"/>
                <w:highlight w:val="none"/>
              </w:rPr>
            </w:pPr>
          </w:p>
          <w:p w14:paraId="2A90D37A">
            <w:pPr>
              <w:pStyle w:val="29"/>
              <w:spacing w:before="69" w:line="220" w:lineRule="auto"/>
              <w:ind w:left="458"/>
              <w:rPr>
                <w:color w:val="auto"/>
                <w:highlight w:val="none"/>
              </w:rPr>
            </w:pPr>
            <w:r>
              <w:rPr>
                <w:color w:val="auto"/>
                <w:spacing w:val="-3"/>
                <w:highlight w:val="none"/>
              </w:rPr>
              <w:t>专业</w:t>
            </w:r>
          </w:p>
        </w:tc>
        <w:tc>
          <w:tcPr>
            <w:tcW w:w="1844" w:type="dxa"/>
            <w:vAlign w:val="top"/>
          </w:tcPr>
          <w:p w14:paraId="2024E7E4">
            <w:pPr>
              <w:rPr>
                <w:rFonts w:ascii="Arial"/>
                <w:color w:val="auto"/>
                <w:sz w:val="21"/>
                <w:highlight w:val="none"/>
              </w:rPr>
            </w:pPr>
          </w:p>
        </w:tc>
        <w:tc>
          <w:tcPr>
            <w:tcW w:w="1155" w:type="dxa"/>
            <w:vAlign w:val="top"/>
          </w:tcPr>
          <w:p w14:paraId="008D5A8C">
            <w:pPr>
              <w:spacing w:line="249" w:lineRule="auto"/>
              <w:rPr>
                <w:rFonts w:ascii="Arial"/>
                <w:color w:val="auto"/>
                <w:sz w:val="21"/>
                <w:highlight w:val="none"/>
              </w:rPr>
            </w:pPr>
          </w:p>
          <w:p w14:paraId="30C4297E">
            <w:pPr>
              <w:pStyle w:val="29"/>
              <w:spacing w:before="68" w:line="219" w:lineRule="auto"/>
              <w:ind w:left="178"/>
              <w:rPr>
                <w:color w:val="auto"/>
                <w:highlight w:val="none"/>
              </w:rPr>
            </w:pPr>
            <w:r>
              <w:rPr>
                <w:color w:val="auto"/>
                <w:spacing w:val="-2"/>
                <w:highlight w:val="none"/>
              </w:rPr>
              <w:t>证书编号</w:t>
            </w:r>
          </w:p>
        </w:tc>
        <w:tc>
          <w:tcPr>
            <w:tcW w:w="1267" w:type="dxa"/>
            <w:vAlign w:val="top"/>
          </w:tcPr>
          <w:p w14:paraId="676CC74D">
            <w:pPr>
              <w:rPr>
                <w:rFonts w:ascii="Arial"/>
                <w:color w:val="auto"/>
                <w:sz w:val="21"/>
                <w:highlight w:val="none"/>
              </w:rPr>
            </w:pPr>
          </w:p>
        </w:tc>
      </w:tr>
      <w:tr w14:paraId="0F89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trPr>
        <w:tc>
          <w:tcPr>
            <w:tcW w:w="1777" w:type="dxa"/>
            <w:vAlign w:val="top"/>
          </w:tcPr>
          <w:p w14:paraId="5EC7141A">
            <w:pPr>
              <w:spacing w:line="310" w:lineRule="auto"/>
              <w:rPr>
                <w:rFonts w:ascii="Arial"/>
                <w:color w:val="auto"/>
                <w:sz w:val="21"/>
                <w:highlight w:val="none"/>
              </w:rPr>
            </w:pPr>
          </w:p>
          <w:p w14:paraId="348EDC56">
            <w:pPr>
              <w:pStyle w:val="29"/>
              <w:spacing w:before="69" w:line="221" w:lineRule="auto"/>
              <w:ind w:left="686"/>
              <w:rPr>
                <w:color w:val="auto"/>
                <w:highlight w:val="none"/>
              </w:rPr>
            </w:pPr>
            <w:r>
              <w:rPr>
                <w:color w:val="auto"/>
                <w:spacing w:val="-3"/>
                <w:highlight w:val="none"/>
              </w:rPr>
              <w:t>备注</w:t>
            </w:r>
          </w:p>
        </w:tc>
        <w:tc>
          <w:tcPr>
            <w:tcW w:w="7594" w:type="dxa"/>
            <w:gridSpan w:val="5"/>
            <w:vAlign w:val="top"/>
          </w:tcPr>
          <w:p w14:paraId="0415232A">
            <w:pPr>
              <w:rPr>
                <w:rFonts w:ascii="Arial"/>
                <w:color w:val="auto"/>
                <w:sz w:val="21"/>
                <w:highlight w:val="none"/>
              </w:rPr>
            </w:pPr>
          </w:p>
        </w:tc>
      </w:tr>
    </w:tbl>
    <w:p w14:paraId="19D115C6">
      <w:pPr>
        <w:spacing w:line="408" w:lineRule="auto"/>
        <w:rPr>
          <w:rFonts w:ascii="Arial"/>
          <w:color w:val="auto"/>
          <w:sz w:val="21"/>
          <w:highlight w:val="none"/>
        </w:rPr>
      </w:pPr>
    </w:p>
    <w:p w14:paraId="5731B91C">
      <w:pPr>
        <w:pStyle w:val="4"/>
        <w:spacing w:before="72" w:line="365" w:lineRule="auto"/>
        <w:ind w:right="50"/>
        <w:jc w:val="right"/>
        <w:rPr>
          <w:color w:val="auto"/>
          <w:sz w:val="22"/>
          <w:szCs w:val="22"/>
          <w:highlight w:val="none"/>
        </w:rPr>
      </w:pPr>
      <w:r>
        <w:rPr>
          <w:color w:val="auto"/>
          <w:spacing w:val="-21"/>
          <w:sz w:val="22"/>
          <w:szCs w:val="22"/>
          <w:highlight w:val="none"/>
        </w:rPr>
        <w:t>投标人</w:t>
      </w:r>
      <w:r>
        <w:rPr>
          <w:color w:val="auto"/>
          <w:sz w:val="22"/>
          <w:szCs w:val="22"/>
          <w:highlight w:val="none"/>
        </w:rPr>
        <w:t xml:space="preserve">： </w:t>
      </w:r>
      <w:r>
        <w:rPr>
          <w:color w:val="auto"/>
          <w:sz w:val="22"/>
          <w:szCs w:val="22"/>
          <w:highlight w:val="none"/>
          <w:u w:val="single" w:color="auto"/>
        </w:rPr>
        <w:t xml:space="preserve">               </w:t>
      </w:r>
      <w:r>
        <w:rPr>
          <w:color w:val="auto"/>
          <w:spacing w:val="-45"/>
          <w:sz w:val="22"/>
          <w:szCs w:val="22"/>
          <w:highlight w:val="none"/>
        </w:rPr>
        <w:t xml:space="preserve"> </w:t>
      </w:r>
      <w:r>
        <w:rPr>
          <w:color w:val="auto"/>
          <w:sz w:val="22"/>
          <w:szCs w:val="22"/>
          <w:highlight w:val="none"/>
        </w:rPr>
        <w:t>（</w:t>
      </w:r>
      <w:r>
        <w:rPr>
          <w:color w:val="auto"/>
          <w:spacing w:val="-21"/>
          <w:sz w:val="22"/>
          <w:szCs w:val="22"/>
          <w:highlight w:val="none"/>
        </w:rPr>
        <w:t>电子签章）</w:t>
      </w:r>
    </w:p>
    <w:p w14:paraId="7F78EDDE">
      <w:pPr>
        <w:pStyle w:val="4"/>
        <w:spacing w:before="1" w:line="222" w:lineRule="auto"/>
        <w:ind w:right="35"/>
        <w:jc w:val="right"/>
        <w:rPr>
          <w:color w:val="auto"/>
          <w:sz w:val="22"/>
          <w:szCs w:val="22"/>
          <w:highlight w:val="none"/>
        </w:rPr>
      </w:pPr>
      <w:r>
        <w:rPr>
          <w:color w:val="auto"/>
          <w:spacing w:val="-13"/>
          <w:sz w:val="22"/>
          <w:szCs w:val="22"/>
          <w:highlight w:val="none"/>
        </w:rPr>
        <w:t>法定代表人</w:t>
      </w:r>
      <w:r>
        <w:rPr>
          <w:color w:val="auto"/>
          <w:spacing w:val="2"/>
          <w:sz w:val="22"/>
          <w:szCs w:val="22"/>
          <w:highlight w:val="none"/>
        </w:rPr>
        <w:t>：</w:t>
      </w:r>
      <w:r>
        <w:rPr>
          <w:color w:val="auto"/>
          <w:spacing w:val="-43"/>
          <w:sz w:val="22"/>
          <w:szCs w:val="22"/>
          <w:highlight w:val="none"/>
        </w:rPr>
        <w:t xml:space="preserve"> </w:t>
      </w:r>
      <w:r>
        <w:rPr>
          <w:color w:val="auto"/>
          <w:spacing w:val="1"/>
          <w:sz w:val="22"/>
          <w:szCs w:val="22"/>
          <w:highlight w:val="none"/>
          <w:u w:val="single" w:color="auto"/>
        </w:rPr>
        <w:t xml:space="preserve">          </w:t>
      </w:r>
      <w:r>
        <w:rPr>
          <w:color w:val="auto"/>
          <w:spacing w:val="-47"/>
          <w:sz w:val="22"/>
          <w:szCs w:val="22"/>
          <w:highlight w:val="none"/>
        </w:rPr>
        <w:t xml:space="preserve"> </w:t>
      </w:r>
      <w:r>
        <w:rPr>
          <w:color w:val="auto"/>
          <w:spacing w:val="2"/>
          <w:sz w:val="22"/>
          <w:szCs w:val="22"/>
          <w:highlight w:val="none"/>
        </w:rPr>
        <w:t>（</w:t>
      </w:r>
      <w:r>
        <w:rPr>
          <w:color w:val="auto"/>
          <w:spacing w:val="-13"/>
          <w:sz w:val="22"/>
          <w:szCs w:val="22"/>
          <w:highlight w:val="none"/>
        </w:rPr>
        <w:t>电子签章）</w:t>
      </w:r>
    </w:p>
    <w:p w14:paraId="153163AB">
      <w:pPr>
        <w:pStyle w:val="4"/>
        <w:spacing w:before="155" w:line="224" w:lineRule="auto"/>
        <w:ind w:left="6505"/>
        <w:rPr>
          <w:color w:val="auto"/>
          <w:sz w:val="22"/>
          <w:szCs w:val="22"/>
          <w:highlight w:val="none"/>
        </w:rPr>
      </w:pPr>
      <w:r>
        <w:rPr>
          <w:color w:val="auto"/>
          <w:spacing w:val="0"/>
          <w:sz w:val="22"/>
          <w:szCs w:val="22"/>
          <w:highlight w:val="none"/>
        </w:rPr>
        <w:t>日期：</w:t>
      </w:r>
      <w:r>
        <w:rPr>
          <w:color w:val="auto"/>
          <w:spacing w:val="-11"/>
          <w:sz w:val="22"/>
          <w:szCs w:val="22"/>
          <w:highlight w:val="none"/>
        </w:rPr>
        <w:t xml:space="preserve"> </w:t>
      </w:r>
      <w:r>
        <w:rPr>
          <w:color w:val="auto"/>
          <w:sz w:val="22"/>
          <w:szCs w:val="22"/>
          <w:highlight w:val="none"/>
          <w:u w:val="single" w:color="auto"/>
        </w:rPr>
        <w:t xml:space="preserve">                    </w:t>
      </w:r>
    </w:p>
    <w:p w14:paraId="74EF3AE2">
      <w:pPr>
        <w:spacing w:line="224" w:lineRule="auto"/>
        <w:rPr>
          <w:color w:val="auto"/>
          <w:sz w:val="22"/>
          <w:szCs w:val="22"/>
          <w:highlight w:val="none"/>
        </w:rPr>
        <w:sectPr>
          <w:footerReference r:id="rId14" w:type="default"/>
          <w:pgSz w:w="11910" w:h="16845"/>
          <w:pgMar w:top="1394" w:right="1351" w:bottom="1022" w:left="1171" w:header="0" w:footer="862" w:gutter="0"/>
          <w:pgNumType w:fmt="decimal"/>
          <w:cols w:space="720" w:num="1"/>
        </w:sectPr>
      </w:pPr>
    </w:p>
    <w:p w14:paraId="53970CCC">
      <w:pPr>
        <w:pStyle w:val="4"/>
        <w:spacing w:before="63" w:line="222" w:lineRule="auto"/>
        <w:ind w:left="1901"/>
        <w:outlineLvl w:val="1"/>
        <w:rPr>
          <w:color w:val="auto"/>
          <w:sz w:val="31"/>
          <w:szCs w:val="31"/>
          <w:highlight w:val="none"/>
        </w:rPr>
      </w:pPr>
      <w:bookmarkStart w:id="84" w:name="_Toc8520"/>
      <w:r>
        <w:rPr>
          <w:color w:val="auto"/>
          <w:spacing w:val="10"/>
          <w:sz w:val="31"/>
          <w:szCs w:val="31"/>
          <w:highlight w:val="none"/>
          <w14:textOutline w14:w="5724" w14:cap="flat" w14:cmpd="sng">
            <w14:solidFill>
              <w14:srgbClr w14:val="000000"/>
            </w14:solidFill>
            <w14:prstDash w14:val="solid"/>
            <w14:miter w14:val="0"/>
          </w14:textOutline>
        </w:rPr>
        <w:t>二、法定代表人身份证明及授权委托书</w:t>
      </w:r>
      <w:bookmarkEnd w:id="84"/>
    </w:p>
    <w:p w14:paraId="3CD2E4E8">
      <w:pPr>
        <w:spacing w:line="385" w:lineRule="auto"/>
        <w:rPr>
          <w:rFonts w:ascii="Arial"/>
          <w:color w:val="auto"/>
          <w:sz w:val="21"/>
          <w:highlight w:val="none"/>
        </w:rPr>
      </w:pPr>
    </w:p>
    <w:p w14:paraId="5749D766">
      <w:pPr>
        <w:pStyle w:val="4"/>
        <w:spacing w:before="91" w:line="223" w:lineRule="auto"/>
        <w:ind w:left="2942"/>
        <w:outlineLvl w:val="2"/>
        <w:rPr>
          <w:color w:val="auto"/>
          <w:highlight w:val="none"/>
        </w:rPr>
      </w:pPr>
      <w:bookmarkStart w:id="85" w:name="_Toc3584"/>
      <w:r>
        <w:rPr>
          <w:color w:val="auto"/>
          <w:spacing w:val="1"/>
          <w:highlight w:val="none"/>
          <w14:textOutline w14:w="5170" w14:cap="flat" w14:cmpd="sng">
            <w14:solidFill>
              <w14:srgbClr w14:val="000000"/>
            </w14:solidFill>
            <w14:prstDash w14:val="solid"/>
            <w14:miter w14:val="0"/>
          </w14:textOutline>
        </w:rPr>
        <w:t>（一）法定代表人身份证明</w:t>
      </w:r>
      <w:bookmarkEnd w:id="85"/>
    </w:p>
    <w:p w14:paraId="182CBD3B">
      <w:pPr>
        <w:spacing w:line="377" w:lineRule="auto"/>
        <w:rPr>
          <w:rFonts w:ascii="Arial"/>
          <w:color w:val="auto"/>
          <w:sz w:val="21"/>
          <w:highlight w:val="none"/>
        </w:rPr>
      </w:pPr>
    </w:p>
    <w:p w14:paraId="08C5B26C">
      <w:pPr>
        <w:pStyle w:val="4"/>
        <w:spacing w:before="68" w:line="220" w:lineRule="auto"/>
        <w:ind w:left="2"/>
        <w:rPr>
          <w:color w:val="auto"/>
          <w:spacing w:val="0"/>
          <w:w w:val="100"/>
          <w:sz w:val="21"/>
          <w:szCs w:val="21"/>
          <w:highlight w:val="none"/>
        </w:rPr>
      </w:pPr>
      <w:r>
        <w:rPr>
          <w:color w:val="auto"/>
          <w:spacing w:val="0"/>
          <w:w w:val="100"/>
          <w:sz w:val="21"/>
          <w:szCs w:val="21"/>
          <w:highlight w:val="none"/>
        </w:rPr>
        <w:t xml:space="preserve">投 标 人： </w:t>
      </w:r>
      <w:r>
        <w:rPr>
          <w:color w:val="auto"/>
          <w:spacing w:val="0"/>
          <w:w w:val="100"/>
          <w:sz w:val="21"/>
          <w:szCs w:val="21"/>
          <w:highlight w:val="none"/>
          <w:u w:val="single" w:color="auto"/>
        </w:rPr>
        <w:t xml:space="preserve">                                                         </w:t>
      </w:r>
    </w:p>
    <w:p w14:paraId="2F81ACA5">
      <w:pPr>
        <w:pStyle w:val="4"/>
        <w:spacing w:before="154" w:line="220" w:lineRule="auto"/>
        <w:ind w:left="1"/>
        <w:rPr>
          <w:color w:val="auto"/>
          <w:spacing w:val="0"/>
          <w:w w:val="100"/>
          <w:sz w:val="21"/>
          <w:szCs w:val="21"/>
          <w:highlight w:val="none"/>
        </w:rPr>
      </w:pPr>
      <w:r>
        <w:rPr>
          <w:color w:val="auto"/>
          <w:spacing w:val="0"/>
          <w:w w:val="100"/>
          <w:sz w:val="21"/>
          <w:szCs w:val="21"/>
          <w:highlight w:val="none"/>
        </w:rPr>
        <w:t xml:space="preserve">单位性质： </w:t>
      </w:r>
      <w:r>
        <w:rPr>
          <w:color w:val="auto"/>
          <w:spacing w:val="0"/>
          <w:w w:val="100"/>
          <w:sz w:val="21"/>
          <w:szCs w:val="21"/>
          <w:highlight w:val="none"/>
          <w:u w:val="single" w:color="auto"/>
        </w:rPr>
        <w:t xml:space="preserve">                                                         </w:t>
      </w:r>
    </w:p>
    <w:p w14:paraId="2380FB6F">
      <w:pPr>
        <w:pStyle w:val="4"/>
        <w:spacing w:before="154" w:line="229" w:lineRule="auto"/>
        <w:rPr>
          <w:color w:val="auto"/>
          <w:spacing w:val="0"/>
          <w:w w:val="100"/>
          <w:sz w:val="21"/>
          <w:szCs w:val="21"/>
          <w:highlight w:val="none"/>
        </w:rPr>
      </w:pPr>
      <w:r>
        <w:rPr>
          <w:color w:val="auto"/>
          <w:spacing w:val="0"/>
          <w:w w:val="100"/>
          <w:sz w:val="21"/>
          <w:szCs w:val="21"/>
          <w:highlight w:val="none"/>
        </w:rPr>
        <w:t xml:space="preserve">地    址： </w:t>
      </w:r>
      <w:r>
        <w:rPr>
          <w:color w:val="auto"/>
          <w:spacing w:val="0"/>
          <w:w w:val="100"/>
          <w:sz w:val="21"/>
          <w:szCs w:val="21"/>
          <w:highlight w:val="none"/>
          <w:u w:val="single" w:color="auto"/>
        </w:rPr>
        <w:t xml:space="preserve">                                                         </w:t>
      </w:r>
    </w:p>
    <w:p w14:paraId="2A6E644C">
      <w:pPr>
        <w:pStyle w:val="4"/>
        <w:spacing w:before="144" w:line="220" w:lineRule="auto"/>
        <w:ind w:left="1"/>
        <w:rPr>
          <w:color w:val="auto"/>
          <w:spacing w:val="0"/>
          <w:w w:val="100"/>
          <w:sz w:val="21"/>
          <w:szCs w:val="21"/>
          <w:highlight w:val="none"/>
        </w:rPr>
      </w:pPr>
      <w:r>
        <w:rPr>
          <w:color w:val="auto"/>
          <w:spacing w:val="0"/>
          <w:w w:val="100"/>
          <w:sz w:val="21"/>
          <w:szCs w:val="21"/>
          <w:highlight w:val="none"/>
        </w:rPr>
        <w:t xml:space="preserve">成立时间： </w:t>
      </w:r>
      <w:r>
        <w:rPr>
          <w:color w:val="auto"/>
          <w:spacing w:val="0"/>
          <w:w w:val="100"/>
          <w:sz w:val="21"/>
          <w:szCs w:val="21"/>
          <w:highlight w:val="none"/>
          <w:u w:val="single" w:color="auto"/>
        </w:rPr>
        <w:t xml:space="preserve">                 </w:t>
      </w:r>
      <w:r>
        <w:rPr>
          <w:color w:val="auto"/>
          <w:spacing w:val="0"/>
          <w:w w:val="100"/>
          <w:sz w:val="21"/>
          <w:szCs w:val="21"/>
          <w:highlight w:val="none"/>
        </w:rPr>
        <w:t xml:space="preserve"> 年 </w:t>
      </w:r>
      <w:r>
        <w:rPr>
          <w:color w:val="auto"/>
          <w:spacing w:val="0"/>
          <w:w w:val="100"/>
          <w:sz w:val="21"/>
          <w:szCs w:val="21"/>
          <w:highlight w:val="none"/>
          <w:u w:val="single" w:color="auto"/>
        </w:rPr>
        <w:t xml:space="preserve">              </w:t>
      </w:r>
      <w:r>
        <w:rPr>
          <w:color w:val="auto"/>
          <w:spacing w:val="0"/>
          <w:w w:val="100"/>
          <w:sz w:val="21"/>
          <w:szCs w:val="21"/>
          <w:highlight w:val="none"/>
        </w:rPr>
        <w:t xml:space="preserve"> 月</w:t>
      </w:r>
      <w:r>
        <w:rPr>
          <w:color w:val="auto"/>
          <w:spacing w:val="0"/>
          <w:w w:val="100"/>
          <w:sz w:val="21"/>
          <w:szCs w:val="21"/>
          <w:highlight w:val="none"/>
          <w:u w:val="single" w:color="auto"/>
        </w:rPr>
        <w:t xml:space="preserve">              </w:t>
      </w:r>
      <w:r>
        <w:rPr>
          <w:color w:val="auto"/>
          <w:spacing w:val="0"/>
          <w:w w:val="100"/>
          <w:sz w:val="21"/>
          <w:szCs w:val="21"/>
          <w:highlight w:val="none"/>
        </w:rPr>
        <w:t xml:space="preserve"> 日</w:t>
      </w:r>
    </w:p>
    <w:p w14:paraId="711ED28E">
      <w:pPr>
        <w:pStyle w:val="4"/>
        <w:spacing w:before="171" w:line="220" w:lineRule="auto"/>
        <w:ind w:left="1"/>
        <w:rPr>
          <w:color w:val="auto"/>
          <w:spacing w:val="0"/>
          <w:w w:val="100"/>
          <w:sz w:val="21"/>
          <w:szCs w:val="21"/>
          <w:highlight w:val="none"/>
        </w:rPr>
      </w:pPr>
      <w:r>
        <w:rPr>
          <w:color w:val="auto"/>
          <w:spacing w:val="0"/>
          <w:w w:val="100"/>
          <w:sz w:val="21"/>
          <w:szCs w:val="21"/>
          <w:highlight w:val="none"/>
        </w:rPr>
        <w:t xml:space="preserve">经营期限： </w:t>
      </w:r>
      <w:r>
        <w:rPr>
          <w:color w:val="auto"/>
          <w:spacing w:val="0"/>
          <w:w w:val="100"/>
          <w:sz w:val="21"/>
          <w:szCs w:val="21"/>
          <w:highlight w:val="none"/>
          <w:u w:val="single" w:color="auto"/>
        </w:rPr>
        <w:t xml:space="preserve">                                                         </w:t>
      </w:r>
    </w:p>
    <w:p w14:paraId="1A5F66F8">
      <w:pPr>
        <w:pStyle w:val="4"/>
        <w:spacing w:before="154" w:line="220" w:lineRule="auto"/>
        <w:rPr>
          <w:color w:val="auto"/>
          <w:spacing w:val="0"/>
          <w:w w:val="100"/>
          <w:sz w:val="21"/>
          <w:szCs w:val="21"/>
          <w:highlight w:val="none"/>
        </w:rPr>
      </w:pPr>
      <w:r>
        <w:rPr>
          <w:color w:val="auto"/>
          <w:spacing w:val="0"/>
          <w:w w:val="100"/>
          <w:sz w:val="21"/>
          <w:szCs w:val="21"/>
          <w:highlight w:val="none"/>
        </w:rPr>
        <w:t xml:space="preserve">姓    名： </w:t>
      </w:r>
      <w:r>
        <w:rPr>
          <w:color w:val="auto"/>
          <w:spacing w:val="0"/>
          <w:w w:val="100"/>
          <w:sz w:val="21"/>
          <w:szCs w:val="21"/>
          <w:highlight w:val="none"/>
          <w:u w:val="single" w:color="auto"/>
        </w:rPr>
        <w:t xml:space="preserve">                          </w:t>
      </w:r>
      <w:r>
        <w:rPr>
          <w:color w:val="auto"/>
          <w:spacing w:val="0"/>
          <w:w w:val="100"/>
          <w:sz w:val="21"/>
          <w:szCs w:val="21"/>
          <w:highlight w:val="none"/>
        </w:rPr>
        <w:t xml:space="preserve"> 性        别： </w:t>
      </w:r>
      <w:r>
        <w:rPr>
          <w:color w:val="auto"/>
          <w:spacing w:val="0"/>
          <w:w w:val="100"/>
          <w:sz w:val="21"/>
          <w:szCs w:val="21"/>
          <w:highlight w:val="none"/>
          <w:u w:val="single" w:color="auto"/>
        </w:rPr>
        <w:t xml:space="preserve">                 </w:t>
      </w:r>
    </w:p>
    <w:p w14:paraId="736B387D">
      <w:pPr>
        <w:pStyle w:val="4"/>
        <w:spacing w:before="156" w:line="220" w:lineRule="auto"/>
        <w:rPr>
          <w:color w:val="auto"/>
          <w:sz w:val="21"/>
          <w:szCs w:val="21"/>
          <w:highlight w:val="none"/>
        </w:rPr>
      </w:pPr>
      <w:r>
        <w:rPr>
          <w:color w:val="auto"/>
          <w:spacing w:val="0"/>
          <w:w w:val="100"/>
          <w:sz w:val="21"/>
          <w:szCs w:val="21"/>
          <w:highlight w:val="none"/>
        </w:rPr>
        <w:t>年    龄</w:t>
      </w:r>
      <w:r>
        <w:rPr>
          <w:color w:val="auto"/>
          <w:spacing w:val="-29"/>
          <w:w w:val="99"/>
          <w:sz w:val="21"/>
          <w:szCs w:val="21"/>
          <w:highlight w:val="none"/>
        </w:rPr>
        <w:t>：</w:t>
      </w:r>
      <w:r>
        <w:rPr>
          <w:color w:val="auto"/>
          <w:spacing w:val="-30"/>
          <w:sz w:val="21"/>
          <w:szCs w:val="21"/>
          <w:highlight w:val="none"/>
        </w:rPr>
        <w:t xml:space="preserve"> </w:t>
      </w:r>
      <w:r>
        <w:rPr>
          <w:color w:val="auto"/>
          <w:sz w:val="21"/>
          <w:szCs w:val="21"/>
          <w:highlight w:val="none"/>
          <w:u w:val="single" w:color="auto"/>
        </w:rPr>
        <w:t xml:space="preserve">                          </w:t>
      </w:r>
      <w:r>
        <w:rPr>
          <w:color w:val="auto"/>
          <w:spacing w:val="-92"/>
          <w:sz w:val="21"/>
          <w:szCs w:val="21"/>
          <w:highlight w:val="none"/>
        </w:rPr>
        <w:t xml:space="preserve"> </w:t>
      </w:r>
      <w:r>
        <w:rPr>
          <w:color w:val="auto"/>
          <w:spacing w:val="-29"/>
          <w:w w:val="99"/>
          <w:sz w:val="21"/>
          <w:szCs w:val="21"/>
          <w:highlight w:val="none"/>
        </w:rPr>
        <w:t>职</w:t>
      </w:r>
      <w:r>
        <w:rPr>
          <w:color w:val="auto"/>
          <w:spacing w:val="1"/>
          <w:sz w:val="21"/>
          <w:szCs w:val="21"/>
          <w:highlight w:val="none"/>
        </w:rPr>
        <w:t xml:space="preserve">        </w:t>
      </w:r>
      <w:r>
        <w:rPr>
          <w:color w:val="auto"/>
          <w:spacing w:val="-29"/>
          <w:w w:val="99"/>
          <w:sz w:val="21"/>
          <w:szCs w:val="21"/>
          <w:highlight w:val="none"/>
        </w:rPr>
        <w:t>务：</w:t>
      </w:r>
      <w:r>
        <w:rPr>
          <w:color w:val="auto"/>
          <w:spacing w:val="-30"/>
          <w:sz w:val="21"/>
          <w:szCs w:val="21"/>
          <w:highlight w:val="none"/>
        </w:rPr>
        <w:t xml:space="preserve"> </w:t>
      </w:r>
      <w:r>
        <w:rPr>
          <w:color w:val="auto"/>
          <w:sz w:val="21"/>
          <w:szCs w:val="21"/>
          <w:highlight w:val="none"/>
          <w:u w:val="single" w:color="auto"/>
        </w:rPr>
        <w:t xml:space="preserve">                 </w:t>
      </w:r>
    </w:p>
    <w:p w14:paraId="25B46F18">
      <w:pPr>
        <w:pStyle w:val="4"/>
        <w:spacing w:before="156" w:line="369" w:lineRule="auto"/>
        <w:ind w:left="4"/>
        <w:rPr>
          <w:color w:val="auto"/>
          <w:sz w:val="21"/>
          <w:szCs w:val="21"/>
          <w:highlight w:val="none"/>
        </w:rPr>
      </w:pPr>
      <w:r>
        <w:rPr>
          <w:color w:val="auto"/>
          <w:spacing w:val="-6"/>
          <w:sz w:val="21"/>
          <w:szCs w:val="21"/>
          <w:highlight w:val="none"/>
        </w:rPr>
        <w:t>系</w:t>
      </w:r>
      <w:r>
        <w:rPr>
          <w:color w:val="auto"/>
          <w:spacing w:val="-95"/>
          <w:sz w:val="21"/>
          <w:szCs w:val="21"/>
          <w:highlight w:val="none"/>
        </w:rPr>
        <w:t xml:space="preserve"> </w:t>
      </w:r>
      <w:r>
        <w:rPr>
          <w:color w:val="auto"/>
          <w:sz w:val="21"/>
          <w:szCs w:val="21"/>
          <w:highlight w:val="none"/>
          <w:u w:val="single" w:color="auto"/>
        </w:rPr>
        <w:t xml:space="preserve">                                                 </w:t>
      </w:r>
      <w:r>
        <w:rPr>
          <w:color w:val="auto"/>
          <w:spacing w:val="-54"/>
          <w:sz w:val="21"/>
          <w:szCs w:val="21"/>
          <w:highlight w:val="none"/>
        </w:rPr>
        <w:t xml:space="preserve"> </w:t>
      </w:r>
      <w:r>
        <w:rPr>
          <w:color w:val="auto"/>
          <w:spacing w:val="-6"/>
          <w:sz w:val="21"/>
          <w:szCs w:val="21"/>
          <w:highlight w:val="none"/>
        </w:rPr>
        <w:t>(投标人名称)的法定代表人。</w:t>
      </w:r>
    </w:p>
    <w:p w14:paraId="7E295BBF">
      <w:pPr>
        <w:pStyle w:val="4"/>
        <w:spacing w:line="219" w:lineRule="auto"/>
        <w:rPr>
          <w:color w:val="auto"/>
          <w:sz w:val="21"/>
          <w:szCs w:val="21"/>
          <w:highlight w:val="none"/>
        </w:rPr>
      </w:pPr>
      <w:r>
        <w:rPr>
          <w:color w:val="auto"/>
          <w:spacing w:val="-6"/>
          <w:sz w:val="21"/>
          <w:szCs w:val="21"/>
          <w:highlight w:val="none"/>
        </w:rPr>
        <w:t>特此证明。</w:t>
      </w:r>
    </w:p>
    <w:p w14:paraId="28D6D3DD">
      <w:pPr>
        <w:spacing w:line="297" w:lineRule="auto"/>
        <w:rPr>
          <w:rFonts w:ascii="Arial"/>
          <w:color w:val="auto"/>
          <w:sz w:val="21"/>
          <w:highlight w:val="none"/>
        </w:rPr>
      </w:pPr>
    </w:p>
    <w:p w14:paraId="01D7B2D1">
      <w:pPr>
        <w:spacing w:line="298" w:lineRule="auto"/>
        <w:rPr>
          <w:rFonts w:ascii="Arial"/>
          <w:color w:val="auto"/>
          <w:sz w:val="21"/>
          <w:highlight w:val="none"/>
        </w:rPr>
      </w:pPr>
    </w:p>
    <w:p w14:paraId="0E9D7D87">
      <w:pPr>
        <w:spacing w:line="298" w:lineRule="auto"/>
        <w:rPr>
          <w:rFonts w:ascii="Arial"/>
          <w:color w:val="auto"/>
          <w:sz w:val="21"/>
          <w:highlight w:val="none"/>
        </w:rPr>
      </w:pPr>
    </w:p>
    <w:p w14:paraId="18F594A6">
      <w:pPr>
        <w:pStyle w:val="4"/>
        <w:spacing w:before="69" w:line="369" w:lineRule="auto"/>
        <w:jc w:val="right"/>
        <w:rPr>
          <w:color w:val="auto"/>
          <w:sz w:val="21"/>
          <w:szCs w:val="21"/>
          <w:highlight w:val="none"/>
        </w:rPr>
      </w:pPr>
      <w:r>
        <w:rPr>
          <w:color w:val="auto"/>
          <w:spacing w:val="-15"/>
          <w:sz w:val="21"/>
          <w:szCs w:val="21"/>
          <w:highlight w:val="none"/>
        </w:rPr>
        <w:t xml:space="preserve">投标人： </w:t>
      </w:r>
      <w:r>
        <w:rPr>
          <w:color w:val="auto"/>
          <w:sz w:val="21"/>
          <w:szCs w:val="21"/>
          <w:highlight w:val="none"/>
          <w:u w:val="single" w:color="auto"/>
        </w:rPr>
        <w:t xml:space="preserve">                          </w:t>
      </w:r>
      <w:r>
        <w:rPr>
          <w:color w:val="auto"/>
          <w:spacing w:val="-52"/>
          <w:sz w:val="21"/>
          <w:szCs w:val="21"/>
          <w:highlight w:val="none"/>
        </w:rPr>
        <w:t xml:space="preserve"> </w:t>
      </w:r>
      <w:r>
        <w:rPr>
          <w:color w:val="auto"/>
          <w:spacing w:val="-15"/>
          <w:sz w:val="21"/>
          <w:szCs w:val="21"/>
          <w:highlight w:val="none"/>
        </w:rPr>
        <w:t>(电子签章)</w:t>
      </w:r>
    </w:p>
    <w:p w14:paraId="3DF29C12">
      <w:pPr>
        <w:pStyle w:val="4"/>
        <w:tabs>
          <w:tab w:val="left" w:pos="6930"/>
        </w:tabs>
        <w:spacing w:line="219" w:lineRule="auto"/>
        <w:ind w:left="5984"/>
        <w:rPr>
          <w:color w:val="auto"/>
          <w:sz w:val="21"/>
          <w:szCs w:val="21"/>
          <w:highlight w:val="none"/>
        </w:rPr>
      </w:pPr>
      <w:r>
        <w:rPr>
          <w:color w:val="auto"/>
          <w:sz w:val="21"/>
          <w:szCs w:val="21"/>
          <w:highlight w:val="none"/>
          <w:u w:val="single" w:color="auto"/>
        </w:rPr>
        <w:tab/>
      </w:r>
      <w:r>
        <w:rPr>
          <w:color w:val="auto"/>
          <w:spacing w:val="-94"/>
          <w:sz w:val="21"/>
          <w:szCs w:val="21"/>
          <w:highlight w:val="none"/>
        </w:rPr>
        <w:t xml:space="preserve"> </w:t>
      </w:r>
      <w:r>
        <w:rPr>
          <w:color w:val="auto"/>
          <w:spacing w:val="-23"/>
          <w:sz w:val="21"/>
          <w:szCs w:val="21"/>
          <w:highlight w:val="none"/>
        </w:rPr>
        <w:t>年</w:t>
      </w:r>
      <w:r>
        <w:rPr>
          <w:color w:val="auto"/>
          <w:sz w:val="21"/>
          <w:szCs w:val="21"/>
          <w:highlight w:val="none"/>
          <w:u w:val="single" w:color="auto"/>
        </w:rPr>
        <w:t xml:space="preserve">        </w:t>
      </w:r>
      <w:r>
        <w:rPr>
          <w:color w:val="auto"/>
          <w:spacing w:val="-91"/>
          <w:sz w:val="21"/>
          <w:szCs w:val="21"/>
          <w:highlight w:val="none"/>
        </w:rPr>
        <w:t xml:space="preserve"> </w:t>
      </w:r>
      <w:r>
        <w:rPr>
          <w:color w:val="auto"/>
          <w:spacing w:val="-23"/>
          <w:sz w:val="21"/>
          <w:szCs w:val="21"/>
          <w:highlight w:val="none"/>
        </w:rPr>
        <w:t>月</w:t>
      </w:r>
      <w:r>
        <w:rPr>
          <w:color w:val="auto"/>
          <w:spacing w:val="-105"/>
          <w:sz w:val="21"/>
          <w:szCs w:val="21"/>
          <w:highlight w:val="none"/>
        </w:rPr>
        <w:t xml:space="preserve"> </w:t>
      </w:r>
      <w:r>
        <w:rPr>
          <w:color w:val="auto"/>
          <w:sz w:val="21"/>
          <w:szCs w:val="21"/>
          <w:highlight w:val="none"/>
          <w:u w:val="single" w:color="auto"/>
        </w:rPr>
        <w:t xml:space="preserve">        </w:t>
      </w:r>
      <w:r>
        <w:rPr>
          <w:color w:val="auto"/>
          <w:spacing w:val="-59"/>
          <w:sz w:val="21"/>
          <w:szCs w:val="21"/>
          <w:highlight w:val="none"/>
        </w:rPr>
        <w:t xml:space="preserve"> </w:t>
      </w:r>
      <w:r>
        <w:rPr>
          <w:color w:val="auto"/>
          <w:spacing w:val="-23"/>
          <w:sz w:val="21"/>
          <w:szCs w:val="21"/>
          <w:highlight w:val="none"/>
        </w:rPr>
        <w:t>日</w:t>
      </w:r>
    </w:p>
    <w:p w14:paraId="1E0FD964">
      <w:pPr>
        <w:spacing w:line="219" w:lineRule="auto"/>
        <w:rPr>
          <w:color w:val="auto"/>
          <w:sz w:val="21"/>
          <w:szCs w:val="21"/>
          <w:highlight w:val="none"/>
        </w:rPr>
        <w:sectPr>
          <w:footerReference r:id="rId15" w:type="default"/>
          <w:pgSz w:w="11910" w:h="16845"/>
          <w:pgMar w:top="1407" w:right="1411" w:bottom="1022" w:left="1254" w:header="0" w:footer="862" w:gutter="0"/>
          <w:pgNumType w:fmt="decimal"/>
          <w:cols w:space="720" w:num="1"/>
        </w:sectPr>
      </w:pPr>
    </w:p>
    <w:p w14:paraId="2B6B1A50">
      <w:pPr>
        <w:pStyle w:val="4"/>
        <w:spacing w:before="57" w:line="222" w:lineRule="auto"/>
        <w:ind w:left="3372"/>
        <w:outlineLvl w:val="2"/>
        <w:rPr>
          <w:color w:val="auto"/>
          <w:highlight w:val="none"/>
        </w:rPr>
      </w:pPr>
      <w:bookmarkStart w:id="86" w:name="_Toc20497"/>
      <w:r>
        <w:rPr>
          <w:color w:val="auto"/>
          <w:spacing w:val="-4"/>
          <w:highlight w:val="none"/>
          <w14:textOutline w14:w="5170" w14:cap="flat" w14:cmpd="sng">
            <w14:solidFill>
              <w14:srgbClr w14:val="000000"/>
            </w14:solidFill>
            <w14:prstDash w14:val="solid"/>
            <w14:miter w14:val="0"/>
          </w14:textOutline>
        </w:rPr>
        <w:t>(二)授权委托书</w:t>
      </w:r>
      <w:bookmarkEnd w:id="86"/>
    </w:p>
    <w:p w14:paraId="017D75AD">
      <w:pPr>
        <w:spacing w:line="361" w:lineRule="auto"/>
        <w:rPr>
          <w:rFonts w:ascii="Arial"/>
          <w:color w:val="auto"/>
          <w:sz w:val="21"/>
          <w:highlight w:val="none"/>
        </w:rPr>
      </w:pPr>
    </w:p>
    <w:p w14:paraId="4A89B2C2">
      <w:pPr>
        <w:pStyle w:val="4"/>
        <w:spacing w:before="68" w:line="361" w:lineRule="auto"/>
        <w:ind w:firstLine="527"/>
        <w:rPr>
          <w:color w:val="auto"/>
          <w:spacing w:val="0"/>
          <w:sz w:val="21"/>
          <w:szCs w:val="21"/>
          <w:highlight w:val="none"/>
        </w:rPr>
      </w:pPr>
      <w:r>
        <w:rPr>
          <w:color w:val="auto"/>
          <w:spacing w:val="0"/>
          <w:sz w:val="21"/>
          <w:szCs w:val="21"/>
          <w:highlight w:val="none"/>
        </w:rPr>
        <w:t xml:space="preserve">本人 </w:t>
      </w:r>
      <w:r>
        <w:rPr>
          <w:color w:val="auto"/>
          <w:spacing w:val="0"/>
          <w:sz w:val="21"/>
          <w:szCs w:val="21"/>
          <w:highlight w:val="none"/>
          <w:u w:val="single" w:color="auto"/>
        </w:rPr>
        <w:t xml:space="preserve">         </w:t>
      </w:r>
      <w:r>
        <w:rPr>
          <w:color w:val="auto"/>
          <w:spacing w:val="0"/>
          <w:sz w:val="21"/>
          <w:szCs w:val="21"/>
          <w:highlight w:val="none"/>
        </w:rPr>
        <w:t xml:space="preserve"> (姓名)系 </w:t>
      </w:r>
      <w:r>
        <w:rPr>
          <w:color w:val="auto"/>
          <w:spacing w:val="0"/>
          <w:sz w:val="21"/>
          <w:szCs w:val="21"/>
          <w:highlight w:val="none"/>
          <w:u w:val="single" w:color="auto"/>
        </w:rPr>
        <w:t xml:space="preserve">         </w:t>
      </w:r>
      <w:r>
        <w:rPr>
          <w:color w:val="auto"/>
          <w:spacing w:val="0"/>
          <w:sz w:val="21"/>
          <w:szCs w:val="21"/>
          <w:highlight w:val="none"/>
        </w:rPr>
        <w:t xml:space="preserve"> (投标人名称)的法定代表人，现委托</w:t>
      </w:r>
      <w:r>
        <w:rPr>
          <w:color w:val="auto"/>
          <w:spacing w:val="0"/>
          <w:sz w:val="21"/>
          <w:szCs w:val="21"/>
          <w:highlight w:val="none"/>
          <w:u w:val="single" w:color="auto"/>
        </w:rPr>
        <w:t xml:space="preserve">      </w:t>
      </w:r>
      <w:r>
        <w:rPr>
          <w:color w:val="auto"/>
          <w:spacing w:val="0"/>
          <w:sz w:val="21"/>
          <w:szCs w:val="21"/>
          <w:highlight w:val="none"/>
        </w:rPr>
        <w:t xml:space="preserve"> (姓名)为我方 代理人，身份证号： </w:t>
      </w:r>
      <w:r>
        <w:rPr>
          <w:color w:val="auto"/>
          <w:spacing w:val="0"/>
          <w:sz w:val="21"/>
          <w:szCs w:val="21"/>
          <w:highlight w:val="none"/>
          <w:u w:val="single" w:color="auto"/>
        </w:rPr>
        <w:t xml:space="preserve">               </w:t>
      </w:r>
      <w:r>
        <w:rPr>
          <w:color w:val="auto"/>
          <w:spacing w:val="0"/>
          <w:sz w:val="21"/>
          <w:szCs w:val="21"/>
          <w:highlight w:val="none"/>
        </w:rPr>
        <w:t xml:space="preserve"> 。代理人根据授权，以我方名义签署、澄清、说明、补正、 递交、撤回、修改</w:t>
      </w:r>
      <w:r>
        <w:rPr>
          <w:color w:val="auto"/>
          <w:spacing w:val="0"/>
          <w:sz w:val="21"/>
          <w:szCs w:val="21"/>
          <w:highlight w:val="none"/>
          <w:u w:val="single" w:color="auto"/>
        </w:rPr>
        <w:t xml:space="preserve">             </w:t>
      </w:r>
      <w:r>
        <w:rPr>
          <w:color w:val="auto"/>
          <w:spacing w:val="0"/>
          <w:sz w:val="21"/>
          <w:szCs w:val="21"/>
          <w:highlight w:val="none"/>
        </w:rPr>
        <w:t xml:space="preserve"> (项目名称、标段)施工投标文件、签订合同和处理有关事宜，其法律后果由我方承担。</w:t>
      </w:r>
    </w:p>
    <w:p w14:paraId="4E33C33A">
      <w:pPr>
        <w:pStyle w:val="4"/>
        <w:spacing w:before="275" w:line="220" w:lineRule="auto"/>
        <w:ind w:left="105"/>
        <w:rPr>
          <w:color w:val="auto"/>
          <w:sz w:val="21"/>
          <w:szCs w:val="21"/>
          <w:highlight w:val="none"/>
        </w:rPr>
      </w:pPr>
      <w:r>
        <w:rPr>
          <w:color w:val="auto"/>
          <w:spacing w:val="0"/>
          <w:sz w:val="21"/>
          <w:szCs w:val="21"/>
          <w:highlight w:val="none"/>
        </w:rPr>
        <w:t xml:space="preserve">委托期限： </w:t>
      </w:r>
      <w:r>
        <w:rPr>
          <w:color w:val="auto"/>
          <w:spacing w:val="0"/>
          <w:sz w:val="21"/>
          <w:szCs w:val="21"/>
          <w:highlight w:val="none"/>
          <w:u w:val="single" w:color="auto"/>
        </w:rPr>
        <w:t xml:space="preserve">                </w:t>
      </w:r>
      <w:r>
        <w:rPr>
          <w:color w:val="auto"/>
          <w:sz w:val="21"/>
          <w:szCs w:val="21"/>
          <w:highlight w:val="none"/>
          <w:u w:val="single" w:color="auto"/>
        </w:rPr>
        <w:t xml:space="preserve">                                           </w:t>
      </w:r>
    </w:p>
    <w:p w14:paraId="4F0A15AD">
      <w:pPr>
        <w:spacing w:line="262" w:lineRule="auto"/>
        <w:rPr>
          <w:rFonts w:ascii="Arial"/>
          <w:color w:val="auto"/>
          <w:sz w:val="21"/>
          <w:highlight w:val="none"/>
        </w:rPr>
      </w:pPr>
    </w:p>
    <w:p w14:paraId="40B5787B">
      <w:pPr>
        <w:pStyle w:val="4"/>
        <w:tabs>
          <w:tab w:val="left" w:pos="7140"/>
        </w:tabs>
        <w:spacing w:before="27" w:line="158" w:lineRule="auto"/>
        <w:ind w:left="1149"/>
        <w:rPr>
          <w:color w:val="auto"/>
          <w:sz w:val="8"/>
          <w:szCs w:val="8"/>
          <w:highlight w:val="none"/>
        </w:rPr>
      </w:pPr>
      <w:r>
        <w:rPr>
          <w:color w:val="auto"/>
          <w:sz w:val="8"/>
          <w:szCs w:val="8"/>
          <w:highlight w:val="none"/>
          <w:u w:val="single" w:color="auto"/>
        </w:rPr>
        <w:tab/>
      </w:r>
      <w:r>
        <w:rPr>
          <w:color w:val="auto"/>
          <w:spacing w:val="-11"/>
          <w:sz w:val="8"/>
          <w:szCs w:val="8"/>
          <w:highlight w:val="none"/>
        </w:rPr>
        <w:t xml:space="preserve"> </w:t>
      </w:r>
      <w:r>
        <w:rPr>
          <w:color w:val="auto"/>
          <w:spacing w:val="5"/>
          <w:sz w:val="8"/>
          <w:szCs w:val="8"/>
          <w:highlight w:val="none"/>
        </w:rPr>
        <w:t>。</w:t>
      </w:r>
    </w:p>
    <w:p w14:paraId="6CD53691">
      <w:pPr>
        <w:spacing w:line="370" w:lineRule="auto"/>
        <w:rPr>
          <w:rFonts w:ascii="Arial"/>
          <w:color w:val="auto"/>
          <w:sz w:val="21"/>
          <w:highlight w:val="none"/>
        </w:rPr>
      </w:pPr>
    </w:p>
    <w:p w14:paraId="1FD1604F">
      <w:pPr>
        <w:pStyle w:val="4"/>
        <w:spacing w:before="69" w:line="220" w:lineRule="auto"/>
        <w:ind w:left="105"/>
        <w:rPr>
          <w:color w:val="auto"/>
          <w:sz w:val="21"/>
          <w:szCs w:val="21"/>
          <w:highlight w:val="none"/>
        </w:rPr>
      </w:pPr>
      <w:r>
        <w:rPr>
          <w:color w:val="auto"/>
          <w:spacing w:val="-4"/>
          <w:sz w:val="21"/>
          <w:szCs w:val="21"/>
          <w:highlight w:val="none"/>
        </w:rPr>
        <w:t>代理人无转委托权。</w:t>
      </w:r>
    </w:p>
    <w:p w14:paraId="265B6C67">
      <w:pPr>
        <w:spacing w:line="340" w:lineRule="auto"/>
        <w:rPr>
          <w:rFonts w:ascii="Arial"/>
          <w:color w:val="auto"/>
          <w:sz w:val="21"/>
          <w:highlight w:val="none"/>
        </w:rPr>
      </w:pPr>
    </w:p>
    <w:p w14:paraId="12B285F6">
      <w:pPr>
        <w:pStyle w:val="4"/>
        <w:spacing w:before="68" w:line="646" w:lineRule="exact"/>
        <w:ind w:left="122"/>
        <w:rPr>
          <w:color w:val="auto"/>
          <w:sz w:val="21"/>
          <w:szCs w:val="21"/>
          <w:highlight w:val="none"/>
        </w:rPr>
      </w:pPr>
      <w:r>
        <w:rPr>
          <w:color w:val="auto"/>
          <w:spacing w:val="-2"/>
          <w:position w:val="34"/>
          <w:sz w:val="21"/>
          <w:szCs w:val="21"/>
          <w:highlight w:val="none"/>
        </w:rPr>
        <w:t>附：法定代表人身份证扫描件</w:t>
      </w:r>
    </w:p>
    <w:p w14:paraId="64FD9112">
      <w:pPr>
        <w:pStyle w:val="4"/>
        <w:spacing w:before="1" w:line="219" w:lineRule="auto"/>
        <w:ind w:left="525"/>
        <w:outlineLvl w:val="1"/>
        <w:rPr>
          <w:color w:val="auto"/>
          <w:sz w:val="21"/>
          <w:szCs w:val="21"/>
          <w:highlight w:val="none"/>
        </w:rPr>
      </w:pPr>
      <w:bookmarkStart w:id="87" w:name="_Toc22817"/>
      <w:r>
        <w:rPr>
          <w:color w:val="auto"/>
          <w:spacing w:val="-1"/>
          <w:sz w:val="21"/>
          <w:szCs w:val="21"/>
          <w:highlight w:val="none"/>
        </w:rPr>
        <w:t>授权委托人身份证扫描件</w:t>
      </w:r>
      <w:bookmarkEnd w:id="87"/>
    </w:p>
    <w:p w14:paraId="0A4127FE">
      <w:pPr>
        <w:spacing w:line="474" w:lineRule="auto"/>
        <w:rPr>
          <w:rFonts w:ascii="Arial"/>
          <w:color w:val="auto"/>
          <w:sz w:val="21"/>
          <w:highlight w:val="none"/>
        </w:rPr>
      </w:pPr>
    </w:p>
    <w:p w14:paraId="272017B8">
      <w:pPr>
        <w:pStyle w:val="4"/>
        <w:spacing w:before="69" w:line="219" w:lineRule="auto"/>
        <w:ind w:left="528"/>
        <w:rPr>
          <w:color w:val="auto"/>
          <w:sz w:val="21"/>
          <w:szCs w:val="21"/>
          <w:highlight w:val="none"/>
        </w:rPr>
      </w:pPr>
      <w:r>
        <w:rPr>
          <w:color w:val="auto"/>
          <w:spacing w:val="-15"/>
          <w:sz w:val="21"/>
          <w:szCs w:val="21"/>
          <w:highlight w:val="none"/>
        </w:rPr>
        <w:t>投</w:t>
      </w:r>
      <w:r>
        <w:rPr>
          <w:color w:val="auto"/>
          <w:spacing w:val="6"/>
          <w:sz w:val="21"/>
          <w:szCs w:val="21"/>
          <w:highlight w:val="none"/>
        </w:rPr>
        <w:t xml:space="preserve">  </w:t>
      </w:r>
      <w:r>
        <w:rPr>
          <w:color w:val="auto"/>
          <w:spacing w:val="-15"/>
          <w:sz w:val="21"/>
          <w:szCs w:val="21"/>
          <w:highlight w:val="none"/>
        </w:rPr>
        <w:t>标</w:t>
      </w:r>
      <w:r>
        <w:rPr>
          <w:color w:val="auto"/>
          <w:spacing w:val="6"/>
          <w:sz w:val="21"/>
          <w:szCs w:val="21"/>
          <w:highlight w:val="none"/>
        </w:rPr>
        <w:t xml:space="preserve">  </w:t>
      </w:r>
      <w:r>
        <w:rPr>
          <w:color w:val="auto"/>
          <w:spacing w:val="-15"/>
          <w:sz w:val="21"/>
          <w:szCs w:val="21"/>
          <w:highlight w:val="none"/>
        </w:rPr>
        <w:t>人：</w:t>
      </w:r>
      <w:r>
        <w:rPr>
          <w:color w:val="auto"/>
          <w:spacing w:val="-33"/>
          <w:sz w:val="21"/>
          <w:szCs w:val="21"/>
          <w:highlight w:val="none"/>
        </w:rPr>
        <w:t xml:space="preserve"> </w:t>
      </w:r>
      <w:r>
        <w:rPr>
          <w:color w:val="auto"/>
          <w:sz w:val="21"/>
          <w:szCs w:val="21"/>
          <w:highlight w:val="none"/>
          <w:u w:val="single" w:color="auto"/>
        </w:rPr>
        <w:t xml:space="preserve">                        </w:t>
      </w:r>
      <w:r>
        <w:rPr>
          <w:color w:val="auto"/>
          <w:spacing w:val="-57"/>
          <w:sz w:val="21"/>
          <w:szCs w:val="21"/>
          <w:highlight w:val="none"/>
        </w:rPr>
        <w:t xml:space="preserve"> </w:t>
      </w:r>
      <w:r>
        <w:rPr>
          <w:color w:val="auto"/>
          <w:spacing w:val="-15"/>
          <w:sz w:val="21"/>
          <w:szCs w:val="21"/>
          <w:highlight w:val="none"/>
        </w:rPr>
        <w:t>(电子签章)</w:t>
      </w:r>
    </w:p>
    <w:p w14:paraId="3491A0B9">
      <w:pPr>
        <w:spacing w:line="252" w:lineRule="auto"/>
        <w:rPr>
          <w:rFonts w:ascii="Arial"/>
          <w:color w:val="auto"/>
          <w:sz w:val="21"/>
          <w:highlight w:val="none"/>
        </w:rPr>
      </w:pPr>
    </w:p>
    <w:p w14:paraId="41B6440C">
      <w:pPr>
        <w:spacing w:line="252" w:lineRule="auto"/>
        <w:rPr>
          <w:rFonts w:ascii="Arial"/>
          <w:color w:val="auto"/>
          <w:sz w:val="21"/>
          <w:highlight w:val="none"/>
        </w:rPr>
      </w:pPr>
    </w:p>
    <w:p w14:paraId="74E2951D">
      <w:pPr>
        <w:pStyle w:val="4"/>
        <w:spacing w:before="69" w:line="219" w:lineRule="auto"/>
        <w:ind w:left="527"/>
        <w:rPr>
          <w:color w:val="auto"/>
          <w:sz w:val="21"/>
          <w:szCs w:val="21"/>
          <w:highlight w:val="none"/>
        </w:rPr>
      </w:pPr>
      <w:r>
        <w:rPr>
          <w:color w:val="auto"/>
          <w:spacing w:val="-17"/>
          <w:sz w:val="21"/>
          <w:szCs w:val="21"/>
          <w:highlight w:val="none"/>
        </w:rPr>
        <w:t>法定代表人：</w:t>
      </w:r>
      <w:r>
        <w:rPr>
          <w:color w:val="auto"/>
          <w:spacing w:val="47"/>
          <w:sz w:val="21"/>
          <w:szCs w:val="21"/>
          <w:highlight w:val="none"/>
        </w:rPr>
        <w:t xml:space="preserve"> </w:t>
      </w:r>
      <w:r>
        <w:rPr>
          <w:color w:val="auto"/>
          <w:sz w:val="21"/>
          <w:szCs w:val="21"/>
          <w:highlight w:val="none"/>
          <w:u w:val="single" w:color="auto"/>
        </w:rPr>
        <w:t xml:space="preserve">                            </w:t>
      </w:r>
      <w:r>
        <w:rPr>
          <w:color w:val="auto"/>
          <w:spacing w:val="-56"/>
          <w:sz w:val="21"/>
          <w:szCs w:val="21"/>
          <w:highlight w:val="none"/>
        </w:rPr>
        <w:t xml:space="preserve"> </w:t>
      </w:r>
      <w:r>
        <w:rPr>
          <w:color w:val="auto"/>
          <w:spacing w:val="-17"/>
          <w:sz w:val="21"/>
          <w:szCs w:val="21"/>
          <w:highlight w:val="none"/>
        </w:rPr>
        <w:t>(电子签章)</w:t>
      </w:r>
    </w:p>
    <w:p w14:paraId="1868D7F4">
      <w:pPr>
        <w:spacing w:line="245" w:lineRule="auto"/>
        <w:rPr>
          <w:rFonts w:ascii="Arial"/>
          <w:color w:val="auto"/>
          <w:sz w:val="21"/>
          <w:highlight w:val="none"/>
        </w:rPr>
      </w:pPr>
    </w:p>
    <w:p w14:paraId="5E347AE4">
      <w:pPr>
        <w:spacing w:line="245" w:lineRule="auto"/>
        <w:rPr>
          <w:rFonts w:ascii="Arial"/>
          <w:color w:val="auto"/>
          <w:sz w:val="21"/>
          <w:highlight w:val="none"/>
        </w:rPr>
      </w:pPr>
    </w:p>
    <w:p w14:paraId="54778912">
      <w:pPr>
        <w:pStyle w:val="4"/>
        <w:tabs>
          <w:tab w:val="left" w:pos="5354"/>
        </w:tabs>
        <w:spacing w:before="68" w:line="220" w:lineRule="auto"/>
        <w:ind w:left="4513"/>
        <w:rPr>
          <w:color w:val="auto"/>
          <w:sz w:val="21"/>
          <w:szCs w:val="21"/>
          <w:highlight w:val="none"/>
        </w:rPr>
      </w:pPr>
      <w:r>
        <w:rPr>
          <w:color w:val="auto"/>
          <w:sz w:val="21"/>
          <w:szCs w:val="21"/>
          <w:highlight w:val="none"/>
          <w:u w:val="single" w:color="auto"/>
        </w:rPr>
        <w:tab/>
      </w:r>
      <w:r>
        <w:rPr>
          <w:color w:val="auto"/>
          <w:spacing w:val="-95"/>
          <w:sz w:val="21"/>
          <w:szCs w:val="21"/>
          <w:highlight w:val="none"/>
        </w:rPr>
        <w:t xml:space="preserve"> </w:t>
      </w:r>
      <w:r>
        <w:rPr>
          <w:color w:val="auto"/>
          <w:spacing w:val="-8"/>
          <w:sz w:val="21"/>
          <w:szCs w:val="21"/>
          <w:highlight w:val="none"/>
        </w:rPr>
        <w:t>年</w:t>
      </w:r>
      <w:r>
        <w:rPr>
          <w:color w:val="auto"/>
          <w:sz w:val="21"/>
          <w:szCs w:val="21"/>
          <w:highlight w:val="none"/>
          <w:u w:val="single" w:color="auto"/>
        </w:rPr>
        <w:t xml:space="preserve">        </w:t>
      </w:r>
      <w:r>
        <w:rPr>
          <w:color w:val="auto"/>
          <w:spacing w:val="-91"/>
          <w:sz w:val="21"/>
          <w:szCs w:val="21"/>
          <w:highlight w:val="none"/>
        </w:rPr>
        <w:t xml:space="preserve"> </w:t>
      </w:r>
      <w:r>
        <w:rPr>
          <w:color w:val="auto"/>
          <w:spacing w:val="-8"/>
          <w:sz w:val="21"/>
          <w:szCs w:val="21"/>
          <w:highlight w:val="none"/>
        </w:rPr>
        <w:t>月</w:t>
      </w:r>
      <w:r>
        <w:rPr>
          <w:color w:val="auto"/>
          <w:spacing w:val="-104"/>
          <w:sz w:val="21"/>
          <w:szCs w:val="21"/>
          <w:highlight w:val="none"/>
        </w:rPr>
        <w:t xml:space="preserve"> </w:t>
      </w:r>
      <w:r>
        <w:rPr>
          <w:color w:val="auto"/>
          <w:sz w:val="21"/>
          <w:szCs w:val="21"/>
          <w:highlight w:val="none"/>
          <w:u w:val="single" w:color="auto"/>
        </w:rPr>
        <w:t xml:space="preserve">        </w:t>
      </w:r>
      <w:r>
        <w:rPr>
          <w:color w:val="auto"/>
          <w:spacing w:val="-60"/>
          <w:sz w:val="21"/>
          <w:szCs w:val="21"/>
          <w:highlight w:val="none"/>
        </w:rPr>
        <w:t xml:space="preserve"> </w:t>
      </w:r>
      <w:r>
        <w:rPr>
          <w:color w:val="auto"/>
          <w:spacing w:val="-8"/>
          <w:sz w:val="21"/>
          <w:szCs w:val="21"/>
          <w:highlight w:val="none"/>
        </w:rPr>
        <w:t>日</w:t>
      </w:r>
    </w:p>
    <w:p w14:paraId="3A8ED27F">
      <w:pPr>
        <w:spacing w:line="220" w:lineRule="auto"/>
        <w:rPr>
          <w:color w:val="auto"/>
          <w:sz w:val="21"/>
          <w:szCs w:val="21"/>
          <w:highlight w:val="none"/>
        </w:rPr>
        <w:sectPr>
          <w:footerReference r:id="rId16" w:type="default"/>
          <w:pgSz w:w="11910" w:h="16845"/>
          <w:pgMar w:top="1394" w:right="1407" w:bottom="1022" w:left="1569" w:header="0" w:footer="862" w:gutter="0"/>
          <w:pgNumType w:fmt="decimal"/>
          <w:cols w:space="720" w:num="1"/>
        </w:sectPr>
      </w:pPr>
    </w:p>
    <w:p w14:paraId="0DF38733">
      <w:pPr>
        <w:pStyle w:val="4"/>
        <w:spacing w:before="62" w:line="223" w:lineRule="auto"/>
        <w:ind w:left="3291"/>
        <w:outlineLvl w:val="1"/>
        <w:rPr>
          <w:color w:val="auto"/>
          <w:sz w:val="31"/>
          <w:szCs w:val="31"/>
          <w:highlight w:val="none"/>
        </w:rPr>
      </w:pPr>
      <w:bookmarkStart w:id="88" w:name="_Toc22613"/>
      <w:r>
        <w:rPr>
          <w:color w:val="auto"/>
          <w:spacing w:val="8"/>
          <w:sz w:val="31"/>
          <w:szCs w:val="31"/>
          <w:highlight w:val="none"/>
          <w14:textOutline w14:w="5724" w14:cap="flat" w14:cmpd="sng">
            <w14:solidFill>
              <w14:srgbClr w14:val="000000"/>
            </w14:solidFill>
            <w14:prstDash w14:val="solid"/>
            <w14:miter w14:val="0"/>
          </w14:textOutline>
        </w:rPr>
        <w:t>三、资格审查资料</w:t>
      </w:r>
      <w:bookmarkEnd w:id="88"/>
    </w:p>
    <w:p w14:paraId="5075CACE">
      <w:pPr>
        <w:pStyle w:val="4"/>
        <w:spacing w:before="21" w:line="216" w:lineRule="auto"/>
        <w:ind w:left="3655"/>
        <w:outlineLvl w:val="2"/>
        <w:rPr>
          <w:color w:val="auto"/>
          <w:sz w:val="24"/>
          <w:szCs w:val="24"/>
          <w:highlight w:val="none"/>
        </w:rPr>
      </w:pPr>
      <w:bookmarkStart w:id="89" w:name="_Toc13055"/>
      <w:r>
        <w:rPr>
          <w:color w:val="auto"/>
          <w:spacing w:val="-2"/>
          <w:sz w:val="24"/>
          <w:szCs w:val="24"/>
          <w:highlight w:val="none"/>
          <w14:textOutline w14:w="4354" w14:cap="flat" w14:cmpd="sng">
            <w14:solidFill>
              <w14:srgbClr w14:val="000000"/>
            </w14:solidFill>
            <w14:prstDash w14:val="solid"/>
            <w14:miter w14:val="0"/>
          </w14:textOutline>
        </w:rPr>
        <w:t>（一）基本情况表</w:t>
      </w:r>
      <w:bookmarkEnd w:id="89"/>
    </w:p>
    <w:tbl>
      <w:tblPr>
        <w:tblStyle w:val="30"/>
        <w:tblW w:w="8890" w:type="dxa"/>
        <w:tblInd w:w="1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2"/>
        <w:gridCol w:w="914"/>
        <w:gridCol w:w="1139"/>
        <w:gridCol w:w="1170"/>
        <w:gridCol w:w="420"/>
        <w:gridCol w:w="869"/>
        <w:gridCol w:w="824"/>
        <w:gridCol w:w="285"/>
        <w:gridCol w:w="1237"/>
      </w:tblGrid>
      <w:tr w14:paraId="6E17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032" w:type="dxa"/>
            <w:vAlign w:val="top"/>
          </w:tcPr>
          <w:p w14:paraId="4F903F91">
            <w:pPr>
              <w:pStyle w:val="29"/>
              <w:spacing w:before="179" w:line="220" w:lineRule="auto"/>
              <w:ind w:left="491"/>
              <w:rPr>
                <w:color w:val="auto"/>
                <w:highlight w:val="none"/>
              </w:rPr>
            </w:pPr>
            <w:r>
              <w:rPr>
                <w:color w:val="auto"/>
                <w:spacing w:val="-2"/>
                <w:highlight w:val="none"/>
              </w:rPr>
              <w:t>投标人名称</w:t>
            </w:r>
          </w:p>
        </w:tc>
        <w:tc>
          <w:tcPr>
            <w:tcW w:w="6858" w:type="dxa"/>
            <w:gridSpan w:val="8"/>
            <w:vAlign w:val="top"/>
          </w:tcPr>
          <w:p w14:paraId="617EDCB5">
            <w:pPr>
              <w:rPr>
                <w:rFonts w:ascii="Arial"/>
                <w:color w:val="auto"/>
                <w:sz w:val="21"/>
                <w:highlight w:val="none"/>
              </w:rPr>
            </w:pPr>
          </w:p>
        </w:tc>
      </w:tr>
      <w:tr w14:paraId="4AE2F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32" w:type="dxa"/>
            <w:vAlign w:val="top"/>
          </w:tcPr>
          <w:p w14:paraId="004BAF76">
            <w:pPr>
              <w:pStyle w:val="29"/>
              <w:spacing w:before="172" w:line="221" w:lineRule="auto"/>
              <w:ind w:left="593"/>
              <w:rPr>
                <w:color w:val="auto"/>
                <w:highlight w:val="none"/>
              </w:rPr>
            </w:pPr>
            <w:r>
              <w:rPr>
                <w:color w:val="auto"/>
                <w:spacing w:val="-2"/>
                <w:highlight w:val="none"/>
              </w:rPr>
              <w:t>注册地址</w:t>
            </w:r>
          </w:p>
        </w:tc>
        <w:tc>
          <w:tcPr>
            <w:tcW w:w="3223" w:type="dxa"/>
            <w:gridSpan w:val="3"/>
            <w:vAlign w:val="top"/>
          </w:tcPr>
          <w:p w14:paraId="3B218D52">
            <w:pPr>
              <w:rPr>
                <w:rFonts w:ascii="Arial"/>
                <w:color w:val="auto"/>
                <w:sz w:val="21"/>
                <w:highlight w:val="none"/>
              </w:rPr>
            </w:pPr>
          </w:p>
        </w:tc>
        <w:tc>
          <w:tcPr>
            <w:tcW w:w="1289" w:type="dxa"/>
            <w:gridSpan w:val="2"/>
            <w:vAlign w:val="top"/>
          </w:tcPr>
          <w:p w14:paraId="7513F507">
            <w:pPr>
              <w:pStyle w:val="29"/>
              <w:spacing w:before="172" w:line="220" w:lineRule="auto"/>
              <w:ind w:left="250"/>
              <w:rPr>
                <w:color w:val="auto"/>
                <w:highlight w:val="none"/>
              </w:rPr>
            </w:pPr>
            <w:r>
              <w:rPr>
                <w:color w:val="auto"/>
                <w:spacing w:val="-5"/>
                <w:highlight w:val="none"/>
              </w:rPr>
              <w:t>邮政编码</w:t>
            </w:r>
          </w:p>
        </w:tc>
        <w:tc>
          <w:tcPr>
            <w:tcW w:w="2346" w:type="dxa"/>
            <w:gridSpan w:val="3"/>
            <w:vAlign w:val="top"/>
          </w:tcPr>
          <w:p w14:paraId="10E6050A">
            <w:pPr>
              <w:rPr>
                <w:rFonts w:ascii="Arial"/>
                <w:color w:val="auto"/>
                <w:sz w:val="21"/>
                <w:highlight w:val="none"/>
              </w:rPr>
            </w:pPr>
          </w:p>
        </w:tc>
      </w:tr>
      <w:tr w14:paraId="2076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032" w:type="dxa"/>
            <w:vMerge w:val="restart"/>
            <w:tcBorders>
              <w:bottom w:val="nil"/>
            </w:tcBorders>
            <w:vAlign w:val="top"/>
          </w:tcPr>
          <w:p w14:paraId="3D3AFE55">
            <w:pPr>
              <w:spacing w:line="358" w:lineRule="auto"/>
              <w:rPr>
                <w:rFonts w:ascii="Arial"/>
                <w:color w:val="auto"/>
                <w:sz w:val="21"/>
                <w:highlight w:val="none"/>
              </w:rPr>
            </w:pPr>
          </w:p>
          <w:p w14:paraId="3B7E3E30">
            <w:pPr>
              <w:pStyle w:val="29"/>
              <w:spacing w:before="68" w:line="221" w:lineRule="auto"/>
              <w:ind w:left="594"/>
              <w:rPr>
                <w:color w:val="auto"/>
                <w:highlight w:val="none"/>
              </w:rPr>
            </w:pPr>
            <w:r>
              <w:rPr>
                <w:color w:val="auto"/>
                <w:spacing w:val="-2"/>
                <w:highlight w:val="none"/>
              </w:rPr>
              <w:t>联系方式</w:t>
            </w:r>
          </w:p>
        </w:tc>
        <w:tc>
          <w:tcPr>
            <w:tcW w:w="914" w:type="dxa"/>
            <w:vAlign w:val="top"/>
          </w:tcPr>
          <w:p w14:paraId="72A3C228">
            <w:pPr>
              <w:pStyle w:val="29"/>
              <w:spacing w:before="173" w:line="222" w:lineRule="auto"/>
              <w:ind w:left="139"/>
              <w:rPr>
                <w:color w:val="auto"/>
                <w:highlight w:val="none"/>
              </w:rPr>
            </w:pPr>
            <w:r>
              <w:rPr>
                <w:color w:val="auto"/>
                <w:spacing w:val="-2"/>
                <w:highlight w:val="none"/>
              </w:rPr>
              <w:t>联系人</w:t>
            </w:r>
          </w:p>
        </w:tc>
        <w:tc>
          <w:tcPr>
            <w:tcW w:w="2309" w:type="dxa"/>
            <w:gridSpan w:val="2"/>
            <w:vAlign w:val="top"/>
          </w:tcPr>
          <w:p w14:paraId="68D52E98">
            <w:pPr>
              <w:rPr>
                <w:rFonts w:ascii="Arial"/>
                <w:color w:val="auto"/>
                <w:sz w:val="21"/>
                <w:highlight w:val="none"/>
              </w:rPr>
            </w:pPr>
          </w:p>
        </w:tc>
        <w:tc>
          <w:tcPr>
            <w:tcW w:w="1289" w:type="dxa"/>
            <w:gridSpan w:val="2"/>
            <w:vAlign w:val="top"/>
          </w:tcPr>
          <w:p w14:paraId="444189C2">
            <w:pPr>
              <w:pStyle w:val="29"/>
              <w:spacing w:before="173" w:line="222" w:lineRule="auto"/>
              <w:ind w:left="424"/>
              <w:rPr>
                <w:color w:val="auto"/>
                <w:highlight w:val="none"/>
              </w:rPr>
            </w:pPr>
            <w:r>
              <w:rPr>
                <w:color w:val="auto"/>
                <w:spacing w:val="-17"/>
                <w:highlight w:val="none"/>
              </w:rPr>
              <w:t>电</w:t>
            </w:r>
            <w:r>
              <w:rPr>
                <w:color w:val="auto"/>
                <w:spacing w:val="9"/>
                <w:highlight w:val="none"/>
              </w:rPr>
              <w:t xml:space="preserve"> </w:t>
            </w:r>
            <w:r>
              <w:rPr>
                <w:color w:val="auto"/>
                <w:spacing w:val="-17"/>
                <w:highlight w:val="none"/>
              </w:rPr>
              <w:t>话</w:t>
            </w:r>
          </w:p>
        </w:tc>
        <w:tc>
          <w:tcPr>
            <w:tcW w:w="2346" w:type="dxa"/>
            <w:gridSpan w:val="3"/>
            <w:vAlign w:val="top"/>
          </w:tcPr>
          <w:p w14:paraId="15BC7336">
            <w:pPr>
              <w:rPr>
                <w:rFonts w:ascii="Arial"/>
                <w:color w:val="auto"/>
                <w:sz w:val="21"/>
                <w:highlight w:val="none"/>
              </w:rPr>
            </w:pPr>
          </w:p>
        </w:tc>
      </w:tr>
      <w:tr w14:paraId="212E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032" w:type="dxa"/>
            <w:vMerge w:val="continue"/>
            <w:tcBorders>
              <w:top w:val="nil"/>
            </w:tcBorders>
            <w:vAlign w:val="top"/>
          </w:tcPr>
          <w:p w14:paraId="16F48DFD">
            <w:pPr>
              <w:rPr>
                <w:rFonts w:ascii="Arial"/>
                <w:color w:val="auto"/>
                <w:sz w:val="21"/>
                <w:highlight w:val="none"/>
              </w:rPr>
            </w:pPr>
          </w:p>
        </w:tc>
        <w:tc>
          <w:tcPr>
            <w:tcW w:w="914" w:type="dxa"/>
            <w:vAlign w:val="top"/>
          </w:tcPr>
          <w:p w14:paraId="2E5001CA">
            <w:pPr>
              <w:pStyle w:val="29"/>
              <w:spacing w:before="174" w:line="219" w:lineRule="auto"/>
              <w:ind w:left="242"/>
              <w:rPr>
                <w:color w:val="auto"/>
                <w:highlight w:val="none"/>
              </w:rPr>
            </w:pPr>
            <w:r>
              <w:rPr>
                <w:color w:val="auto"/>
                <w:spacing w:val="-2"/>
                <w:highlight w:val="none"/>
              </w:rPr>
              <w:t>传真</w:t>
            </w:r>
          </w:p>
        </w:tc>
        <w:tc>
          <w:tcPr>
            <w:tcW w:w="2309" w:type="dxa"/>
            <w:gridSpan w:val="2"/>
            <w:vAlign w:val="top"/>
          </w:tcPr>
          <w:p w14:paraId="0B30292F">
            <w:pPr>
              <w:rPr>
                <w:rFonts w:ascii="Arial"/>
                <w:color w:val="auto"/>
                <w:sz w:val="21"/>
                <w:highlight w:val="none"/>
              </w:rPr>
            </w:pPr>
          </w:p>
        </w:tc>
        <w:tc>
          <w:tcPr>
            <w:tcW w:w="1289" w:type="dxa"/>
            <w:gridSpan w:val="2"/>
            <w:vAlign w:val="top"/>
          </w:tcPr>
          <w:p w14:paraId="54829C9C">
            <w:pPr>
              <w:pStyle w:val="29"/>
              <w:spacing w:before="174" w:line="225" w:lineRule="auto"/>
              <w:ind w:left="416"/>
              <w:rPr>
                <w:color w:val="auto"/>
                <w:highlight w:val="none"/>
              </w:rPr>
            </w:pPr>
            <w:r>
              <w:rPr>
                <w:color w:val="auto"/>
                <w:spacing w:val="-13"/>
                <w:highlight w:val="none"/>
              </w:rPr>
              <w:t>网</w:t>
            </w:r>
            <w:r>
              <w:rPr>
                <w:color w:val="auto"/>
                <w:spacing w:val="10"/>
                <w:highlight w:val="none"/>
              </w:rPr>
              <w:t xml:space="preserve"> </w:t>
            </w:r>
            <w:r>
              <w:rPr>
                <w:color w:val="auto"/>
                <w:spacing w:val="-13"/>
                <w:highlight w:val="none"/>
              </w:rPr>
              <w:t>址</w:t>
            </w:r>
          </w:p>
        </w:tc>
        <w:tc>
          <w:tcPr>
            <w:tcW w:w="2346" w:type="dxa"/>
            <w:gridSpan w:val="3"/>
            <w:vAlign w:val="top"/>
          </w:tcPr>
          <w:p w14:paraId="28CD0DFC">
            <w:pPr>
              <w:rPr>
                <w:rFonts w:ascii="Arial"/>
                <w:color w:val="auto"/>
                <w:sz w:val="21"/>
                <w:highlight w:val="none"/>
              </w:rPr>
            </w:pPr>
          </w:p>
        </w:tc>
      </w:tr>
      <w:tr w14:paraId="7ADA3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32" w:type="dxa"/>
            <w:vAlign w:val="top"/>
          </w:tcPr>
          <w:p w14:paraId="7383A896">
            <w:pPr>
              <w:pStyle w:val="29"/>
              <w:spacing w:before="176" w:line="220" w:lineRule="auto"/>
              <w:ind w:left="489"/>
              <w:rPr>
                <w:color w:val="auto"/>
                <w:highlight w:val="none"/>
              </w:rPr>
            </w:pPr>
            <w:r>
              <w:rPr>
                <w:color w:val="auto"/>
                <w:spacing w:val="-2"/>
                <w:highlight w:val="none"/>
              </w:rPr>
              <w:t>法定代表人</w:t>
            </w:r>
          </w:p>
        </w:tc>
        <w:tc>
          <w:tcPr>
            <w:tcW w:w="914" w:type="dxa"/>
            <w:vAlign w:val="top"/>
          </w:tcPr>
          <w:p w14:paraId="21398F61">
            <w:pPr>
              <w:pStyle w:val="29"/>
              <w:spacing w:before="176" w:line="220" w:lineRule="auto"/>
              <w:ind w:left="243"/>
              <w:rPr>
                <w:color w:val="auto"/>
                <w:highlight w:val="none"/>
              </w:rPr>
            </w:pPr>
            <w:r>
              <w:rPr>
                <w:color w:val="auto"/>
                <w:spacing w:val="-2"/>
                <w:highlight w:val="none"/>
              </w:rPr>
              <w:t>姓名</w:t>
            </w:r>
          </w:p>
        </w:tc>
        <w:tc>
          <w:tcPr>
            <w:tcW w:w="1139" w:type="dxa"/>
            <w:vAlign w:val="top"/>
          </w:tcPr>
          <w:p w14:paraId="1FAE6EAC">
            <w:pPr>
              <w:rPr>
                <w:rFonts w:ascii="Arial"/>
                <w:color w:val="auto"/>
                <w:sz w:val="21"/>
                <w:highlight w:val="none"/>
              </w:rPr>
            </w:pPr>
          </w:p>
        </w:tc>
        <w:tc>
          <w:tcPr>
            <w:tcW w:w="1170" w:type="dxa"/>
            <w:vAlign w:val="top"/>
          </w:tcPr>
          <w:p w14:paraId="6CFBCE98">
            <w:pPr>
              <w:pStyle w:val="29"/>
              <w:spacing w:before="176" w:line="220" w:lineRule="auto"/>
              <w:ind w:left="174"/>
              <w:rPr>
                <w:color w:val="auto"/>
                <w:highlight w:val="none"/>
              </w:rPr>
            </w:pPr>
            <w:r>
              <w:rPr>
                <w:color w:val="auto"/>
                <w:spacing w:val="-2"/>
                <w:highlight w:val="none"/>
              </w:rPr>
              <w:t>技术职称</w:t>
            </w:r>
          </w:p>
        </w:tc>
        <w:tc>
          <w:tcPr>
            <w:tcW w:w="1289" w:type="dxa"/>
            <w:gridSpan w:val="2"/>
            <w:vAlign w:val="top"/>
          </w:tcPr>
          <w:p w14:paraId="1E31E0A4">
            <w:pPr>
              <w:rPr>
                <w:rFonts w:ascii="Arial"/>
                <w:color w:val="auto"/>
                <w:sz w:val="21"/>
                <w:highlight w:val="none"/>
              </w:rPr>
            </w:pPr>
          </w:p>
        </w:tc>
        <w:tc>
          <w:tcPr>
            <w:tcW w:w="1109" w:type="dxa"/>
            <w:gridSpan w:val="2"/>
            <w:vAlign w:val="top"/>
          </w:tcPr>
          <w:p w14:paraId="09DAF86F">
            <w:pPr>
              <w:pStyle w:val="29"/>
              <w:spacing w:before="176" w:line="222" w:lineRule="auto"/>
              <w:ind w:left="397"/>
              <w:rPr>
                <w:color w:val="auto"/>
                <w:highlight w:val="none"/>
              </w:rPr>
            </w:pPr>
            <w:r>
              <w:rPr>
                <w:color w:val="auto"/>
                <w:spacing w:val="-9"/>
                <w:highlight w:val="none"/>
              </w:rPr>
              <w:t>电话</w:t>
            </w:r>
          </w:p>
        </w:tc>
        <w:tc>
          <w:tcPr>
            <w:tcW w:w="1237" w:type="dxa"/>
            <w:vAlign w:val="top"/>
          </w:tcPr>
          <w:p w14:paraId="45BE8F34">
            <w:pPr>
              <w:rPr>
                <w:rFonts w:ascii="Arial"/>
                <w:color w:val="auto"/>
                <w:sz w:val="21"/>
                <w:highlight w:val="none"/>
              </w:rPr>
            </w:pPr>
          </w:p>
        </w:tc>
      </w:tr>
      <w:tr w14:paraId="48973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032" w:type="dxa"/>
            <w:vAlign w:val="top"/>
          </w:tcPr>
          <w:p w14:paraId="7FAA8961">
            <w:pPr>
              <w:pStyle w:val="29"/>
              <w:spacing w:before="176" w:line="220" w:lineRule="auto"/>
              <w:ind w:left="489"/>
              <w:rPr>
                <w:color w:val="auto"/>
                <w:highlight w:val="none"/>
              </w:rPr>
            </w:pPr>
            <w:r>
              <w:rPr>
                <w:color w:val="auto"/>
                <w:spacing w:val="-2"/>
                <w:highlight w:val="none"/>
              </w:rPr>
              <w:t>技术负责人</w:t>
            </w:r>
          </w:p>
        </w:tc>
        <w:tc>
          <w:tcPr>
            <w:tcW w:w="914" w:type="dxa"/>
            <w:vAlign w:val="top"/>
          </w:tcPr>
          <w:p w14:paraId="6FCAB6AC">
            <w:pPr>
              <w:pStyle w:val="29"/>
              <w:spacing w:before="176" w:line="220" w:lineRule="auto"/>
              <w:ind w:left="243"/>
              <w:rPr>
                <w:color w:val="auto"/>
                <w:highlight w:val="none"/>
              </w:rPr>
            </w:pPr>
            <w:r>
              <w:rPr>
                <w:color w:val="auto"/>
                <w:spacing w:val="-2"/>
                <w:highlight w:val="none"/>
              </w:rPr>
              <w:t>姓名</w:t>
            </w:r>
          </w:p>
        </w:tc>
        <w:tc>
          <w:tcPr>
            <w:tcW w:w="1139" w:type="dxa"/>
            <w:vAlign w:val="top"/>
          </w:tcPr>
          <w:p w14:paraId="58EB4114">
            <w:pPr>
              <w:rPr>
                <w:rFonts w:ascii="Arial"/>
                <w:color w:val="auto"/>
                <w:sz w:val="21"/>
                <w:highlight w:val="none"/>
              </w:rPr>
            </w:pPr>
          </w:p>
        </w:tc>
        <w:tc>
          <w:tcPr>
            <w:tcW w:w="1170" w:type="dxa"/>
            <w:vAlign w:val="top"/>
          </w:tcPr>
          <w:p w14:paraId="6AEA8E68">
            <w:pPr>
              <w:pStyle w:val="29"/>
              <w:spacing w:before="176" w:line="220" w:lineRule="auto"/>
              <w:ind w:left="174"/>
              <w:rPr>
                <w:color w:val="auto"/>
                <w:highlight w:val="none"/>
              </w:rPr>
            </w:pPr>
            <w:r>
              <w:rPr>
                <w:color w:val="auto"/>
                <w:spacing w:val="-2"/>
                <w:highlight w:val="none"/>
              </w:rPr>
              <w:t>技术职称</w:t>
            </w:r>
          </w:p>
        </w:tc>
        <w:tc>
          <w:tcPr>
            <w:tcW w:w="1289" w:type="dxa"/>
            <w:gridSpan w:val="2"/>
            <w:vAlign w:val="top"/>
          </w:tcPr>
          <w:p w14:paraId="2D88EF4A">
            <w:pPr>
              <w:rPr>
                <w:rFonts w:ascii="Arial"/>
                <w:color w:val="auto"/>
                <w:sz w:val="21"/>
                <w:highlight w:val="none"/>
              </w:rPr>
            </w:pPr>
          </w:p>
        </w:tc>
        <w:tc>
          <w:tcPr>
            <w:tcW w:w="1109" w:type="dxa"/>
            <w:gridSpan w:val="2"/>
            <w:vAlign w:val="top"/>
          </w:tcPr>
          <w:p w14:paraId="134C6D33">
            <w:pPr>
              <w:pStyle w:val="29"/>
              <w:spacing w:before="176" w:line="222" w:lineRule="auto"/>
              <w:ind w:left="397"/>
              <w:rPr>
                <w:color w:val="auto"/>
                <w:highlight w:val="none"/>
              </w:rPr>
            </w:pPr>
            <w:r>
              <w:rPr>
                <w:color w:val="auto"/>
                <w:spacing w:val="-9"/>
                <w:highlight w:val="none"/>
              </w:rPr>
              <w:t>电话</w:t>
            </w:r>
          </w:p>
        </w:tc>
        <w:tc>
          <w:tcPr>
            <w:tcW w:w="1237" w:type="dxa"/>
            <w:vAlign w:val="top"/>
          </w:tcPr>
          <w:p w14:paraId="6E291414">
            <w:pPr>
              <w:rPr>
                <w:rFonts w:ascii="Arial"/>
                <w:color w:val="auto"/>
                <w:sz w:val="21"/>
                <w:highlight w:val="none"/>
              </w:rPr>
            </w:pPr>
          </w:p>
        </w:tc>
      </w:tr>
      <w:tr w14:paraId="0FEDE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32" w:type="dxa"/>
            <w:vAlign w:val="top"/>
          </w:tcPr>
          <w:p w14:paraId="218FECA5">
            <w:pPr>
              <w:pStyle w:val="29"/>
              <w:spacing w:before="178" w:line="219" w:lineRule="auto"/>
              <w:ind w:left="176"/>
              <w:rPr>
                <w:color w:val="auto"/>
                <w:highlight w:val="none"/>
              </w:rPr>
            </w:pPr>
            <w:r>
              <w:rPr>
                <w:color w:val="auto"/>
                <w:spacing w:val="-1"/>
                <w:highlight w:val="none"/>
              </w:rPr>
              <w:t>企业监理资质证书</w:t>
            </w:r>
          </w:p>
        </w:tc>
        <w:tc>
          <w:tcPr>
            <w:tcW w:w="6858" w:type="dxa"/>
            <w:gridSpan w:val="8"/>
            <w:vAlign w:val="top"/>
          </w:tcPr>
          <w:p w14:paraId="27949DCF">
            <w:pPr>
              <w:pStyle w:val="29"/>
              <w:spacing w:before="178" w:line="219" w:lineRule="auto"/>
              <w:ind w:left="2166"/>
              <w:rPr>
                <w:color w:val="auto"/>
                <w:highlight w:val="none"/>
              </w:rPr>
            </w:pPr>
            <w:r>
              <w:rPr>
                <w:color w:val="auto"/>
                <w:spacing w:val="-26"/>
                <w:highlight w:val="none"/>
              </w:rPr>
              <w:t>类型：</w:t>
            </w:r>
            <w:r>
              <w:rPr>
                <w:color w:val="auto"/>
                <w:spacing w:val="2"/>
                <w:highlight w:val="none"/>
              </w:rPr>
              <w:t xml:space="preserve">   </w:t>
            </w:r>
            <w:r>
              <w:rPr>
                <w:color w:val="auto"/>
                <w:spacing w:val="-26"/>
                <w:highlight w:val="none"/>
              </w:rPr>
              <w:t>等级：</w:t>
            </w:r>
            <w:r>
              <w:rPr>
                <w:color w:val="auto"/>
                <w:spacing w:val="1"/>
                <w:highlight w:val="none"/>
              </w:rPr>
              <w:t xml:space="preserve">   </w:t>
            </w:r>
            <w:r>
              <w:rPr>
                <w:color w:val="auto"/>
                <w:spacing w:val="-26"/>
                <w:highlight w:val="none"/>
              </w:rPr>
              <w:t>证书号：</w:t>
            </w:r>
          </w:p>
        </w:tc>
      </w:tr>
      <w:tr w14:paraId="2F4DA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32" w:type="dxa"/>
            <w:vAlign w:val="top"/>
          </w:tcPr>
          <w:p w14:paraId="2C49DDAA">
            <w:pPr>
              <w:pStyle w:val="29"/>
              <w:spacing w:before="178" w:line="220" w:lineRule="auto"/>
              <w:ind w:left="495"/>
              <w:rPr>
                <w:color w:val="auto"/>
                <w:highlight w:val="none"/>
              </w:rPr>
            </w:pPr>
            <w:r>
              <w:rPr>
                <w:color w:val="auto"/>
                <w:spacing w:val="-3"/>
                <w:highlight w:val="none"/>
              </w:rPr>
              <w:t>营业执照号</w:t>
            </w:r>
          </w:p>
        </w:tc>
        <w:tc>
          <w:tcPr>
            <w:tcW w:w="3223" w:type="dxa"/>
            <w:gridSpan w:val="3"/>
            <w:vAlign w:val="top"/>
          </w:tcPr>
          <w:p w14:paraId="30C3259B">
            <w:pPr>
              <w:rPr>
                <w:rFonts w:ascii="Arial"/>
                <w:color w:val="auto"/>
                <w:sz w:val="21"/>
                <w:highlight w:val="none"/>
              </w:rPr>
            </w:pPr>
          </w:p>
        </w:tc>
        <w:tc>
          <w:tcPr>
            <w:tcW w:w="3635" w:type="dxa"/>
            <w:gridSpan w:val="5"/>
            <w:vAlign w:val="top"/>
          </w:tcPr>
          <w:p w14:paraId="70FD2AEE">
            <w:pPr>
              <w:pStyle w:val="29"/>
              <w:spacing w:before="178" w:line="220" w:lineRule="auto"/>
              <w:ind w:left="1204"/>
              <w:rPr>
                <w:color w:val="auto"/>
                <w:highlight w:val="none"/>
              </w:rPr>
            </w:pPr>
            <w:r>
              <w:rPr>
                <w:color w:val="auto"/>
                <w:spacing w:val="-9"/>
                <w:highlight w:val="none"/>
              </w:rPr>
              <w:t>员工总人数：</w:t>
            </w:r>
          </w:p>
        </w:tc>
      </w:tr>
      <w:tr w14:paraId="691E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32" w:type="dxa"/>
            <w:vAlign w:val="top"/>
          </w:tcPr>
          <w:p w14:paraId="156BA192">
            <w:pPr>
              <w:pStyle w:val="29"/>
              <w:spacing w:before="179" w:line="219" w:lineRule="auto"/>
              <w:ind w:left="593"/>
              <w:rPr>
                <w:color w:val="auto"/>
                <w:highlight w:val="none"/>
              </w:rPr>
            </w:pPr>
            <w:r>
              <w:rPr>
                <w:color w:val="auto"/>
                <w:spacing w:val="-2"/>
                <w:highlight w:val="none"/>
              </w:rPr>
              <w:t>注册资本</w:t>
            </w:r>
          </w:p>
        </w:tc>
        <w:tc>
          <w:tcPr>
            <w:tcW w:w="3223" w:type="dxa"/>
            <w:gridSpan w:val="3"/>
            <w:vAlign w:val="top"/>
          </w:tcPr>
          <w:p w14:paraId="450368DE">
            <w:pPr>
              <w:rPr>
                <w:rFonts w:ascii="Arial"/>
                <w:color w:val="auto"/>
                <w:sz w:val="21"/>
                <w:highlight w:val="none"/>
              </w:rPr>
            </w:pPr>
          </w:p>
        </w:tc>
        <w:tc>
          <w:tcPr>
            <w:tcW w:w="420" w:type="dxa"/>
            <w:vMerge w:val="restart"/>
            <w:tcBorders>
              <w:bottom w:val="nil"/>
            </w:tcBorders>
            <w:textDirection w:val="tbRlV"/>
            <w:vAlign w:val="top"/>
          </w:tcPr>
          <w:p w14:paraId="280C2778">
            <w:pPr>
              <w:pStyle w:val="29"/>
              <w:spacing w:before="88" w:line="208" w:lineRule="auto"/>
              <w:ind w:left="750"/>
              <w:rPr>
                <w:color w:val="auto"/>
                <w:highlight w:val="none"/>
              </w:rPr>
            </w:pPr>
            <w:r>
              <w:rPr>
                <w:color w:val="auto"/>
                <w:highlight w:val="none"/>
              </w:rPr>
              <w:t>其</w:t>
            </w:r>
            <w:r>
              <w:rPr>
                <w:color w:val="auto"/>
                <w:spacing w:val="75"/>
                <w:highlight w:val="none"/>
              </w:rPr>
              <w:t xml:space="preserve"> </w:t>
            </w:r>
            <w:r>
              <w:rPr>
                <w:color w:val="auto"/>
                <w:highlight w:val="none"/>
              </w:rPr>
              <w:t>中</w:t>
            </w:r>
          </w:p>
        </w:tc>
        <w:tc>
          <w:tcPr>
            <w:tcW w:w="1693" w:type="dxa"/>
            <w:gridSpan w:val="2"/>
            <w:vAlign w:val="top"/>
          </w:tcPr>
          <w:p w14:paraId="20D54987">
            <w:pPr>
              <w:pStyle w:val="29"/>
              <w:spacing w:before="179" w:line="220" w:lineRule="auto"/>
              <w:ind w:left="226"/>
              <w:rPr>
                <w:color w:val="auto"/>
                <w:highlight w:val="none"/>
              </w:rPr>
            </w:pPr>
            <w:r>
              <w:rPr>
                <w:color w:val="auto"/>
                <w:spacing w:val="-2"/>
                <w:highlight w:val="none"/>
              </w:rPr>
              <w:t>高级职称人员</w:t>
            </w:r>
          </w:p>
        </w:tc>
        <w:tc>
          <w:tcPr>
            <w:tcW w:w="1522" w:type="dxa"/>
            <w:gridSpan w:val="2"/>
            <w:vAlign w:val="top"/>
          </w:tcPr>
          <w:p w14:paraId="04948734">
            <w:pPr>
              <w:rPr>
                <w:rFonts w:ascii="Arial"/>
                <w:color w:val="auto"/>
                <w:sz w:val="21"/>
                <w:highlight w:val="none"/>
              </w:rPr>
            </w:pPr>
          </w:p>
        </w:tc>
      </w:tr>
      <w:tr w14:paraId="11B80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32" w:type="dxa"/>
            <w:vAlign w:val="top"/>
          </w:tcPr>
          <w:p w14:paraId="329F04F0">
            <w:pPr>
              <w:pStyle w:val="29"/>
              <w:spacing w:before="179" w:line="220" w:lineRule="auto"/>
              <w:ind w:left="595"/>
              <w:rPr>
                <w:color w:val="auto"/>
                <w:highlight w:val="none"/>
              </w:rPr>
            </w:pPr>
            <w:r>
              <w:rPr>
                <w:color w:val="auto"/>
                <w:spacing w:val="-2"/>
                <w:highlight w:val="none"/>
              </w:rPr>
              <w:t>成立日期</w:t>
            </w:r>
          </w:p>
        </w:tc>
        <w:tc>
          <w:tcPr>
            <w:tcW w:w="3223" w:type="dxa"/>
            <w:gridSpan w:val="3"/>
            <w:vAlign w:val="top"/>
          </w:tcPr>
          <w:p w14:paraId="550D937A">
            <w:pPr>
              <w:rPr>
                <w:rFonts w:ascii="Arial"/>
                <w:color w:val="auto"/>
                <w:sz w:val="21"/>
                <w:highlight w:val="none"/>
              </w:rPr>
            </w:pPr>
          </w:p>
        </w:tc>
        <w:tc>
          <w:tcPr>
            <w:tcW w:w="420" w:type="dxa"/>
            <w:vMerge w:val="continue"/>
            <w:tcBorders>
              <w:top w:val="nil"/>
              <w:bottom w:val="nil"/>
            </w:tcBorders>
            <w:textDirection w:val="tbRlV"/>
            <w:vAlign w:val="top"/>
          </w:tcPr>
          <w:p w14:paraId="16E313A4">
            <w:pPr>
              <w:rPr>
                <w:rFonts w:ascii="Arial"/>
                <w:color w:val="auto"/>
                <w:sz w:val="21"/>
                <w:highlight w:val="none"/>
              </w:rPr>
            </w:pPr>
          </w:p>
        </w:tc>
        <w:tc>
          <w:tcPr>
            <w:tcW w:w="1693" w:type="dxa"/>
            <w:gridSpan w:val="2"/>
            <w:vAlign w:val="top"/>
          </w:tcPr>
          <w:p w14:paraId="1165FA76">
            <w:pPr>
              <w:pStyle w:val="29"/>
              <w:spacing w:before="179" w:line="220" w:lineRule="auto"/>
              <w:ind w:left="240"/>
              <w:rPr>
                <w:color w:val="auto"/>
                <w:highlight w:val="none"/>
              </w:rPr>
            </w:pPr>
            <w:r>
              <w:rPr>
                <w:color w:val="auto"/>
                <w:spacing w:val="-4"/>
                <w:highlight w:val="none"/>
              </w:rPr>
              <w:t>中级职称人员</w:t>
            </w:r>
          </w:p>
        </w:tc>
        <w:tc>
          <w:tcPr>
            <w:tcW w:w="1522" w:type="dxa"/>
            <w:gridSpan w:val="2"/>
            <w:vAlign w:val="top"/>
          </w:tcPr>
          <w:p w14:paraId="348352C7">
            <w:pPr>
              <w:rPr>
                <w:rFonts w:ascii="Arial"/>
                <w:color w:val="auto"/>
                <w:sz w:val="21"/>
                <w:highlight w:val="none"/>
              </w:rPr>
            </w:pPr>
          </w:p>
        </w:tc>
      </w:tr>
      <w:tr w14:paraId="1D78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032" w:type="dxa"/>
            <w:vAlign w:val="top"/>
          </w:tcPr>
          <w:p w14:paraId="24ADDD32">
            <w:pPr>
              <w:pStyle w:val="29"/>
              <w:spacing w:before="179" w:line="219" w:lineRule="auto"/>
              <w:ind w:left="173"/>
              <w:rPr>
                <w:color w:val="auto"/>
                <w:highlight w:val="none"/>
              </w:rPr>
            </w:pPr>
            <w:r>
              <w:rPr>
                <w:color w:val="auto"/>
                <w:spacing w:val="-1"/>
                <w:highlight w:val="none"/>
              </w:rPr>
              <w:t>基本账户开户银行</w:t>
            </w:r>
          </w:p>
        </w:tc>
        <w:tc>
          <w:tcPr>
            <w:tcW w:w="3223" w:type="dxa"/>
            <w:gridSpan w:val="3"/>
            <w:vAlign w:val="top"/>
          </w:tcPr>
          <w:p w14:paraId="675B1919">
            <w:pPr>
              <w:rPr>
                <w:rFonts w:ascii="Arial"/>
                <w:color w:val="auto"/>
                <w:sz w:val="21"/>
                <w:highlight w:val="none"/>
              </w:rPr>
            </w:pPr>
          </w:p>
        </w:tc>
        <w:tc>
          <w:tcPr>
            <w:tcW w:w="420" w:type="dxa"/>
            <w:vMerge w:val="continue"/>
            <w:tcBorders>
              <w:top w:val="nil"/>
              <w:bottom w:val="nil"/>
            </w:tcBorders>
            <w:textDirection w:val="tbRlV"/>
            <w:vAlign w:val="top"/>
          </w:tcPr>
          <w:p w14:paraId="3D962101">
            <w:pPr>
              <w:rPr>
                <w:rFonts w:ascii="Arial"/>
                <w:color w:val="auto"/>
                <w:sz w:val="21"/>
                <w:highlight w:val="none"/>
              </w:rPr>
            </w:pPr>
          </w:p>
        </w:tc>
        <w:tc>
          <w:tcPr>
            <w:tcW w:w="1693" w:type="dxa"/>
            <w:gridSpan w:val="2"/>
            <w:vAlign w:val="top"/>
          </w:tcPr>
          <w:p w14:paraId="7ED67D0B">
            <w:pPr>
              <w:pStyle w:val="29"/>
              <w:spacing w:before="179" w:line="220" w:lineRule="auto"/>
              <w:ind w:left="221"/>
              <w:rPr>
                <w:color w:val="auto"/>
                <w:highlight w:val="none"/>
              </w:rPr>
            </w:pPr>
            <w:r>
              <w:rPr>
                <w:color w:val="auto"/>
                <w:spacing w:val="-1"/>
                <w:highlight w:val="none"/>
              </w:rPr>
              <w:t>技术人员数量</w:t>
            </w:r>
          </w:p>
        </w:tc>
        <w:tc>
          <w:tcPr>
            <w:tcW w:w="1522" w:type="dxa"/>
            <w:gridSpan w:val="2"/>
            <w:vAlign w:val="top"/>
          </w:tcPr>
          <w:p w14:paraId="31376727">
            <w:pPr>
              <w:rPr>
                <w:rFonts w:ascii="Arial"/>
                <w:color w:val="auto"/>
                <w:sz w:val="21"/>
                <w:highlight w:val="none"/>
              </w:rPr>
            </w:pPr>
          </w:p>
        </w:tc>
      </w:tr>
      <w:tr w14:paraId="463D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032" w:type="dxa"/>
            <w:vAlign w:val="top"/>
          </w:tcPr>
          <w:p w14:paraId="52C29D82">
            <w:pPr>
              <w:pStyle w:val="29"/>
              <w:spacing w:before="181" w:line="219" w:lineRule="auto"/>
              <w:ind w:left="173"/>
              <w:rPr>
                <w:color w:val="auto"/>
                <w:highlight w:val="none"/>
              </w:rPr>
            </w:pPr>
            <w:r>
              <w:rPr>
                <w:color w:val="auto"/>
                <w:spacing w:val="-1"/>
                <w:highlight w:val="none"/>
              </w:rPr>
              <w:t>基本账户银行账号</w:t>
            </w:r>
          </w:p>
        </w:tc>
        <w:tc>
          <w:tcPr>
            <w:tcW w:w="3223" w:type="dxa"/>
            <w:gridSpan w:val="3"/>
            <w:vAlign w:val="top"/>
          </w:tcPr>
          <w:p w14:paraId="6C2C1D60">
            <w:pPr>
              <w:rPr>
                <w:rFonts w:ascii="Arial"/>
                <w:color w:val="auto"/>
                <w:sz w:val="21"/>
                <w:highlight w:val="none"/>
              </w:rPr>
            </w:pPr>
          </w:p>
        </w:tc>
        <w:tc>
          <w:tcPr>
            <w:tcW w:w="420" w:type="dxa"/>
            <w:vMerge w:val="continue"/>
            <w:tcBorders>
              <w:top w:val="nil"/>
            </w:tcBorders>
            <w:textDirection w:val="tbRlV"/>
            <w:vAlign w:val="top"/>
          </w:tcPr>
          <w:p w14:paraId="55E1B8EB">
            <w:pPr>
              <w:rPr>
                <w:rFonts w:ascii="Arial"/>
                <w:color w:val="auto"/>
                <w:sz w:val="21"/>
                <w:highlight w:val="none"/>
              </w:rPr>
            </w:pPr>
          </w:p>
        </w:tc>
        <w:tc>
          <w:tcPr>
            <w:tcW w:w="1693" w:type="dxa"/>
            <w:gridSpan w:val="2"/>
            <w:vAlign w:val="top"/>
          </w:tcPr>
          <w:p w14:paraId="2649FDDD">
            <w:pPr>
              <w:pStyle w:val="29"/>
              <w:spacing w:before="181" w:line="220" w:lineRule="auto"/>
              <w:ind w:left="115"/>
              <w:rPr>
                <w:color w:val="auto"/>
                <w:highlight w:val="none"/>
              </w:rPr>
            </w:pPr>
            <w:r>
              <w:rPr>
                <w:color w:val="auto"/>
                <w:spacing w:val="-1"/>
                <w:highlight w:val="none"/>
              </w:rPr>
              <w:t>注册监理工程师</w:t>
            </w:r>
          </w:p>
        </w:tc>
        <w:tc>
          <w:tcPr>
            <w:tcW w:w="1522" w:type="dxa"/>
            <w:gridSpan w:val="2"/>
            <w:vAlign w:val="top"/>
          </w:tcPr>
          <w:p w14:paraId="287100E5">
            <w:pPr>
              <w:rPr>
                <w:rFonts w:ascii="Arial"/>
                <w:color w:val="auto"/>
                <w:sz w:val="21"/>
                <w:highlight w:val="none"/>
              </w:rPr>
            </w:pPr>
          </w:p>
        </w:tc>
      </w:tr>
      <w:tr w14:paraId="4E994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032" w:type="dxa"/>
            <w:vAlign w:val="top"/>
          </w:tcPr>
          <w:p w14:paraId="715641B8">
            <w:pPr>
              <w:pStyle w:val="29"/>
              <w:spacing w:before="183" w:line="220" w:lineRule="auto"/>
              <w:ind w:left="595"/>
              <w:rPr>
                <w:color w:val="auto"/>
                <w:highlight w:val="none"/>
              </w:rPr>
            </w:pPr>
            <w:r>
              <w:rPr>
                <w:color w:val="auto"/>
                <w:spacing w:val="-2"/>
                <w:highlight w:val="none"/>
              </w:rPr>
              <w:t>经营范围</w:t>
            </w:r>
          </w:p>
        </w:tc>
        <w:tc>
          <w:tcPr>
            <w:tcW w:w="6858" w:type="dxa"/>
            <w:gridSpan w:val="8"/>
            <w:vAlign w:val="top"/>
          </w:tcPr>
          <w:p w14:paraId="40E478EB">
            <w:pPr>
              <w:rPr>
                <w:rFonts w:ascii="Arial"/>
                <w:color w:val="auto"/>
                <w:sz w:val="21"/>
                <w:highlight w:val="none"/>
              </w:rPr>
            </w:pPr>
          </w:p>
        </w:tc>
      </w:tr>
      <w:tr w14:paraId="70074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2032" w:type="dxa"/>
            <w:vAlign w:val="top"/>
          </w:tcPr>
          <w:p w14:paraId="67355502">
            <w:pPr>
              <w:pStyle w:val="29"/>
              <w:spacing w:before="289" w:line="353" w:lineRule="auto"/>
              <w:ind w:left="11" w:right="3" w:firstLine="59"/>
              <w:jc w:val="both"/>
              <w:rPr>
                <w:color w:val="auto"/>
                <w:highlight w:val="none"/>
              </w:rPr>
            </w:pPr>
            <w:r>
              <w:rPr>
                <w:color w:val="auto"/>
                <w:spacing w:val="-1"/>
                <w:highlight w:val="none"/>
              </w:rPr>
              <w:t>投标人关联企业情况</w:t>
            </w:r>
            <w:r>
              <w:rPr>
                <w:color w:val="auto"/>
                <w:spacing w:val="1"/>
                <w:highlight w:val="none"/>
              </w:rPr>
              <w:t xml:space="preserve"> </w:t>
            </w:r>
            <w:r>
              <w:rPr>
                <w:color w:val="auto"/>
                <w:spacing w:val="4"/>
                <w:highlight w:val="none"/>
              </w:rPr>
              <w:t>（包括但不限于与投</w:t>
            </w:r>
            <w:r>
              <w:rPr>
                <w:color w:val="auto"/>
                <w:spacing w:val="6"/>
                <w:highlight w:val="none"/>
              </w:rPr>
              <w:t xml:space="preserve"> </w:t>
            </w:r>
            <w:r>
              <w:rPr>
                <w:color w:val="auto"/>
                <w:spacing w:val="5"/>
                <w:highlight w:val="none"/>
              </w:rPr>
              <w:t>标人法定代表人为同</w:t>
            </w:r>
            <w:r>
              <w:rPr>
                <w:color w:val="auto"/>
                <w:spacing w:val="6"/>
                <w:highlight w:val="none"/>
              </w:rPr>
              <w:t xml:space="preserve"> </w:t>
            </w:r>
            <w:r>
              <w:rPr>
                <w:color w:val="auto"/>
                <w:spacing w:val="-10"/>
                <w:highlight w:val="none"/>
              </w:rPr>
              <w:t>一人或者存在控股、管</w:t>
            </w:r>
          </w:p>
          <w:p w14:paraId="3E66AF4B">
            <w:pPr>
              <w:pStyle w:val="29"/>
              <w:spacing w:line="220" w:lineRule="auto"/>
              <w:ind w:left="70"/>
              <w:rPr>
                <w:color w:val="auto"/>
                <w:highlight w:val="none"/>
              </w:rPr>
            </w:pPr>
            <w:r>
              <w:rPr>
                <w:color w:val="auto"/>
                <w:spacing w:val="-3"/>
                <w:highlight w:val="none"/>
              </w:rPr>
              <w:t>理关系的不同单位）</w:t>
            </w:r>
          </w:p>
        </w:tc>
        <w:tc>
          <w:tcPr>
            <w:tcW w:w="6858" w:type="dxa"/>
            <w:gridSpan w:val="8"/>
            <w:vAlign w:val="top"/>
          </w:tcPr>
          <w:p w14:paraId="7A7A500F">
            <w:pPr>
              <w:rPr>
                <w:rFonts w:ascii="Arial"/>
                <w:color w:val="auto"/>
                <w:sz w:val="21"/>
                <w:highlight w:val="none"/>
              </w:rPr>
            </w:pPr>
          </w:p>
        </w:tc>
      </w:tr>
      <w:tr w14:paraId="64AD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2032" w:type="dxa"/>
            <w:vAlign w:val="top"/>
          </w:tcPr>
          <w:p w14:paraId="2D73F2D5">
            <w:pPr>
              <w:pStyle w:val="29"/>
              <w:spacing w:before="187" w:line="221" w:lineRule="auto"/>
              <w:ind w:left="806"/>
              <w:rPr>
                <w:color w:val="auto"/>
                <w:highlight w:val="none"/>
              </w:rPr>
            </w:pPr>
            <w:r>
              <w:rPr>
                <w:color w:val="auto"/>
                <w:spacing w:val="-3"/>
                <w:highlight w:val="none"/>
              </w:rPr>
              <w:t>备注</w:t>
            </w:r>
          </w:p>
        </w:tc>
        <w:tc>
          <w:tcPr>
            <w:tcW w:w="6858" w:type="dxa"/>
            <w:gridSpan w:val="8"/>
            <w:vAlign w:val="top"/>
          </w:tcPr>
          <w:p w14:paraId="014E1886">
            <w:pPr>
              <w:rPr>
                <w:rFonts w:ascii="Arial"/>
                <w:color w:val="auto"/>
                <w:sz w:val="21"/>
                <w:highlight w:val="none"/>
              </w:rPr>
            </w:pPr>
          </w:p>
        </w:tc>
      </w:tr>
    </w:tbl>
    <w:p w14:paraId="5433A1FD">
      <w:pPr>
        <w:pStyle w:val="4"/>
        <w:spacing w:before="134" w:line="219" w:lineRule="auto"/>
        <w:ind w:left="418"/>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注：投标人应根据投标人须知第</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1.4.1</w:t>
      </w:r>
      <w:r>
        <w:rPr>
          <w:color w:val="auto"/>
          <w:sz w:val="21"/>
          <w:szCs w:val="21"/>
          <w:highlight w:val="none"/>
        </w:rPr>
        <w:t xml:space="preserve"> </w:t>
      </w:r>
      <w:r>
        <w:rPr>
          <w:color w:val="auto"/>
          <w:sz w:val="21"/>
          <w:szCs w:val="21"/>
          <w:highlight w:val="none"/>
          <w14:textOutline w14:w="3810" w14:cap="flat" w14:cmpd="sng">
            <w14:solidFill>
              <w14:srgbClr w14:val="000000"/>
            </w14:solidFill>
            <w14:prstDash w14:val="solid"/>
            <w14:miter w14:val="0"/>
          </w14:textOutline>
        </w:rPr>
        <w:t>项的要求在本表后附相关证明材料。</w:t>
      </w:r>
    </w:p>
    <w:p w14:paraId="4E344AE5">
      <w:pPr>
        <w:spacing w:line="288" w:lineRule="auto"/>
        <w:rPr>
          <w:rFonts w:ascii="Arial"/>
          <w:color w:val="auto"/>
          <w:sz w:val="21"/>
          <w:highlight w:val="none"/>
        </w:rPr>
      </w:pPr>
    </w:p>
    <w:p w14:paraId="6D47ACA0">
      <w:pPr>
        <w:spacing w:line="289" w:lineRule="auto"/>
        <w:rPr>
          <w:rFonts w:ascii="Arial"/>
          <w:color w:val="auto"/>
          <w:sz w:val="21"/>
          <w:highlight w:val="none"/>
        </w:rPr>
      </w:pPr>
    </w:p>
    <w:p w14:paraId="3D7FD9A8">
      <w:pPr>
        <w:spacing w:line="289" w:lineRule="auto"/>
        <w:rPr>
          <w:rFonts w:ascii="Arial"/>
          <w:color w:val="auto"/>
          <w:sz w:val="21"/>
          <w:highlight w:val="none"/>
        </w:rPr>
      </w:pPr>
    </w:p>
    <w:p w14:paraId="45B476E9">
      <w:pPr>
        <w:spacing w:line="289" w:lineRule="auto"/>
        <w:rPr>
          <w:rFonts w:ascii="Arial"/>
          <w:color w:val="auto"/>
          <w:sz w:val="21"/>
          <w:highlight w:val="none"/>
        </w:rPr>
      </w:pPr>
    </w:p>
    <w:p w14:paraId="4DB103AC">
      <w:pPr>
        <w:spacing w:line="289" w:lineRule="auto"/>
        <w:rPr>
          <w:rFonts w:ascii="Arial"/>
          <w:color w:val="auto"/>
          <w:sz w:val="21"/>
          <w:highlight w:val="none"/>
        </w:rPr>
      </w:pPr>
    </w:p>
    <w:p w14:paraId="33D01A44">
      <w:pPr>
        <w:spacing w:line="289" w:lineRule="auto"/>
        <w:rPr>
          <w:rFonts w:ascii="Arial"/>
          <w:color w:val="auto"/>
          <w:sz w:val="21"/>
          <w:highlight w:val="none"/>
        </w:rPr>
      </w:pPr>
    </w:p>
    <w:p w14:paraId="329C1B02">
      <w:pPr>
        <w:pStyle w:val="4"/>
        <w:numPr>
          <w:ilvl w:val="0"/>
          <w:numId w:val="3"/>
        </w:numPr>
        <w:spacing w:before="79" w:line="220" w:lineRule="auto"/>
        <w:ind w:left="3415"/>
        <w:outlineLvl w:val="2"/>
        <w:rPr>
          <w:color w:val="auto"/>
          <w:sz w:val="24"/>
          <w:szCs w:val="24"/>
          <w:highlight w:val="none"/>
          <w14:textOutline w14:w="4354" w14:cap="flat" w14:cmpd="sng">
            <w14:solidFill>
              <w14:srgbClr w14:val="000000"/>
            </w14:solidFill>
            <w14:prstDash w14:val="solid"/>
            <w14:miter w14:val="0"/>
          </w14:textOutline>
        </w:rPr>
      </w:pPr>
      <w:bookmarkStart w:id="90" w:name="_Toc25565"/>
      <w:r>
        <w:rPr>
          <w:color w:val="auto"/>
          <w:sz w:val="24"/>
          <w:szCs w:val="24"/>
          <w:highlight w:val="none"/>
          <w14:textOutline w14:w="4354" w14:cap="flat" w14:cmpd="sng">
            <w14:solidFill>
              <w14:srgbClr w14:val="000000"/>
            </w14:solidFill>
            <w14:prstDash w14:val="solid"/>
            <w14:miter w14:val="0"/>
          </w14:textOutline>
        </w:rPr>
        <w:t>近年财务状况表</w:t>
      </w:r>
      <w:bookmarkEnd w:id="90"/>
    </w:p>
    <w:p w14:paraId="2EE64C8D">
      <w:pPr>
        <w:numPr>
          <w:ilvl w:val="0"/>
          <w:numId w:val="0"/>
        </w:numPr>
        <w:kinsoku w:val="0"/>
        <w:autoSpaceDE w:val="0"/>
        <w:autoSpaceDN w:val="0"/>
        <w:adjustRightInd w:val="0"/>
        <w:snapToGrid w:val="0"/>
        <w:spacing w:line="240" w:lineRule="auto"/>
        <w:jc w:val="left"/>
        <w:textAlignment w:val="baseline"/>
        <w:rPr>
          <w:color w:val="auto"/>
          <w:highlight w:val="none"/>
        </w:rPr>
      </w:pPr>
    </w:p>
    <w:p w14:paraId="29E7B655">
      <w:pPr>
        <w:numPr>
          <w:ilvl w:val="0"/>
          <w:numId w:val="0"/>
        </w:numPr>
        <w:kinsoku w:val="0"/>
        <w:autoSpaceDE w:val="0"/>
        <w:autoSpaceDN w:val="0"/>
        <w:adjustRightInd w:val="0"/>
        <w:snapToGrid w:val="0"/>
        <w:spacing w:line="240" w:lineRule="auto"/>
        <w:jc w:val="left"/>
        <w:textAlignment w:val="baseline"/>
        <w:rPr>
          <w:color w:val="auto"/>
          <w:highlight w:val="none"/>
        </w:rPr>
      </w:pPr>
      <w:r>
        <w:rPr>
          <w:rFonts w:hint="eastAsia"/>
          <w:color w:val="auto"/>
          <w:highlight w:val="none"/>
        </w:rPr>
        <w:t>财务运行状况良好，没有财务被接管、冻结、破产状态，投标时提供202</w:t>
      </w:r>
      <w:r>
        <w:rPr>
          <w:rFonts w:hint="eastAsia" w:eastAsia="宋体"/>
          <w:color w:val="auto"/>
          <w:highlight w:val="none"/>
          <w:lang w:val="en-US" w:eastAsia="zh-CN"/>
        </w:rPr>
        <w:t>2</w:t>
      </w:r>
      <w:r>
        <w:rPr>
          <w:rFonts w:hint="eastAsia"/>
          <w:color w:val="auto"/>
          <w:highlight w:val="none"/>
        </w:rPr>
        <w:t>年度至202</w:t>
      </w:r>
      <w:r>
        <w:rPr>
          <w:rFonts w:hint="eastAsia" w:eastAsia="宋体"/>
          <w:color w:val="auto"/>
          <w:highlight w:val="none"/>
          <w:lang w:val="en-US" w:eastAsia="zh-CN"/>
        </w:rPr>
        <w:t>4</w:t>
      </w:r>
      <w:r>
        <w:rPr>
          <w:rFonts w:hint="eastAsia"/>
          <w:color w:val="auto"/>
          <w:highlight w:val="none"/>
        </w:rPr>
        <w:t>年度财务审计报告（如果投标人成立不足三年，须提供自企业成立之日起至今的财务状况报告）。</w:t>
      </w:r>
    </w:p>
    <w:p w14:paraId="2F263BC3">
      <w:pPr>
        <w:numPr>
          <w:ilvl w:val="0"/>
          <w:numId w:val="0"/>
        </w:numPr>
        <w:kinsoku w:val="0"/>
        <w:autoSpaceDE w:val="0"/>
        <w:autoSpaceDN w:val="0"/>
        <w:adjustRightInd w:val="0"/>
        <w:snapToGrid w:val="0"/>
        <w:spacing w:line="240" w:lineRule="auto"/>
        <w:jc w:val="left"/>
        <w:textAlignment w:val="baseline"/>
        <w:rPr>
          <w:color w:val="auto"/>
          <w:highlight w:val="none"/>
        </w:rPr>
      </w:pPr>
    </w:p>
    <w:p w14:paraId="694EC838">
      <w:pPr>
        <w:numPr>
          <w:ilvl w:val="0"/>
          <w:numId w:val="0"/>
        </w:numPr>
        <w:kinsoku w:val="0"/>
        <w:autoSpaceDE w:val="0"/>
        <w:autoSpaceDN w:val="0"/>
        <w:adjustRightInd w:val="0"/>
        <w:snapToGrid w:val="0"/>
        <w:spacing w:line="240" w:lineRule="auto"/>
        <w:jc w:val="left"/>
        <w:textAlignment w:val="baseline"/>
        <w:rPr>
          <w:color w:val="auto"/>
          <w:highlight w:val="none"/>
        </w:rPr>
      </w:pPr>
    </w:p>
    <w:p w14:paraId="420ADD3F">
      <w:pPr>
        <w:pStyle w:val="4"/>
        <w:spacing w:before="1" w:line="218" w:lineRule="auto"/>
        <w:rPr>
          <w:color w:val="auto"/>
          <w:sz w:val="21"/>
          <w:szCs w:val="21"/>
          <w:highlight w:val="none"/>
        </w:rPr>
      </w:pPr>
    </w:p>
    <w:p w14:paraId="09BD465C">
      <w:pPr>
        <w:spacing w:line="218" w:lineRule="auto"/>
        <w:rPr>
          <w:color w:val="auto"/>
          <w:sz w:val="21"/>
          <w:szCs w:val="21"/>
          <w:highlight w:val="none"/>
        </w:rPr>
        <w:sectPr>
          <w:footerReference r:id="rId17" w:type="default"/>
          <w:pgSz w:w="11910" w:h="16845"/>
          <w:pgMar w:top="1407" w:right="1402" w:bottom="1022" w:left="1256" w:header="0" w:footer="862" w:gutter="0"/>
          <w:pgNumType w:fmt="decimal"/>
          <w:cols w:space="720" w:num="1"/>
        </w:sectPr>
      </w:pPr>
    </w:p>
    <w:p w14:paraId="7C7AF657">
      <w:pPr>
        <w:pStyle w:val="4"/>
        <w:spacing w:before="47" w:line="205" w:lineRule="auto"/>
        <w:ind w:left="2869"/>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（三）近年完成的类似项目情况表</w:t>
      </w:r>
    </w:p>
    <w:tbl>
      <w:tblPr>
        <w:tblStyle w:val="30"/>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1"/>
        <w:gridCol w:w="7220"/>
      </w:tblGrid>
      <w:tr w14:paraId="24E1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2091" w:type="dxa"/>
            <w:vAlign w:val="top"/>
          </w:tcPr>
          <w:p w14:paraId="3CA846A1">
            <w:pPr>
              <w:pStyle w:val="29"/>
              <w:spacing w:before="300" w:line="220" w:lineRule="auto"/>
              <w:ind w:left="612"/>
              <w:rPr>
                <w:color w:val="auto"/>
                <w:highlight w:val="none"/>
              </w:rPr>
            </w:pPr>
            <w:r>
              <w:rPr>
                <w:color w:val="auto"/>
                <w:spacing w:val="-2"/>
                <w:highlight w:val="none"/>
              </w:rPr>
              <w:t>项目名称</w:t>
            </w:r>
          </w:p>
        </w:tc>
        <w:tc>
          <w:tcPr>
            <w:tcW w:w="7220" w:type="dxa"/>
            <w:vAlign w:val="top"/>
          </w:tcPr>
          <w:p w14:paraId="0DDE2B4B">
            <w:pPr>
              <w:rPr>
                <w:rFonts w:ascii="Arial"/>
                <w:color w:val="auto"/>
                <w:sz w:val="21"/>
                <w:highlight w:val="none"/>
              </w:rPr>
            </w:pPr>
          </w:p>
        </w:tc>
      </w:tr>
      <w:tr w14:paraId="136EA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2091" w:type="dxa"/>
            <w:vAlign w:val="top"/>
          </w:tcPr>
          <w:p w14:paraId="0C439117">
            <w:pPr>
              <w:pStyle w:val="29"/>
              <w:spacing w:before="293" w:line="220" w:lineRule="auto"/>
              <w:ind w:left="507"/>
              <w:rPr>
                <w:color w:val="auto"/>
                <w:highlight w:val="none"/>
              </w:rPr>
            </w:pPr>
            <w:r>
              <w:rPr>
                <w:color w:val="auto"/>
                <w:spacing w:val="-2"/>
                <w:highlight w:val="none"/>
              </w:rPr>
              <w:t>项目所在地</w:t>
            </w:r>
          </w:p>
        </w:tc>
        <w:tc>
          <w:tcPr>
            <w:tcW w:w="7220" w:type="dxa"/>
            <w:vAlign w:val="top"/>
          </w:tcPr>
          <w:p w14:paraId="4219A391">
            <w:pPr>
              <w:rPr>
                <w:rFonts w:ascii="Arial"/>
                <w:color w:val="auto"/>
                <w:sz w:val="21"/>
                <w:highlight w:val="none"/>
              </w:rPr>
            </w:pPr>
          </w:p>
        </w:tc>
      </w:tr>
      <w:tr w14:paraId="345D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2091" w:type="dxa"/>
            <w:vAlign w:val="top"/>
          </w:tcPr>
          <w:p w14:paraId="5FBA1EC9">
            <w:pPr>
              <w:pStyle w:val="29"/>
              <w:spacing w:before="294" w:line="221" w:lineRule="auto"/>
              <w:ind w:left="502"/>
              <w:rPr>
                <w:color w:val="auto"/>
                <w:highlight w:val="none"/>
              </w:rPr>
            </w:pPr>
            <w:r>
              <w:rPr>
                <w:color w:val="auto"/>
                <w:spacing w:val="-1"/>
                <w:highlight w:val="none"/>
              </w:rPr>
              <w:t>委托人名称</w:t>
            </w:r>
          </w:p>
        </w:tc>
        <w:tc>
          <w:tcPr>
            <w:tcW w:w="7220" w:type="dxa"/>
            <w:vAlign w:val="top"/>
          </w:tcPr>
          <w:p w14:paraId="1CB20D5A">
            <w:pPr>
              <w:rPr>
                <w:rFonts w:ascii="Arial"/>
                <w:color w:val="auto"/>
                <w:sz w:val="21"/>
                <w:highlight w:val="none"/>
              </w:rPr>
            </w:pPr>
          </w:p>
        </w:tc>
      </w:tr>
      <w:tr w14:paraId="261B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2091" w:type="dxa"/>
            <w:vAlign w:val="top"/>
          </w:tcPr>
          <w:p w14:paraId="453385B2">
            <w:pPr>
              <w:pStyle w:val="29"/>
              <w:spacing w:before="295" w:line="221" w:lineRule="auto"/>
              <w:ind w:left="502"/>
              <w:rPr>
                <w:color w:val="auto"/>
                <w:highlight w:val="none"/>
              </w:rPr>
            </w:pPr>
            <w:r>
              <w:rPr>
                <w:color w:val="auto"/>
                <w:spacing w:val="-1"/>
                <w:highlight w:val="none"/>
              </w:rPr>
              <w:t>委托人地址</w:t>
            </w:r>
          </w:p>
        </w:tc>
        <w:tc>
          <w:tcPr>
            <w:tcW w:w="7220" w:type="dxa"/>
            <w:vAlign w:val="top"/>
          </w:tcPr>
          <w:p w14:paraId="3EE44FE1">
            <w:pPr>
              <w:rPr>
                <w:rFonts w:ascii="Arial"/>
                <w:color w:val="auto"/>
                <w:sz w:val="21"/>
                <w:highlight w:val="none"/>
              </w:rPr>
            </w:pPr>
          </w:p>
        </w:tc>
      </w:tr>
      <w:tr w14:paraId="1B5C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2091" w:type="dxa"/>
            <w:vAlign w:val="top"/>
          </w:tcPr>
          <w:p w14:paraId="0E21F6F8">
            <w:pPr>
              <w:pStyle w:val="29"/>
              <w:spacing w:before="296" w:line="221" w:lineRule="auto"/>
              <w:ind w:left="502"/>
              <w:rPr>
                <w:color w:val="auto"/>
                <w:highlight w:val="none"/>
              </w:rPr>
            </w:pPr>
            <w:r>
              <w:rPr>
                <w:color w:val="auto"/>
                <w:spacing w:val="-1"/>
                <w:highlight w:val="none"/>
              </w:rPr>
              <w:t>委托人电话</w:t>
            </w:r>
          </w:p>
        </w:tc>
        <w:tc>
          <w:tcPr>
            <w:tcW w:w="7220" w:type="dxa"/>
            <w:vAlign w:val="top"/>
          </w:tcPr>
          <w:p w14:paraId="2C370E53">
            <w:pPr>
              <w:rPr>
                <w:rFonts w:ascii="Arial"/>
                <w:color w:val="auto"/>
                <w:sz w:val="21"/>
                <w:highlight w:val="none"/>
              </w:rPr>
            </w:pPr>
          </w:p>
        </w:tc>
      </w:tr>
      <w:tr w14:paraId="7C0A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2091" w:type="dxa"/>
            <w:vAlign w:val="top"/>
          </w:tcPr>
          <w:p w14:paraId="24F3C507">
            <w:pPr>
              <w:pStyle w:val="29"/>
              <w:spacing w:before="298" w:line="220" w:lineRule="auto"/>
              <w:ind w:left="611"/>
              <w:rPr>
                <w:color w:val="auto"/>
                <w:highlight w:val="none"/>
              </w:rPr>
            </w:pPr>
            <w:r>
              <w:rPr>
                <w:color w:val="auto"/>
                <w:spacing w:val="-2"/>
                <w:highlight w:val="none"/>
              </w:rPr>
              <w:t>投资金额</w:t>
            </w:r>
          </w:p>
        </w:tc>
        <w:tc>
          <w:tcPr>
            <w:tcW w:w="7220" w:type="dxa"/>
            <w:vAlign w:val="top"/>
          </w:tcPr>
          <w:p w14:paraId="3062E6E8">
            <w:pPr>
              <w:rPr>
                <w:rFonts w:ascii="Arial"/>
                <w:color w:val="auto"/>
                <w:sz w:val="21"/>
                <w:highlight w:val="none"/>
              </w:rPr>
            </w:pPr>
          </w:p>
        </w:tc>
      </w:tr>
      <w:tr w14:paraId="281F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2091" w:type="dxa"/>
            <w:vAlign w:val="top"/>
          </w:tcPr>
          <w:p w14:paraId="05CE54FE">
            <w:pPr>
              <w:pStyle w:val="29"/>
              <w:spacing w:before="299" w:line="220" w:lineRule="auto"/>
              <w:ind w:left="399"/>
              <w:rPr>
                <w:color w:val="auto"/>
                <w:highlight w:val="none"/>
              </w:rPr>
            </w:pPr>
            <w:r>
              <w:rPr>
                <w:color w:val="auto"/>
                <w:spacing w:val="-1"/>
                <w:highlight w:val="none"/>
              </w:rPr>
              <w:t>监理服务期限</w:t>
            </w:r>
          </w:p>
        </w:tc>
        <w:tc>
          <w:tcPr>
            <w:tcW w:w="7220" w:type="dxa"/>
            <w:vAlign w:val="top"/>
          </w:tcPr>
          <w:p w14:paraId="15D73EE5">
            <w:pPr>
              <w:rPr>
                <w:rFonts w:ascii="Arial"/>
                <w:color w:val="auto"/>
                <w:sz w:val="21"/>
                <w:highlight w:val="none"/>
              </w:rPr>
            </w:pPr>
          </w:p>
        </w:tc>
      </w:tr>
      <w:tr w14:paraId="6577F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2091" w:type="dxa"/>
            <w:vAlign w:val="top"/>
          </w:tcPr>
          <w:p w14:paraId="164865F3">
            <w:pPr>
              <w:pStyle w:val="29"/>
              <w:spacing w:before="300" w:line="220" w:lineRule="auto"/>
              <w:ind w:left="610"/>
              <w:rPr>
                <w:color w:val="auto"/>
                <w:highlight w:val="none"/>
              </w:rPr>
            </w:pPr>
            <w:r>
              <w:rPr>
                <w:color w:val="auto"/>
                <w:spacing w:val="-2"/>
                <w:highlight w:val="none"/>
              </w:rPr>
              <w:t>监理内容</w:t>
            </w:r>
          </w:p>
        </w:tc>
        <w:tc>
          <w:tcPr>
            <w:tcW w:w="7220" w:type="dxa"/>
            <w:vAlign w:val="top"/>
          </w:tcPr>
          <w:p w14:paraId="1B1972FB">
            <w:pPr>
              <w:rPr>
                <w:rFonts w:ascii="Arial"/>
                <w:color w:val="auto"/>
                <w:sz w:val="21"/>
                <w:highlight w:val="none"/>
              </w:rPr>
            </w:pPr>
          </w:p>
        </w:tc>
      </w:tr>
      <w:tr w14:paraId="3DF8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2091" w:type="dxa"/>
            <w:vAlign w:val="top"/>
          </w:tcPr>
          <w:p w14:paraId="60A67E05">
            <w:pPr>
              <w:pStyle w:val="29"/>
              <w:spacing w:before="301" w:line="220" w:lineRule="auto"/>
              <w:ind w:left="404"/>
              <w:rPr>
                <w:color w:val="auto"/>
                <w:highlight w:val="none"/>
              </w:rPr>
            </w:pPr>
            <w:r>
              <w:rPr>
                <w:color w:val="auto"/>
                <w:spacing w:val="-2"/>
                <w:highlight w:val="none"/>
              </w:rPr>
              <w:t>总监理工程师</w:t>
            </w:r>
          </w:p>
        </w:tc>
        <w:tc>
          <w:tcPr>
            <w:tcW w:w="7220" w:type="dxa"/>
            <w:vAlign w:val="top"/>
          </w:tcPr>
          <w:p w14:paraId="7F52BCA5">
            <w:pPr>
              <w:rPr>
                <w:rFonts w:ascii="Arial"/>
                <w:color w:val="auto"/>
                <w:sz w:val="21"/>
                <w:highlight w:val="none"/>
              </w:rPr>
            </w:pPr>
          </w:p>
        </w:tc>
      </w:tr>
      <w:tr w14:paraId="56AA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2091" w:type="dxa"/>
            <w:vAlign w:val="top"/>
          </w:tcPr>
          <w:p w14:paraId="68C45DCD">
            <w:pPr>
              <w:spacing w:line="252" w:lineRule="auto"/>
              <w:rPr>
                <w:rFonts w:ascii="Arial"/>
                <w:color w:val="auto"/>
                <w:sz w:val="21"/>
                <w:highlight w:val="none"/>
              </w:rPr>
            </w:pPr>
          </w:p>
          <w:p w14:paraId="2FBE5F81">
            <w:pPr>
              <w:spacing w:line="252" w:lineRule="auto"/>
              <w:rPr>
                <w:rFonts w:ascii="Arial"/>
                <w:color w:val="auto"/>
                <w:sz w:val="21"/>
                <w:highlight w:val="none"/>
              </w:rPr>
            </w:pPr>
          </w:p>
          <w:p w14:paraId="1295040C">
            <w:pPr>
              <w:spacing w:line="253" w:lineRule="auto"/>
              <w:rPr>
                <w:rFonts w:ascii="Arial"/>
                <w:color w:val="auto"/>
                <w:sz w:val="21"/>
                <w:highlight w:val="none"/>
              </w:rPr>
            </w:pPr>
          </w:p>
          <w:p w14:paraId="2CB60500">
            <w:pPr>
              <w:spacing w:line="253" w:lineRule="auto"/>
              <w:rPr>
                <w:rFonts w:ascii="Arial"/>
                <w:color w:val="auto"/>
                <w:sz w:val="21"/>
                <w:highlight w:val="none"/>
              </w:rPr>
            </w:pPr>
          </w:p>
          <w:p w14:paraId="5079F269">
            <w:pPr>
              <w:pStyle w:val="29"/>
              <w:spacing w:before="69" w:line="220" w:lineRule="auto"/>
              <w:ind w:left="612"/>
              <w:rPr>
                <w:color w:val="auto"/>
                <w:highlight w:val="none"/>
              </w:rPr>
            </w:pPr>
            <w:r>
              <w:rPr>
                <w:color w:val="auto"/>
                <w:spacing w:val="-2"/>
                <w:highlight w:val="none"/>
              </w:rPr>
              <w:t>项目描述</w:t>
            </w:r>
          </w:p>
        </w:tc>
        <w:tc>
          <w:tcPr>
            <w:tcW w:w="7220" w:type="dxa"/>
            <w:vAlign w:val="top"/>
          </w:tcPr>
          <w:p w14:paraId="581D8D64">
            <w:pPr>
              <w:rPr>
                <w:rFonts w:ascii="Arial"/>
                <w:color w:val="auto"/>
                <w:sz w:val="21"/>
                <w:highlight w:val="none"/>
              </w:rPr>
            </w:pPr>
          </w:p>
        </w:tc>
      </w:tr>
      <w:tr w14:paraId="53C2E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2091" w:type="dxa"/>
            <w:vAlign w:val="top"/>
          </w:tcPr>
          <w:p w14:paraId="5E5BEF76">
            <w:pPr>
              <w:pStyle w:val="29"/>
              <w:spacing w:before="306" w:line="221" w:lineRule="auto"/>
              <w:ind w:left="821"/>
              <w:rPr>
                <w:color w:val="auto"/>
                <w:highlight w:val="none"/>
              </w:rPr>
            </w:pPr>
            <w:r>
              <w:rPr>
                <w:color w:val="auto"/>
                <w:spacing w:val="-3"/>
                <w:highlight w:val="none"/>
              </w:rPr>
              <w:t>备注</w:t>
            </w:r>
          </w:p>
        </w:tc>
        <w:tc>
          <w:tcPr>
            <w:tcW w:w="7220" w:type="dxa"/>
            <w:vAlign w:val="top"/>
          </w:tcPr>
          <w:p w14:paraId="567616A2">
            <w:pPr>
              <w:rPr>
                <w:rFonts w:ascii="Arial"/>
                <w:color w:val="auto"/>
                <w:sz w:val="21"/>
                <w:highlight w:val="none"/>
              </w:rPr>
            </w:pPr>
          </w:p>
        </w:tc>
      </w:tr>
    </w:tbl>
    <w:p w14:paraId="625336BA">
      <w:pPr>
        <w:rPr>
          <w:rFonts w:ascii="Arial"/>
          <w:color w:val="auto"/>
          <w:sz w:val="21"/>
          <w:highlight w:val="none"/>
        </w:rPr>
      </w:pPr>
    </w:p>
    <w:p w14:paraId="3284EE3C">
      <w:pPr>
        <w:rPr>
          <w:rFonts w:ascii="Arial" w:hAnsi="Arial" w:eastAsia="Arial" w:cs="Arial"/>
          <w:color w:val="auto"/>
          <w:sz w:val="21"/>
          <w:szCs w:val="21"/>
          <w:highlight w:val="none"/>
        </w:rPr>
        <w:sectPr>
          <w:footerReference r:id="rId18" w:type="default"/>
          <w:pgSz w:w="11910" w:h="16845"/>
          <w:pgMar w:top="1412" w:right="1381" w:bottom="1022" w:left="1201" w:header="0" w:footer="862" w:gutter="0"/>
          <w:pgNumType w:fmt="decimal"/>
          <w:cols w:space="720" w:num="1"/>
        </w:sectPr>
      </w:pPr>
    </w:p>
    <w:p w14:paraId="28026DE5">
      <w:pPr>
        <w:pStyle w:val="4"/>
        <w:spacing w:before="47" w:line="205" w:lineRule="auto"/>
        <w:ind w:left="2629"/>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（四）正在监理和新承接的项目情况表</w:t>
      </w:r>
    </w:p>
    <w:tbl>
      <w:tblPr>
        <w:tblStyle w:val="30"/>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76"/>
        <w:gridCol w:w="6635"/>
      </w:tblGrid>
      <w:tr w14:paraId="3BDA0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7" w:hRule="atLeast"/>
        </w:trPr>
        <w:tc>
          <w:tcPr>
            <w:tcW w:w="2676" w:type="dxa"/>
            <w:vAlign w:val="top"/>
          </w:tcPr>
          <w:p w14:paraId="046C8B67">
            <w:pPr>
              <w:spacing w:line="290" w:lineRule="auto"/>
              <w:rPr>
                <w:rFonts w:ascii="Arial"/>
                <w:color w:val="auto"/>
                <w:sz w:val="21"/>
                <w:highlight w:val="none"/>
              </w:rPr>
            </w:pPr>
          </w:p>
          <w:p w14:paraId="6A0FC9F7">
            <w:pPr>
              <w:pStyle w:val="29"/>
              <w:spacing w:before="68" w:line="220" w:lineRule="auto"/>
              <w:ind w:left="912"/>
              <w:rPr>
                <w:color w:val="auto"/>
                <w:highlight w:val="none"/>
              </w:rPr>
            </w:pPr>
            <w:r>
              <w:rPr>
                <w:color w:val="auto"/>
                <w:spacing w:val="-2"/>
                <w:highlight w:val="none"/>
              </w:rPr>
              <w:t>项目名称</w:t>
            </w:r>
          </w:p>
        </w:tc>
        <w:tc>
          <w:tcPr>
            <w:tcW w:w="6635" w:type="dxa"/>
            <w:vAlign w:val="top"/>
          </w:tcPr>
          <w:p w14:paraId="1C3873BB">
            <w:pPr>
              <w:rPr>
                <w:rFonts w:ascii="Arial"/>
                <w:color w:val="auto"/>
                <w:sz w:val="21"/>
                <w:highlight w:val="none"/>
              </w:rPr>
            </w:pPr>
          </w:p>
        </w:tc>
      </w:tr>
      <w:tr w14:paraId="4300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2676" w:type="dxa"/>
            <w:vAlign w:val="top"/>
          </w:tcPr>
          <w:p w14:paraId="653D3A69">
            <w:pPr>
              <w:spacing w:line="269" w:lineRule="auto"/>
              <w:rPr>
                <w:rFonts w:ascii="Arial"/>
                <w:color w:val="auto"/>
                <w:sz w:val="21"/>
                <w:highlight w:val="none"/>
              </w:rPr>
            </w:pPr>
          </w:p>
          <w:p w14:paraId="73C51C2E">
            <w:pPr>
              <w:pStyle w:val="29"/>
              <w:spacing w:before="68" w:line="220" w:lineRule="auto"/>
              <w:ind w:left="807"/>
              <w:rPr>
                <w:color w:val="auto"/>
                <w:highlight w:val="none"/>
              </w:rPr>
            </w:pPr>
            <w:r>
              <w:rPr>
                <w:color w:val="auto"/>
                <w:spacing w:val="-2"/>
                <w:highlight w:val="none"/>
              </w:rPr>
              <w:t>项目所在地</w:t>
            </w:r>
          </w:p>
        </w:tc>
        <w:tc>
          <w:tcPr>
            <w:tcW w:w="6635" w:type="dxa"/>
            <w:vAlign w:val="top"/>
          </w:tcPr>
          <w:p w14:paraId="30779150">
            <w:pPr>
              <w:rPr>
                <w:rFonts w:ascii="Arial"/>
                <w:color w:val="auto"/>
                <w:sz w:val="21"/>
                <w:highlight w:val="none"/>
              </w:rPr>
            </w:pPr>
          </w:p>
        </w:tc>
      </w:tr>
      <w:tr w14:paraId="7F6D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2676" w:type="dxa"/>
            <w:vAlign w:val="top"/>
          </w:tcPr>
          <w:p w14:paraId="6A179DAB">
            <w:pPr>
              <w:spacing w:line="285" w:lineRule="auto"/>
              <w:rPr>
                <w:rFonts w:ascii="Arial"/>
                <w:color w:val="auto"/>
                <w:sz w:val="21"/>
                <w:highlight w:val="none"/>
              </w:rPr>
            </w:pPr>
          </w:p>
          <w:p w14:paraId="19024F9E">
            <w:pPr>
              <w:pStyle w:val="29"/>
              <w:spacing w:before="68" w:line="221" w:lineRule="auto"/>
              <w:ind w:left="803"/>
              <w:rPr>
                <w:color w:val="auto"/>
                <w:highlight w:val="none"/>
              </w:rPr>
            </w:pPr>
            <w:r>
              <w:rPr>
                <w:color w:val="auto"/>
                <w:spacing w:val="-1"/>
                <w:highlight w:val="none"/>
              </w:rPr>
              <w:t>委托人名称</w:t>
            </w:r>
          </w:p>
        </w:tc>
        <w:tc>
          <w:tcPr>
            <w:tcW w:w="6635" w:type="dxa"/>
            <w:vAlign w:val="top"/>
          </w:tcPr>
          <w:p w14:paraId="433209FF">
            <w:pPr>
              <w:rPr>
                <w:rFonts w:ascii="Arial"/>
                <w:color w:val="auto"/>
                <w:sz w:val="21"/>
                <w:highlight w:val="none"/>
              </w:rPr>
            </w:pPr>
          </w:p>
        </w:tc>
      </w:tr>
      <w:tr w14:paraId="3A6A5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2676" w:type="dxa"/>
            <w:vAlign w:val="top"/>
          </w:tcPr>
          <w:p w14:paraId="70C9A498">
            <w:pPr>
              <w:spacing w:line="286" w:lineRule="auto"/>
              <w:rPr>
                <w:rFonts w:ascii="Arial"/>
                <w:color w:val="auto"/>
                <w:sz w:val="21"/>
                <w:highlight w:val="none"/>
              </w:rPr>
            </w:pPr>
          </w:p>
          <w:p w14:paraId="43F9C40F">
            <w:pPr>
              <w:pStyle w:val="29"/>
              <w:spacing w:before="68" w:line="221" w:lineRule="auto"/>
              <w:ind w:left="803"/>
              <w:rPr>
                <w:color w:val="auto"/>
                <w:highlight w:val="none"/>
              </w:rPr>
            </w:pPr>
            <w:r>
              <w:rPr>
                <w:color w:val="auto"/>
                <w:spacing w:val="-1"/>
                <w:highlight w:val="none"/>
              </w:rPr>
              <w:t>委托人地址</w:t>
            </w:r>
          </w:p>
        </w:tc>
        <w:tc>
          <w:tcPr>
            <w:tcW w:w="6635" w:type="dxa"/>
            <w:vAlign w:val="top"/>
          </w:tcPr>
          <w:p w14:paraId="79489C6C">
            <w:pPr>
              <w:rPr>
                <w:rFonts w:ascii="Arial"/>
                <w:color w:val="auto"/>
                <w:sz w:val="21"/>
                <w:highlight w:val="none"/>
              </w:rPr>
            </w:pPr>
          </w:p>
        </w:tc>
      </w:tr>
      <w:tr w14:paraId="65DA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2676" w:type="dxa"/>
            <w:vAlign w:val="top"/>
          </w:tcPr>
          <w:p w14:paraId="755139E7">
            <w:pPr>
              <w:spacing w:line="273" w:lineRule="auto"/>
              <w:rPr>
                <w:rFonts w:ascii="Arial"/>
                <w:color w:val="auto"/>
                <w:sz w:val="21"/>
                <w:highlight w:val="none"/>
              </w:rPr>
            </w:pPr>
          </w:p>
          <w:p w14:paraId="724342A0">
            <w:pPr>
              <w:pStyle w:val="29"/>
              <w:spacing w:before="68" w:line="221" w:lineRule="auto"/>
              <w:ind w:left="803"/>
              <w:rPr>
                <w:color w:val="auto"/>
                <w:highlight w:val="none"/>
              </w:rPr>
            </w:pPr>
            <w:r>
              <w:rPr>
                <w:color w:val="auto"/>
                <w:spacing w:val="-1"/>
                <w:highlight w:val="none"/>
              </w:rPr>
              <w:t>委托人电话</w:t>
            </w:r>
          </w:p>
        </w:tc>
        <w:tc>
          <w:tcPr>
            <w:tcW w:w="6635" w:type="dxa"/>
            <w:vAlign w:val="top"/>
          </w:tcPr>
          <w:p w14:paraId="547970AC">
            <w:pPr>
              <w:rPr>
                <w:rFonts w:ascii="Arial"/>
                <w:color w:val="auto"/>
                <w:sz w:val="21"/>
                <w:highlight w:val="none"/>
              </w:rPr>
            </w:pPr>
          </w:p>
        </w:tc>
      </w:tr>
      <w:tr w14:paraId="4B3D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2676" w:type="dxa"/>
            <w:vAlign w:val="top"/>
          </w:tcPr>
          <w:p w14:paraId="3C5579FC">
            <w:pPr>
              <w:spacing w:line="288" w:lineRule="auto"/>
              <w:rPr>
                <w:rFonts w:ascii="Arial"/>
                <w:color w:val="auto"/>
                <w:sz w:val="21"/>
                <w:highlight w:val="none"/>
              </w:rPr>
            </w:pPr>
          </w:p>
          <w:p w14:paraId="50ED00F8">
            <w:pPr>
              <w:pStyle w:val="29"/>
              <w:spacing w:before="68" w:line="220" w:lineRule="auto"/>
              <w:ind w:left="911"/>
              <w:rPr>
                <w:color w:val="auto"/>
                <w:highlight w:val="none"/>
              </w:rPr>
            </w:pPr>
            <w:r>
              <w:rPr>
                <w:color w:val="auto"/>
                <w:spacing w:val="-2"/>
                <w:highlight w:val="none"/>
              </w:rPr>
              <w:t>投资金额</w:t>
            </w:r>
          </w:p>
        </w:tc>
        <w:tc>
          <w:tcPr>
            <w:tcW w:w="6635" w:type="dxa"/>
            <w:vAlign w:val="top"/>
          </w:tcPr>
          <w:p w14:paraId="06200717">
            <w:pPr>
              <w:rPr>
                <w:rFonts w:ascii="Arial"/>
                <w:color w:val="auto"/>
                <w:sz w:val="21"/>
                <w:highlight w:val="none"/>
              </w:rPr>
            </w:pPr>
          </w:p>
        </w:tc>
      </w:tr>
      <w:tr w14:paraId="03EE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2676" w:type="dxa"/>
            <w:vAlign w:val="top"/>
          </w:tcPr>
          <w:p w14:paraId="42631673">
            <w:pPr>
              <w:spacing w:line="289" w:lineRule="auto"/>
              <w:rPr>
                <w:rFonts w:ascii="Arial"/>
                <w:color w:val="auto"/>
                <w:sz w:val="21"/>
                <w:highlight w:val="none"/>
              </w:rPr>
            </w:pPr>
          </w:p>
          <w:p w14:paraId="595012CE">
            <w:pPr>
              <w:pStyle w:val="29"/>
              <w:spacing w:before="68" w:line="220" w:lineRule="auto"/>
              <w:ind w:left="700"/>
              <w:rPr>
                <w:color w:val="auto"/>
                <w:highlight w:val="none"/>
              </w:rPr>
            </w:pPr>
            <w:r>
              <w:rPr>
                <w:color w:val="auto"/>
                <w:spacing w:val="-1"/>
                <w:highlight w:val="none"/>
              </w:rPr>
              <w:t>监理服务期限</w:t>
            </w:r>
          </w:p>
        </w:tc>
        <w:tc>
          <w:tcPr>
            <w:tcW w:w="6635" w:type="dxa"/>
            <w:vAlign w:val="top"/>
          </w:tcPr>
          <w:p w14:paraId="1F44A9A3">
            <w:pPr>
              <w:rPr>
                <w:rFonts w:ascii="Arial"/>
                <w:color w:val="auto"/>
                <w:sz w:val="21"/>
                <w:highlight w:val="none"/>
              </w:rPr>
            </w:pPr>
          </w:p>
        </w:tc>
      </w:tr>
      <w:tr w14:paraId="0C424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2676" w:type="dxa"/>
            <w:vAlign w:val="top"/>
          </w:tcPr>
          <w:p w14:paraId="4F9931B9">
            <w:pPr>
              <w:spacing w:line="275" w:lineRule="auto"/>
              <w:rPr>
                <w:rFonts w:ascii="Arial"/>
                <w:color w:val="auto"/>
                <w:sz w:val="21"/>
                <w:highlight w:val="none"/>
              </w:rPr>
            </w:pPr>
          </w:p>
          <w:p w14:paraId="30297503">
            <w:pPr>
              <w:pStyle w:val="29"/>
              <w:spacing w:before="69" w:line="220" w:lineRule="auto"/>
              <w:ind w:left="909"/>
              <w:rPr>
                <w:color w:val="auto"/>
                <w:highlight w:val="none"/>
              </w:rPr>
            </w:pPr>
            <w:r>
              <w:rPr>
                <w:color w:val="auto"/>
                <w:spacing w:val="-2"/>
                <w:highlight w:val="none"/>
              </w:rPr>
              <w:t>监理内容</w:t>
            </w:r>
          </w:p>
        </w:tc>
        <w:tc>
          <w:tcPr>
            <w:tcW w:w="6635" w:type="dxa"/>
            <w:vAlign w:val="top"/>
          </w:tcPr>
          <w:p w14:paraId="6CAD9344">
            <w:pPr>
              <w:rPr>
                <w:rFonts w:ascii="Arial"/>
                <w:color w:val="auto"/>
                <w:sz w:val="21"/>
                <w:highlight w:val="none"/>
              </w:rPr>
            </w:pPr>
          </w:p>
        </w:tc>
      </w:tr>
      <w:tr w14:paraId="12B2F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2676" w:type="dxa"/>
            <w:vAlign w:val="top"/>
          </w:tcPr>
          <w:p w14:paraId="6EA82983">
            <w:pPr>
              <w:spacing w:line="291" w:lineRule="auto"/>
              <w:rPr>
                <w:rFonts w:ascii="Arial"/>
                <w:color w:val="auto"/>
                <w:sz w:val="21"/>
                <w:highlight w:val="none"/>
              </w:rPr>
            </w:pPr>
          </w:p>
          <w:p w14:paraId="54DE67CF">
            <w:pPr>
              <w:pStyle w:val="29"/>
              <w:spacing w:before="69" w:line="220" w:lineRule="auto"/>
              <w:ind w:left="704"/>
              <w:rPr>
                <w:color w:val="auto"/>
                <w:highlight w:val="none"/>
              </w:rPr>
            </w:pPr>
            <w:r>
              <w:rPr>
                <w:color w:val="auto"/>
                <w:spacing w:val="-2"/>
                <w:highlight w:val="none"/>
              </w:rPr>
              <w:t>总监理工程师</w:t>
            </w:r>
          </w:p>
        </w:tc>
        <w:tc>
          <w:tcPr>
            <w:tcW w:w="6635" w:type="dxa"/>
            <w:vAlign w:val="top"/>
          </w:tcPr>
          <w:p w14:paraId="6EC0742C">
            <w:pPr>
              <w:rPr>
                <w:rFonts w:ascii="Arial"/>
                <w:color w:val="auto"/>
                <w:sz w:val="21"/>
                <w:highlight w:val="none"/>
              </w:rPr>
            </w:pPr>
          </w:p>
        </w:tc>
      </w:tr>
      <w:tr w14:paraId="238C5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4" w:hRule="atLeast"/>
        </w:trPr>
        <w:tc>
          <w:tcPr>
            <w:tcW w:w="2676" w:type="dxa"/>
            <w:vAlign w:val="top"/>
          </w:tcPr>
          <w:p w14:paraId="772AE012">
            <w:pPr>
              <w:spacing w:line="356" w:lineRule="auto"/>
              <w:rPr>
                <w:rFonts w:ascii="Arial"/>
                <w:color w:val="auto"/>
                <w:sz w:val="21"/>
                <w:highlight w:val="none"/>
              </w:rPr>
            </w:pPr>
          </w:p>
          <w:p w14:paraId="1A3AEA2B">
            <w:pPr>
              <w:spacing w:line="356" w:lineRule="auto"/>
              <w:rPr>
                <w:rFonts w:ascii="Arial"/>
                <w:color w:val="auto"/>
                <w:sz w:val="21"/>
                <w:highlight w:val="none"/>
              </w:rPr>
            </w:pPr>
          </w:p>
          <w:p w14:paraId="0344DEF9">
            <w:pPr>
              <w:pStyle w:val="29"/>
              <w:spacing w:before="68" w:line="220" w:lineRule="auto"/>
              <w:ind w:left="912"/>
              <w:rPr>
                <w:color w:val="auto"/>
                <w:highlight w:val="none"/>
              </w:rPr>
            </w:pPr>
            <w:r>
              <w:rPr>
                <w:color w:val="auto"/>
                <w:spacing w:val="-2"/>
                <w:highlight w:val="none"/>
              </w:rPr>
              <w:t>项目描述</w:t>
            </w:r>
          </w:p>
        </w:tc>
        <w:tc>
          <w:tcPr>
            <w:tcW w:w="6635" w:type="dxa"/>
            <w:vAlign w:val="top"/>
          </w:tcPr>
          <w:p w14:paraId="5D146EAE">
            <w:pPr>
              <w:rPr>
                <w:rFonts w:ascii="Arial"/>
                <w:color w:val="auto"/>
                <w:sz w:val="21"/>
                <w:highlight w:val="none"/>
              </w:rPr>
            </w:pPr>
          </w:p>
        </w:tc>
      </w:tr>
      <w:tr w14:paraId="46C89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2676" w:type="dxa"/>
            <w:vAlign w:val="top"/>
          </w:tcPr>
          <w:p w14:paraId="6578CC2A">
            <w:pPr>
              <w:spacing w:line="296" w:lineRule="auto"/>
              <w:rPr>
                <w:rFonts w:ascii="Arial"/>
                <w:color w:val="auto"/>
                <w:sz w:val="21"/>
                <w:highlight w:val="none"/>
              </w:rPr>
            </w:pPr>
          </w:p>
          <w:p w14:paraId="7CDA5E27">
            <w:pPr>
              <w:pStyle w:val="29"/>
              <w:spacing w:before="68" w:line="221" w:lineRule="auto"/>
              <w:ind w:left="1122"/>
              <w:rPr>
                <w:color w:val="auto"/>
                <w:highlight w:val="none"/>
              </w:rPr>
            </w:pPr>
            <w:r>
              <w:rPr>
                <w:color w:val="auto"/>
                <w:spacing w:val="-3"/>
                <w:highlight w:val="none"/>
              </w:rPr>
              <w:t>备注</w:t>
            </w:r>
          </w:p>
        </w:tc>
        <w:tc>
          <w:tcPr>
            <w:tcW w:w="6635" w:type="dxa"/>
            <w:vAlign w:val="top"/>
          </w:tcPr>
          <w:p w14:paraId="391E9DC0">
            <w:pPr>
              <w:rPr>
                <w:rFonts w:ascii="Arial"/>
                <w:color w:val="auto"/>
                <w:sz w:val="21"/>
                <w:highlight w:val="none"/>
              </w:rPr>
            </w:pPr>
          </w:p>
        </w:tc>
      </w:tr>
    </w:tbl>
    <w:p w14:paraId="0E0E70A5">
      <w:pPr>
        <w:rPr>
          <w:rFonts w:ascii="Arial"/>
          <w:color w:val="auto"/>
          <w:sz w:val="21"/>
          <w:highlight w:val="none"/>
        </w:rPr>
      </w:pPr>
    </w:p>
    <w:p w14:paraId="1E1BC450">
      <w:pPr>
        <w:rPr>
          <w:rFonts w:ascii="Arial" w:hAnsi="Arial" w:eastAsia="Arial" w:cs="Arial"/>
          <w:color w:val="auto"/>
          <w:sz w:val="21"/>
          <w:szCs w:val="21"/>
          <w:highlight w:val="none"/>
        </w:rPr>
        <w:sectPr>
          <w:footerReference r:id="rId19" w:type="default"/>
          <w:pgSz w:w="11910" w:h="16845"/>
          <w:pgMar w:top="1412" w:right="1381" w:bottom="1022" w:left="1201" w:header="0" w:footer="862" w:gutter="0"/>
          <w:pgNumType w:fmt="decimal"/>
          <w:cols w:space="720" w:num="1"/>
        </w:sectPr>
      </w:pPr>
    </w:p>
    <w:p w14:paraId="4D602149">
      <w:pPr>
        <w:pStyle w:val="4"/>
        <w:spacing w:before="298" w:line="219" w:lineRule="auto"/>
        <w:ind w:left="2932"/>
        <w:rPr>
          <w:color w:val="auto"/>
          <w:sz w:val="24"/>
          <w:szCs w:val="24"/>
          <w:highlight w:val="none"/>
        </w:rPr>
      </w:pPr>
      <w:r>
        <w:rPr>
          <w:color w:val="auto"/>
          <w:sz w:val="24"/>
          <w:szCs w:val="24"/>
          <w:highlight w:val="none"/>
          <w14:textOutline w14:w="4354" w14:cap="flat" w14:cmpd="sng">
            <w14:solidFill>
              <w14:srgbClr w14:val="000000"/>
            </w14:solidFill>
            <w14:prstDash w14:val="solid"/>
            <w14:miter w14:val="0"/>
          </w14:textOutline>
        </w:rPr>
        <w:t>（五）拟派监理人员一览表</w:t>
      </w:r>
    </w:p>
    <w:p w14:paraId="77650659">
      <w:pPr>
        <w:pStyle w:val="4"/>
        <w:spacing w:before="146" w:line="219" w:lineRule="auto"/>
        <w:ind w:left="2865"/>
        <w:rPr>
          <w:color w:val="auto"/>
          <w:sz w:val="21"/>
          <w:szCs w:val="21"/>
          <w:highlight w:val="none"/>
        </w:rPr>
      </w:pPr>
      <w:r>
        <w:rPr>
          <w:color w:val="auto"/>
          <w:spacing w:val="-3"/>
          <w:sz w:val="21"/>
          <w:szCs w:val="21"/>
          <w:highlight w:val="none"/>
        </w:rPr>
        <w:t>附</w:t>
      </w:r>
      <w:r>
        <w:rPr>
          <w:color w:val="auto"/>
          <w:spacing w:val="-21"/>
          <w:sz w:val="21"/>
          <w:szCs w:val="21"/>
          <w:highlight w:val="none"/>
        </w:rPr>
        <w:t xml:space="preserve"> </w:t>
      </w:r>
      <w:r>
        <w:rPr>
          <w:color w:val="auto"/>
          <w:spacing w:val="-3"/>
          <w:sz w:val="21"/>
          <w:szCs w:val="21"/>
          <w:highlight w:val="none"/>
        </w:rPr>
        <w:t>1：拟派本工程总监理工程师情况表</w:t>
      </w:r>
    </w:p>
    <w:p w14:paraId="6E89D462">
      <w:pPr>
        <w:spacing w:line="112" w:lineRule="exact"/>
        <w:rPr>
          <w:color w:val="auto"/>
          <w:highlight w:val="none"/>
        </w:rPr>
      </w:pPr>
    </w:p>
    <w:tbl>
      <w:tblPr>
        <w:tblStyle w:val="30"/>
        <w:tblW w:w="8770" w:type="dxa"/>
        <w:tblInd w:w="2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2"/>
        <w:gridCol w:w="1274"/>
        <w:gridCol w:w="1139"/>
        <w:gridCol w:w="1634"/>
        <w:gridCol w:w="1394"/>
        <w:gridCol w:w="2197"/>
      </w:tblGrid>
      <w:tr w14:paraId="56A7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132" w:type="dxa"/>
            <w:vAlign w:val="top"/>
          </w:tcPr>
          <w:p w14:paraId="1435EF72">
            <w:pPr>
              <w:pStyle w:val="29"/>
              <w:spacing w:before="59" w:line="220" w:lineRule="auto"/>
              <w:ind w:left="248"/>
              <w:rPr>
                <w:color w:val="auto"/>
                <w:highlight w:val="none"/>
              </w:rPr>
            </w:pPr>
            <w:r>
              <w:rPr>
                <w:color w:val="auto"/>
                <w:spacing w:val="-5"/>
                <w:highlight w:val="none"/>
              </w:rPr>
              <w:t>姓</w:t>
            </w:r>
            <w:r>
              <w:rPr>
                <w:color w:val="auto"/>
                <w:spacing w:val="5"/>
                <w:highlight w:val="none"/>
              </w:rPr>
              <w:t xml:space="preserve">  </w:t>
            </w:r>
            <w:r>
              <w:rPr>
                <w:color w:val="auto"/>
                <w:spacing w:val="-5"/>
                <w:highlight w:val="none"/>
              </w:rPr>
              <w:t>名</w:t>
            </w:r>
          </w:p>
        </w:tc>
        <w:tc>
          <w:tcPr>
            <w:tcW w:w="1274" w:type="dxa"/>
            <w:vAlign w:val="top"/>
          </w:tcPr>
          <w:p w14:paraId="1FAA0D81">
            <w:pPr>
              <w:rPr>
                <w:rFonts w:ascii="Arial"/>
                <w:color w:val="auto"/>
                <w:sz w:val="21"/>
                <w:highlight w:val="none"/>
              </w:rPr>
            </w:pPr>
          </w:p>
        </w:tc>
        <w:tc>
          <w:tcPr>
            <w:tcW w:w="1139" w:type="dxa"/>
            <w:vAlign w:val="top"/>
          </w:tcPr>
          <w:p w14:paraId="7A36FB3D">
            <w:pPr>
              <w:pStyle w:val="29"/>
              <w:spacing w:before="59" w:line="220" w:lineRule="auto"/>
              <w:ind w:left="261"/>
              <w:rPr>
                <w:color w:val="auto"/>
                <w:highlight w:val="none"/>
              </w:rPr>
            </w:pPr>
            <w:r>
              <w:rPr>
                <w:color w:val="auto"/>
                <w:spacing w:val="-5"/>
                <w:highlight w:val="none"/>
              </w:rPr>
              <w:t>年</w:t>
            </w:r>
            <w:r>
              <w:rPr>
                <w:color w:val="auto"/>
                <w:spacing w:val="3"/>
                <w:highlight w:val="none"/>
              </w:rPr>
              <w:t xml:space="preserve">  </w:t>
            </w:r>
            <w:r>
              <w:rPr>
                <w:color w:val="auto"/>
                <w:spacing w:val="-5"/>
                <w:highlight w:val="none"/>
              </w:rPr>
              <w:t>龄</w:t>
            </w:r>
          </w:p>
        </w:tc>
        <w:tc>
          <w:tcPr>
            <w:tcW w:w="1634" w:type="dxa"/>
            <w:vAlign w:val="top"/>
          </w:tcPr>
          <w:p w14:paraId="54FABE12">
            <w:pPr>
              <w:rPr>
                <w:rFonts w:ascii="Arial"/>
                <w:color w:val="auto"/>
                <w:sz w:val="21"/>
                <w:highlight w:val="none"/>
              </w:rPr>
            </w:pPr>
          </w:p>
        </w:tc>
        <w:tc>
          <w:tcPr>
            <w:tcW w:w="1394" w:type="dxa"/>
            <w:vAlign w:val="top"/>
          </w:tcPr>
          <w:p w14:paraId="25B69DA7">
            <w:pPr>
              <w:pStyle w:val="29"/>
              <w:spacing w:before="59" w:line="222" w:lineRule="auto"/>
              <w:ind w:left="492"/>
              <w:rPr>
                <w:color w:val="auto"/>
                <w:highlight w:val="none"/>
              </w:rPr>
            </w:pPr>
            <w:r>
              <w:rPr>
                <w:color w:val="auto"/>
                <w:spacing w:val="-3"/>
                <w:highlight w:val="none"/>
              </w:rPr>
              <w:t>职称</w:t>
            </w:r>
          </w:p>
        </w:tc>
        <w:tc>
          <w:tcPr>
            <w:tcW w:w="2197" w:type="dxa"/>
            <w:vAlign w:val="top"/>
          </w:tcPr>
          <w:p w14:paraId="65031575">
            <w:pPr>
              <w:rPr>
                <w:rFonts w:ascii="Arial"/>
                <w:color w:val="auto"/>
                <w:sz w:val="21"/>
                <w:highlight w:val="none"/>
              </w:rPr>
            </w:pPr>
          </w:p>
        </w:tc>
      </w:tr>
      <w:tr w14:paraId="4F912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2" w:type="dxa"/>
            <w:vAlign w:val="top"/>
          </w:tcPr>
          <w:p w14:paraId="4F9E354E">
            <w:pPr>
              <w:pStyle w:val="29"/>
              <w:spacing w:before="24" w:line="220" w:lineRule="auto"/>
              <w:ind w:left="144"/>
              <w:rPr>
                <w:color w:val="auto"/>
                <w:highlight w:val="none"/>
              </w:rPr>
            </w:pPr>
            <w:r>
              <w:rPr>
                <w:color w:val="auto"/>
                <w:spacing w:val="-2"/>
                <w:highlight w:val="none"/>
              </w:rPr>
              <w:t>监理资质</w:t>
            </w:r>
          </w:p>
        </w:tc>
        <w:tc>
          <w:tcPr>
            <w:tcW w:w="1274" w:type="dxa"/>
            <w:vAlign w:val="top"/>
          </w:tcPr>
          <w:p w14:paraId="446982FB">
            <w:pPr>
              <w:rPr>
                <w:rFonts w:ascii="Arial"/>
                <w:color w:val="auto"/>
                <w:sz w:val="21"/>
                <w:highlight w:val="none"/>
              </w:rPr>
            </w:pPr>
          </w:p>
        </w:tc>
        <w:tc>
          <w:tcPr>
            <w:tcW w:w="1139" w:type="dxa"/>
            <w:vAlign w:val="top"/>
          </w:tcPr>
          <w:p w14:paraId="029F650F">
            <w:pPr>
              <w:pStyle w:val="29"/>
              <w:spacing w:before="24" w:line="220" w:lineRule="auto"/>
              <w:ind w:left="156"/>
              <w:rPr>
                <w:color w:val="auto"/>
                <w:highlight w:val="none"/>
              </w:rPr>
            </w:pPr>
            <w:r>
              <w:rPr>
                <w:color w:val="auto"/>
                <w:spacing w:val="-2"/>
                <w:highlight w:val="none"/>
              </w:rPr>
              <w:t>文化程度</w:t>
            </w:r>
          </w:p>
        </w:tc>
        <w:tc>
          <w:tcPr>
            <w:tcW w:w="1634" w:type="dxa"/>
            <w:vAlign w:val="top"/>
          </w:tcPr>
          <w:p w14:paraId="55EEE4AD">
            <w:pPr>
              <w:rPr>
                <w:rFonts w:ascii="Arial"/>
                <w:color w:val="auto"/>
                <w:sz w:val="21"/>
                <w:highlight w:val="none"/>
              </w:rPr>
            </w:pPr>
          </w:p>
        </w:tc>
        <w:tc>
          <w:tcPr>
            <w:tcW w:w="1394" w:type="dxa"/>
            <w:vAlign w:val="top"/>
          </w:tcPr>
          <w:p w14:paraId="70077673">
            <w:pPr>
              <w:pStyle w:val="29"/>
              <w:spacing w:before="24" w:line="220" w:lineRule="auto"/>
              <w:ind w:left="492"/>
              <w:rPr>
                <w:color w:val="auto"/>
                <w:highlight w:val="none"/>
              </w:rPr>
            </w:pPr>
            <w:r>
              <w:rPr>
                <w:color w:val="auto"/>
                <w:spacing w:val="-3"/>
                <w:highlight w:val="none"/>
              </w:rPr>
              <w:t>专业</w:t>
            </w:r>
          </w:p>
        </w:tc>
        <w:tc>
          <w:tcPr>
            <w:tcW w:w="2197" w:type="dxa"/>
            <w:vAlign w:val="top"/>
          </w:tcPr>
          <w:p w14:paraId="1708D16A">
            <w:pPr>
              <w:rPr>
                <w:rFonts w:ascii="Arial"/>
                <w:color w:val="auto"/>
                <w:sz w:val="21"/>
                <w:highlight w:val="none"/>
              </w:rPr>
            </w:pPr>
          </w:p>
        </w:tc>
      </w:tr>
      <w:tr w14:paraId="6C19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3545" w:type="dxa"/>
            <w:gridSpan w:val="3"/>
            <w:vAlign w:val="top"/>
          </w:tcPr>
          <w:p w14:paraId="6E8B24E2">
            <w:pPr>
              <w:rPr>
                <w:rFonts w:ascii="Arial"/>
                <w:color w:val="auto"/>
                <w:sz w:val="21"/>
                <w:highlight w:val="none"/>
              </w:rPr>
            </w:pPr>
          </w:p>
          <w:p w14:paraId="77569B39">
            <w:pPr>
              <w:pStyle w:val="29"/>
              <w:spacing w:before="68" w:line="220" w:lineRule="auto"/>
              <w:ind w:left="1571"/>
              <w:rPr>
                <w:color w:val="auto"/>
                <w:highlight w:val="none"/>
              </w:rPr>
            </w:pPr>
            <w:r>
              <w:rPr>
                <w:color w:val="auto"/>
                <w:spacing w:val="-3"/>
                <w:highlight w:val="none"/>
              </w:rPr>
              <w:t>职务</w:t>
            </w:r>
          </w:p>
        </w:tc>
        <w:tc>
          <w:tcPr>
            <w:tcW w:w="1634" w:type="dxa"/>
            <w:vAlign w:val="top"/>
          </w:tcPr>
          <w:p w14:paraId="32266163">
            <w:pPr>
              <w:rPr>
                <w:rFonts w:ascii="Arial"/>
                <w:color w:val="auto"/>
                <w:sz w:val="21"/>
                <w:highlight w:val="none"/>
              </w:rPr>
            </w:pPr>
          </w:p>
          <w:p w14:paraId="065B819F">
            <w:pPr>
              <w:pStyle w:val="29"/>
              <w:spacing w:before="68" w:line="220" w:lineRule="auto"/>
              <w:ind w:left="208"/>
              <w:rPr>
                <w:color w:val="auto"/>
                <w:highlight w:val="none"/>
              </w:rPr>
            </w:pPr>
            <w:r>
              <w:rPr>
                <w:color w:val="auto"/>
                <w:spacing w:val="-2"/>
                <w:highlight w:val="none"/>
              </w:rPr>
              <w:t>总监理工程师</w:t>
            </w:r>
          </w:p>
        </w:tc>
        <w:tc>
          <w:tcPr>
            <w:tcW w:w="1394" w:type="dxa"/>
            <w:vAlign w:val="top"/>
          </w:tcPr>
          <w:p w14:paraId="1AD2EF5A">
            <w:pPr>
              <w:pStyle w:val="29"/>
              <w:spacing w:before="100" w:line="405" w:lineRule="exact"/>
              <w:ind w:left="175"/>
              <w:rPr>
                <w:color w:val="auto"/>
                <w:highlight w:val="none"/>
              </w:rPr>
            </w:pPr>
            <w:r>
              <w:rPr>
                <w:color w:val="auto"/>
                <w:spacing w:val="-1"/>
                <w:position w:val="14"/>
                <w:highlight w:val="none"/>
              </w:rPr>
              <w:t>注册监理工</w:t>
            </w:r>
          </w:p>
          <w:p w14:paraId="0620AF4E">
            <w:pPr>
              <w:pStyle w:val="29"/>
              <w:spacing w:line="219" w:lineRule="auto"/>
              <w:ind w:left="280"/>
              <w:rPr>
                <w:color w:val="auto"/>
                <w:highlight w:val="none"/>
              </w:rPr>
            </w:pPr>
            <w:r>
              <w:rPr>
                <w:color w:val="auto"/>
                <w:spacing w:val="-2"/>
                <w:highlight w:val="none"/>
              </w:rPr>
              <w:t>程师证号</w:t>
            </w:r>
          </w:p>
        </w:tc>
        <w:tc>
          <w:tcPr>
            <w:tcW w:w="2197" w:type="dxa"/>
            <w:vAlign w:val="top"/>
          </w:tcPr>
          <w:p w14:paraId="0C946BA5">
            <w:pPr>
              <w:rPr>
                <w:rFonts w:ascii="Arial"/>
                <w:color w:val="auto"/>
                <w:sz w:val="21"/>
                <w:highlight w:val="none"/>
              </w:rPr>
            </w:pPr>
          </w:p>
        </w:tc>
      </w:tr>
      <w:tr w14:paraId="0E484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770" w:type="dxa"/>
            <w:gridSpan w:val="6"/>
            <w:vAlign w:val="top"/>
          </w:tcPr>
          <w:p w14:paraId="6226017A">
            <w:pPr>
              <w:pStyle w:val="29"/>
              <w:spacing w:before="104" w:line="220" w:lineRule="auto"/>
              <w:ind w:left="3764"/>
              <w:rPr>
                <w:color w:val="auto"/>
                <w:highlight w:val="none"/>
              </w:rPr>
            </w:pPr>
            <w:r>
              <w:rPr>
                <w:color w:val="auto"/>
                <w:spacing w:val="-2"/>
                <w:highlight w:val="none"/>
              </w:rPr>
              <w:t>主要工作经历</w:t>
            </w:r>
          </w:p>
        </w:tc>
      </w:tr>
      <w:tr w14:paraId="32AF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3" w:hRule="atLeast"/>
        </w:trPr>
        <w:tc>
          <w:tcPr>
            <w:tcW w:w="8770" w:type="dxa"/>
            <w:gridSpan w:val="6"/>
            <w:vAlign w:val="top"/>
          </w:tcPr>
          <w:p w14:paraId="235756CA">
            <w:pPr>
              <w:rPr>
                <w:rFonts w:ascii="Arial"/>
                <w:color w:val="auto"/>
                <w:sz w:val="21"/>
                <w:highlight w:val="none"/>
              </w:rPr>
            </w:pPr>
          </w:p>
        </w:tc>
      </w:tr>
    </w:tbl>
    <w:p w14:paraId="6AB78D7A">
      <w:pPr>
        <w:pStyle w:val="4"/>
        <w:spacing w:before="270" w:line="219" w:lineRule="auto"/>
        <w:ind w:left="12"/>
        <w:rPr>
          <w:rFonts w:ascii="Arial"/>
          <w:color w:val="auto"/>
          <w:sz w:val="21"/>
          <w:highlight w:val="none"/>
        </w:rPr>
      </w:pPr>
      <w:r>
        <w:rPr>
          <w:color w:val="auto"/>
          <w:spacing w:val="-1"/>
          <w:sz w:val="21"/>
          <w:szCs w:val="21"/>
          <w:highlight w:val="none"/>
        </w:rPr>
        <w:t>附：</w:t>
      </w:r>
      <w:r>
        <w:rPr>
          <w:rFonts w:hint="eastAsia"/>
          <w:color w:val="auto"/>
          <w:spacing w:val="-1"/>
          <w:sz w:val="21"/>
          <w:szCs w:val="21"/>
          <w:highlight w:val="none"/>
        </w:rPr>
        <w:t>执业证书、身份证、职称证、学历证（如有）、社保证明复印件等</w:t>
      </w:r>
      <w:r>
        <w:rPr>
          <w:rFonts w:hint="eastAsia" w:eastAsia="宋体"/>
          <w:color w:val="auto"/>
          <w:spacing w:val="-1"/>
          <w:sz w:val="21"/>
          <w:szCs w:val="21"/>
          <w:highlight w:val="none"/>
          <w:lang w:val="en-US" w:eastAsia="zh-CN"/>
        </w:rPr>
        <w:t>扫描件</w:t>
      </w:r>
      <w:r>
        <w:rPr>
          <w:rFonts w:hint="eastAsia"/>
          <w:color w:val="auto"/>
          <w:spacing w:val="-1"/>
          <w:sz w:val="21"/>
          <w:szCs w:val="21"/>
          <w:highlight w:val="none"/>
        </w:rPr>
        <w:t>。</w:t>
      </w:r>
    </w:p>
    <w:p w14:paraId="44B54ACC">
      <w:pPr>
        <w:rPr>
          <w:color w:val="auto"/>
          <w:spacing w:val="-3"/>
          <w:sz w:val="21"/>
          <w:szCs w:val="21"/>
          <w:highlight w:val="none"/>
        </w:rPr>
      </w:pPr>
      <w:r>
        <w:rPr>
          <w:color w:val="auto"/>
          <w:spacing w:val="-3"/>
          <w:sz w:val="21"/>
          <w:szCs w:val="21"/>
          <w:highlight w:val="none"/>
        </w:rPr>
        <w:br w:type="page"/>
      </w:r>
    </w:p>
    <w:p w14:paraId="20AEDA7D">
      <w:pPr>
        <w:pStyle w:val="4"/>
        <w:spacing w:before="69" w:line="219" w:lineRule="auto"/>
        <w:ind w:left="3273"/>
        <w:rPr>
          <w:color w:val="auto"/>
          <w:sz w:val="21"/>
          <w:szCs w:val="21"/>
          <w:highlight w:val="none"/>
        </w:rPr>
      </w:pPr>
      <w:r>
        <w:rPr>
          <w:color w:val="auto"/>
          <w:spacing w:val="-3"/>
          <w:sz w:val="21"/>
          <w:szCs w:val="21"/>
          <w:highlight w:val="none"/>
        </w:rPr>
        <w:t>附</w:t>
      </w:r>
      <w:r>
        <w:rPr>
          <w:color w:val="auto"/>
          <w:spacing w:val="-27"/>
          <w:sz w:val="21"/>
          <w:szCs w:val="21"/>
          <w:highlight w:val="none"/>
        </w:rPr>
        <w:t xml:space="preserve"> </w:t>
      </w:r>
      <w:r>
        <w:rPr>
          <w:color w:val="auto"/>
          <w:spacing w:val="-3"/>
          <w:sz w:val="21"/>
          <w:szCs w:val="21"/>
          <w:highlight w:val="none"/>
        </w:rPr>
        <w:t>2：项目监理部人员配备表</w:t>
      </w:r>
    </w:p>
    <w:p w14:paraId="6DD767BE">
      <w:pPr>
        <w:spacing w:line="111" w:lineRule="exact"/>
        <w:rPr>
          <w:color w:val="auto"/>
          <w:highlight w:val="none"/>
        </w:rPr>
      </w:pPr>
    </w:p>
    <w:tbl>
      <w:tblPr>
        <w:tblStyle w:val="30"/>
        <w:tblW w:w="8741" w:type="dxa"/>
        <w:tblInd w:w="2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2"/>
        <w:gridCol w:w="944"/>
        <w:gridCol w:w="1140"/>
        <w:gridCol w:w="1139"/>
        <w:gridCol w:w="1125"/>
        <w:gridCol w:w="1140"/>
        <w:gridCol w:w="1634"/>
        <w:gridCol w:w="817"/>
      </w:tblGrid>
      <w:tr w14:paraId="214C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802" w:type="dxa"/>
            <w:vMerge w:val="restart"/>
            <w:tcBorders>
              <w:bottom w:val="nil"/>
            </w:tcBorders>
            <w:vAlign w:val="top"/>
          </w:tcPr>
          <w:p w14:paraId="6FC5C1F2">
            <w:pPr>
              <w:spacing w:line="453" w:lineRule="auto"/>
              <w:rPr>
                <w:rFonts w:ascii="Arial"/>
                <w:color w:val="auto"/>
                <w:sz w:val="21"/>
                <w:highlight w:val="none"/>
              </w:rPr>
            </w:pPr>
          </w:p>
          <w:p w14:paraId="0A271117">
            <w:pPr>
              <w:pStyle w:val="29"/>
              <w:spacing w:before="68" w:line="220" w:lineRule="auto"/>
              <w:ind w:left="203"/>
              <w:rPr>
                <w:color w:val="auto"/>
                <w:highlight w:val="none"/>
              </w:rPr>
            </w:pPr>
            <w:r>
              <w:rPr>
                <w:color w:val="auto"/>
                <w:spacing w:val="-2"/>
                <w:highlight w:val="none"/>
              </w:rPr>
              <w:t>姓名</w:t>
            </w:r>
          </w:p>
        </w:tc>
        <w:tc>
          <w:tcPr>
            <w:tcW w:w="944" w:type="dxa"/>
            <w:vMerge w:val="restart"/>
            <w:tcBorders>
              <w:bottom w:val="nil"/>
            </w:tcBorders>
            <w:vAlign w:val="top"/>
          </w:tcPr>
          <w:p w14:paraId="54079327">
            <w:pPr>
              <w:spacing w:line="454" w:lineRule="auto"/>
              <w:rPr>
                <w:rFonts w:ascii="Arial"/>
                <w:color w:val="auto"/>
                <w:sz w:val="21"/>
                <w:highlight w:val="none"/>
              </w:rPr>
            </w:pPr>
          </w:p>
          <w:p w14:paraId="23F593A1">
            <w:pPr>
              <w:pStyle w:val="29"/>
              <w:spacing w:before="68" w:line="220" w:lineRule="auto"/>
              <w:ind w:left="275"/>
              <w:rPr>
                <w:color w:val="auto"/>
                <w:highlight w:val="none"/>
              </w:rPr>
            </w:pPr>
            <w:r>
              <w:rPr>
                <w:color w:val="auto"/>
                <w:spacing w:val="-3"/>
                <w:highlight w:val="none"/>
              </w:rPr>
              <w:t>性别</w:t>
            </w:r>
          </w:p>
        </w:tc>
        <w:tc>
          <w:tcPr>
            <w:tcW w:w="1140" w:type="dxa"/>
            <w:vMerge w:val="restart"/>
            <w:tcBorders>
              <w:bottom w:val="nil"/>
            </w:tcBorders>
            <w:vAlign w:val="top"/>
          </w:tcPr>
          <w:p w14:paraId="42B63831">
            <w:pPr>
              <w:spacing w:line="453" w:lineRule="auto"/>
              <w:rPr>
                <w:rFonts w:ascii="Arial"/>
                <w:color w:val="auto"/>
                <w:sz w:val="21"/>
                <w:highlight w:val="none"/>
              </w:rPr>
            </w:pPr>
          </w:p>
          <w:p w14:paraId="642E4903">
            <w:pPr>
              <w:pStyle w:val="29"/>
              <w:spacing w:before="68" w:line="220" w:lineRule="auto"/>
              <w:ind w:left="365"/>
              <w:rPr>
                <w:color w:val="auto"/>
                <w:highlight w:val="none"/>
              </w:rPr>
            </w:pPr>
            <w:r>
              <w:rPr>
                <w:color w:val="auto"/>
                <w:spacing w:val="-3"/>
                <w:highlight w:val="none"/>
              </w:rPr>
              <w:t>年龄</w:t>
            </w:r>
          </w:p>
        </w:tc>
        <w:tc>
          <w:tcPr>
            <w:tcW w:w="3404" w:type="dxa"/>
            <w:gridSpan w:val="3"/>
            <w:vAlign w:val="top"/>
          </w:tcPr>
          <w:p w14:paraId="65D1B94C">
            <w:pPr>
              <w:pStyle w:val="29"/>
              <w:spacing w:before="164" w:line="219" w:lineRule="auto"/>
              <w:ind w:left="1073"/>
              <w:rPr>
                <w:color w:val="auto"/>
                <w:highlight w:val="none"/>
              </w:rPr>
            </w:pPr>
            <w:r>
              <w:rPr>
                <w:color w:val="auto"/>
                <w:spacing w:val="-2"/>
                <w:highlight w:val="none"/>
              </w:rPr>
              <w:t>上岗资格证书</w:t>
            </w:r>
          </w:p>
        </w:tc>
        <w:tc>
          <w:tcPr>
            <w:tcW w:w="1634" w:type="dxa"/>
            <w:vMerge w:val="restart"/>
            <w:tcBorders>
              <w:bottom w:val="nil"/>
            </w:tcBorders>
            <w:vAlign w:val="top"/>
          </w:tcPr>
          <w:p w14:paraId="2F888B5E">
            <w:pPr>
              <w:spacing w:line="245" w:lineRule="auto"/>
              <w:rPr>
                <w:rFonts w:ascii="Arial"/>
                <w:color w:val="auto"/>
                <w:sz w:val="21"/>
                <w:highlight w:val="none"/>
              </w:rPr>
            </w:pPr>
          </w:p>
          <w:p w14:paraId="59DCE653">
            <w:pPr>
              <w:pStyle w:val="29"/>
              <w:spacing w:before="68" w:line="219" w:lineRule="auto"/>
              <w:ind w:left="190"/>
              <w:rPr>
                <w:color w:val="auto"/>
                <w:highlight w:val="none"/>
              </w:rPr>
            </w:pPr>
            <w:r>
              <w:rPr>
                <w:color w:val="auto"/>
                <w:spacing w:val="-1"/>
                <w:highlight w:val="none"/>
              </w:rPr>
              <w:t>在本项目中拟</w:t>
            </w:r>
          </w:p>
          <w:p w14:paraId="380D575E">
            <w:pPr>
              <w:pStyle w:val="29"/>
              <w:spacing w:before="155" w:line="220" w:lineRule="auto"/>
              <w:ind w:left="297"/>
              <w:rPr>
                <w:color w:val="auto"/>
                <w:highlight w:val="none"/>
              </w:rPr>
            </w:pPr>
            <w:r>
              <w:rPr>
                <w:color w:val="auto"/>
                <w:spacing w:val="-2"/>
                <w:highlight w:val="none"/>
              </w:rPr>
              <w:t>担任的工作</w:t>
            </w:r>
          </w:p>
        </w:tc>
        <w:tc>
          <w:tcPr>
            <w:tcW w:w="817" w:type="dxa"/>
            <w:vMerge w:val="restart"/>
            <w:tcBorders>
              <w:bottom w:val="nil"/>
            </w:tcBorders>
            <w:vAlign w:val="top"/>
          </w:tcPr>
          <w:p w14:paraId="7058A82E">
            <w:pPr>
              <w:spacing w:line="245" w:lineRule="auto"/>
              <w:rPr>
                <w:rFonts w:ascii="Arial"/>
                <w:color w:val="auto"/>
                <w:sz w:val="21"/>
                <w:highlight w:val="none"/>
              </w:rPr>
            </w:pPr>
          </w:p>
          <w:p w14:paraId="646EF89D">
            <w:pPr>
              <w:pStyle w:val="29"/>
              <w:spacing w:before="68" w:line="405" w:lineRule="exact"/>
              <w:ind w:left="196"/>
              <w:rPr>
                <w:color w:val="auto"/>
                <w:highlight w:val="none"/>
              </w:rPr>
            </w:pPr>
            <w:r>
              <w:rPr>
                <w:color w:val="auto"/>
                <w:spacing w:val="-3"/>
                <w:position w:val="14"/>
                <w:highlight w:val="none"/>
              </w:rPr>
              <w:t>工作</w:t>
            </w:r>
          </w:p>
          <w:p w14:paraId="55192B83">
            <w:pPr>
              <w:pStyle w:val="29"/>
              <w:spacing w:line="219" w:lineRule="auto"/>
              <w:ind w:left="195"/>
              <w:rPr>
                <w:color w:val="auto"/>
                <w:highlight w:val="none"/>
              </w:rPr>
            </w:pPr>
            <w:r>
              <w:rPr>
                <w:color w:val="auto"/>
                <w:spacing w:val="-3"/>
                <w:highlight w:val="none"/>
              </w:rPr>
              <w:t>年限</w:t>
            </w:r>
          </w:p>
        </w:tc>
      </w:tr>
      <w:tr w14:paraId="412F0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802" w:type="dxa"/>
            <w:vMerge w:val="continue"/>
            <w:tcBorders>
              <w:top w:val="nil"/>
            </w:tcBorders>
            <w:vAlign w:val="top"/>
          </w:tcPr>
          <w:p w14:paraId="6D4BC2A3">
            <w:pPr>
              <w:rPr>
                <w:rFonts w:ascii="Arial"/>
                <w:color w:val="auto"/>
                <w:sz w:val="21"/>
                <w:highlight w:val="none"/>
              </w:rPr>
            </w:pPr>
          </w:p>
        </w:tc>
        <w:tc>
          <w:tcPr>
            <w:tcW w:w="944" w:type="dxa"/>
            <w:vMerge w:val="continue"/>
            <w:tcBorders>
              <w:top w:val="nil"/>
            </w:tcBorders>
            <w:vAlign w:val="top"/>
          </w:tcPr>
          <w:p w14:paraId="429D5704">
            <w:pPr>
              <w:rPr>
                <w:rFonts w:ascii="Arial"/>
                <w:color w:val="auto"/>
                <w:sz w:val="21"/>
                <w:highlight w:val="none"/>
              </w:rPr>
            </w:pPr>
          </w:p>
        </w:tc>
        <w:tc>
          <w:tcPr>
            <w:tcW w:w="1140" w:type="dxa"/>
            <w:vMerge w:val="continue"/>
            <w:tcBorders>
              <w:top w:val="nil"/>
            </w:tcBorders>
            <w:vAlign w:val="top"/>
          </w:tcPr>
          <w:p w14:paraId="2E88121A">
            <w:pPr>
              <w:rPr>
                <w:rFonts w:ascii="Arial"/>
                <w:color w:val="auto"/>
                <w:sz w:val="21"/>
                <w:highlight w:val="none"/>
              </w:rPr>
            </w:pPr>
          </w:p>
        </w:tc>
        <w:tc>
          <w:tcPr>
            <w:tcW w:w="1139" w:type="dxa"/>
            <w:vAlign w:val="top"/>
          </w:tcPr>
          <w:p w14:paraId="78BCB175">
            <w:pPr>
              <w:pStyle w:val="29"/>
              <w:spacing w:before="159" w:line="219" w:lineRule="auto"/>
              <w:ind w:left="140"/>
              <w:rPr>
                <w:color w:val="auto"/>
                <w:highlight w:val="none"/>
              </w:rPr>
            </w:pPr>
            <w:r>
              <w:rPr>
                <w:color w:val="auto"/>
                <w:spacing w:val="-2"/>
                <w:highlight w:val="none"/>
              </w:rPr>
              <w:t>证书名称</w:t>
            </w:r>
          </w:p>
        </w:tc>
        <w:tc>
          <w:tcPr>
            <w:tcW w:w="1125" w:type="dxa"/>
            <w:vAlign w:val="top"/>
          </w:tcPr>
          <w:p w14:paraId="6132FC20">
            <w:pPr>
              <w:pStyle w:val="29"/>
              <w:spacing w:before="159" w:line="221" w:lineRule="auto"/>
              <w:ind w:left="353"/>
              <w:rPr>
                <w:color w:val="auto"/>
                <w:highlight w:val="none"/>
              </w:rPr>
            </w:pPr>
            <w:r>
              <w:rPr>
                <w:color w:val="auto"/>
                <w:spacing w:val="-2"/>
                <w:highlight w:val="none"/>
              </w:rPr>
              <w:t>证号</w:t>
            </w:r>
          </w:p>
        </w:tc>
        <w:tc>
          <w:tcPr>
            <w:tcW w:w="1140" w:type="dxa"/>
            <w:vAlign w:val="top"/>
          </w:tcPr>
          <w:p w14:paraId="6CAC4537">
            <w:pPr>
              <w:pStyle w:val="29"/>
              <w:spacing w:before="159" w:line="220" w:lineRule="auto"/>
              <w:ind w:left="356"/>
              <w:rPr>
                <w:color w:val="auto"/>
                <w:highlight w:val="none"/>
              </w:rPr>
            </w:pPr>
            <w:r>
              <w:rPr>
                <w:color w:val="auto"/>
                <w:spacing w:val="-3"/>
                <w:highlight w:val="none"/>
              </w:rPr>
              <w:t>专业</w:t>
            </w:r>
          </w:p>
        </w:tc>
        <w:tc>
          <w:tcPr>
            <w:tcW w:w="1634" w:type="dxa"/>
            <w:vMerge w:val="continue"/>
            <w:tcBorders>
              <w:top w:val="nil"/>
            </w:tcBorders>
            <w:vAlign w:val="top"/>
          </w:tcPr>
          <w:p w14:paraId="48B452A1">
            <w:pPr>
              <w:rPr>
                <w:rFonts w:ascii="Arial"/>
                <w:color w:val="auto"/>
                <w:sz w:val="21"/>
                <w:highlight w:val="none"/>
              </w:rPr>
            </w:pPr>
          </w:p>
        </w:tc>
        <w:tc>
          <w:tcPr>
            <w:tcW w:w="817" w:type="dxa"/>
            <w:vMerge w:val="continue"/>
            <w:tcBorders>
              <w:top w:val="nil"/>
            </w:tcBorders>
            <w:vAlign w:val="top"/>
          </w:tcPr>
          <w:p w14:paraId="0EF89C87">
            <w:pPr>
              <w:rPr>
                <w:rFonts w:ascii="Arial"/>
                <w:color w:val="auto"/>
                <w:sz w:val="21"/>
                <w:highlight w:val="none"/>
              </w:rPr>
            </w:pPr>
          </w:p>
        </w:tc>
      </w:tr>
      <w:tr w14:paraId="76FB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2" w:type="dxa"/>
            <w:vAlign w:val="top"/>
          </w:tcPr>
          <w:p w14:paraId="46563E6D">
            <w:pPr>
              <w:rPr>
                <w:rFonts w:ascii="Arial"/>
                <w:color w:val="auto"/>
                <w:sz w:val="21"/>
                <w:highlight w:val="none"/>
              </w:rPr>
            </w:pPr>
          </w:p>
        </w:tc>
        <w:tc>
          <w:tcPr>
            <w:tcW w:w="944" w:type="dxa"/>
            <w:vAlign w:val="top"/>
          </w:tcPr>
          <w:p w14:paraId="7392EAA3">
            <w:pPr>
              <w:rPr>
                <w:rFonts w:ascii="Arial"/>
                <w:color w:val="auto"/>
                <w:sz w:val="21"/>
                <w:highlight w:val="none"/>
              </w:rPr>
            </w:pPr>
          </w:p>
        </w:tc>
        <w:tc>
          <w:tcPr>
            <w:tcW w:w="1140" w:type="dxa"/>
            <w:vAlign w:val="top"/>
          </w:tcPr>
          <w:p w14:paraId="189802C6">
            <w:pPr>
              <w:rPr>
                <w:rFonts w:ascii="Arial"/>
                <w:color w:val="auto"/>
                <w:sz w:val="21"/>
                <w:highlight w:val="none"/>
              </w:rPr>
            </w:pPr>
          </w:p>
        </w:tc>
        <w:tc>
          <w:tcPr>
            <w:tcW w:w="1139" w:type="dxa"/>
            <w:vAlign w:val="top"/>
          </w:tcPr>
          <w:p w14:paraId="1EB6AEDB">
            <w:pPr>
              <w:rPr>
                <w:rFonts w:ascii="Arial"/>
                <w:color w:val="auto"/>
                <w:sz w:val="21"/>
                <w:highlight w:val="none"/>
              </w:rPr>
            </w:pPr>
          </w:p>
        </w:tc>
        <w:tc>
          <w:tcPr>
            <w:tcW w:w="1125" w:type="dxa"/>
            <w:vAlign w:val="top"/>
          </w:tcPr>
          <w:p w14:paraId="2CE293B8">
            <w:pPr>
              <w:rPr>
                <w:rFonts w:ascii="Arial"/>
                <w:color w:val="auto"/>
                <w:sz w:val="21"/>
                <w:highlight w:val="none"/>
              </w:rPr>
            </w:pPr>
          </w:p>
        </w:tc>
        <w:tc>
          <w:tcPr>
            <w:tcW w:w="1140" w:type="dxa"/>
            <w:vAlign w:val="top"/>
          </w:tcPr>
          <w:p w14:paraId="74E38F43">
            <w:pPr>
              <w:rPr>
                <w:rFonts w:ascii="Arial"/>
                <w:color w:val="auto"/>
                <w:sz w:val="21"/>
                <w:highlight w:val="none"/>
              </w:rPr>
            </w:pPr>
          </w:p>
        </w:tc>
        <w:tc>
          <w:tcPr>
            <w:tcW w:w="1634" w:type="dxa"/>
            <w:vAlign w:val="top"/>
          </w:tcPr>
          <w:p w14:paraId="7F73A8EA">
            <w:pPr>
              <w:rPr>
                <w:rFonts w:ascii="Arial"/>
                <w:color w:val="auto"/>
                <w:sz w:val="21"/>
                <w:highlight w:val="none"/>
              </w:rPr>
            </w:pPr>
          </w:p>
        </w:tc>
        <w:tc>
          <w:tcPr>
            <w:tcW w:w="817" w:type="dxa"/>
            <w:vAlign w:val="top"/>
          </w:tcPr>
          <w:p w14:paraId="1BD0026C">
            <w:pPr>
              <w:rPr>
                <w:rFonts w:ascii="Arial"/>
                <w:color w:val="auto"/>
                <w:sz w:val="21"/>
                <w:highlight w:val="none"/>
              </w:rPr>
            </w:pPr>
          </w:p>
        </w:tc>
      </w:tr>
      <w:tr w14:paraId="5D84D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802" w:type="dxa"/>
            <w:vAlign w:val="top"/>
          </w:tcPr>
          <w:p w14:paraId="4D8C68BD">
            <w:pPr>
              <w:rPr>
                <w:rFonts w:ascii="Arial"/>
                <w:color w:val="auto"/>
                <w:sz w:val="21"/>
                <w:highlight w:val="none"/>
              </w:rPr>
            </w:pPr>
          </w:p>
        </w:tc>
        <w:tc>
          <w:tcPr>
            <w:tcW w:w="944" w:type="dxa"/>
            <w:vAlign w:val="top"/>
          </w:tcPr>
          <w:p w14:paraId="0E429B65">
            <w:pPr>
              <w:rPr>
                <w:rFonts w:ascii="Arial"/>
                <w:color w:val="auto"/>
                <w:sz w:val="21"/>
                <w:highlight w:val="none"/>
              </w:rPr>
            </w:pPr>
          </w:p>
        </w:tc>
        <w:tc>
          <w:tcPr>
            <w:tcW w:w="1140" w:type="dxa"/>
            <w:vAlign w:val="top"/>
          </w:tcPr>
          <w:p w14:paraId="5EA48665">
            <w:pPr>
              <w:rPr>
                <w:rFonts w:ascii="Arial"/>
                <w:color w:val="auto"/>
                <w:sz w:val="21"/>
                <w:highlight w:val="none"/>
              </w:rPr>
            </w:pPr>
          </w:p>
        </w:tc>
        <w:tc>
          <w:tcPr>
            <w:tcW w:w="1139" w:type="dxa"/>
            <w:vAlign w:val="top"/>
          </w:tcPr>
          <w:p w14:paraId="02035DEA">
            <w:pPr>
              <w:rPr>
                <w:rFonts w:ascii="Arial"/>
                <w:color w:val="auto"/>
                <w:sz w:val="21"/>
                <w:highlight w:val="none"/>
              </w:rPr>
            </w:pPr>
          </w:p>
        </w:tc>
        <w:tc>
          <w:tcPr>
            <w:tcW w:w="1125" w:type="dxa"/>
            <w:vAlign w:val="top"/>
          </w:tcPr>
          <w:p w14:paraId="3443425F">
            <w:pPr>
              <w:rPr>
                <w:rFonts w:ascii="Arial"/>
                <w:color w:val="auto"/>
                <w:sz w:val="21"/>
                <w:highlight w:val="none"/>
              </w:rPr>
            </w:pPr>
          </w:p>
        </w:tc>
        <w:tc>
          <w:tcPr>
            <w:tcW w:w="1140" w:type="dxa"/>
            <w:vAlign w:val="top"/>
          </w:tcPr>
          <w:p w14:paraId="5649123F">
            <w:pPr>
              <w:rPr>
                <w:rFonts w:ascii="Arial"/>
                <w:color w:val="auto"/>
                <w:sz w:val="21"/>
                <w:highlight w:val="none"/>
              </w:rPr>
            </w:pPr>
          </w:p>
        </w:tc>
        <w:tc>
          <w:tcPr>
            <w:tcW w:w="1634" w:type="dxa"/>
            <w:vAlign w:val="top"/>
          </w:tcPr>
          <w:p w14:paraId="462A6E0F">
            <w:pPr>
              <w:rPr>
                <w:rFonts w:ascii="Arial"/>
                <w:color w:val="auto"/>
                <w:sz w:val="21"/>
                <w:highlight w:val="none"/>
              </w:rPr>
            </w:pPr>
          </w:p>
        </w:tc>
        <w:tc>
          <w:tcPr>
            <w:tcW w:w="817" w:type="dxa"/>
            <w:vAlign w:val="top"/>
          </w:tcPr>
          <w:p w14:paraId="5B0D04D7">
            <w:pPr>
              <w:rPr>
                <w:rFonts w:ascii="Arial"/>
                <w:color w:val="auto"/>
                <w:sz w:val="21"/>
                <w:highlight w:val="none"/>
              </w:rPr>
            </w:pPr>
          </w:p>
        </w:tc>
      </w:tr>
      <w:tr w14:paraId="64AA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2" w:type="dxa"/>
            <w:vAlign w:val="top"/>
          </w:tcPr>
          <w:p w14:paraId="51B5D718">
            <w:pPr>
              <w:rPr>
                <w:rFonts w:ascii="Arial"/>
                <w:color w:val="auto"/>
                <w:sz w:val="21"/>
                <w:highlight w:val="none"/>
              </w:rPr>
            </w:pPr>
          </w:p>
        </w:tc>
        <w:tc>
          <w:tcPr>
            <w:tcW w:w="944" w:type="dxa"/>
            <w:vAlign w:val="top"/>
          </w:tcPr>
          <w:p w14:paraId="46387923">
            <w:pPr>
              <w:rPr>
                <w:rFonts w:ascii="Arial"/>
                <w:color w:val="auto"/>
                <w:sz w:val="21"/>
                <w:highlight w:val="none"/>
              </w:rPr>
            </w:pPr>
          </w:p>
        </w:tc>
        <w:tc>
          <w:tcPr>
            <w:tcW w:w="1140" w:type="dxa"/>
            <w:vAlign w:val="top"/>
          </w:tcPr>
          <w:p w14:paraId="63B5191D">
            <w:pPr>
              <w:rPr>
                <w:rFonts w:ascii="Arial"/>
                <w:color w:val="auto"/>
                <w:sz w:val="21"/>
                <w:highlight w:val="none"/>
              </w:rPr>
            </w:pPr>
          </w:p>
        </w:tc>
        <w:tc>
          <w:tcPr>
            <w:tcW w:w="1139" w:type="dxa"/>
            <w:vAlign w:val="top"/>
          </w:tcPr>
          <w:p w14:paraId="6FE0B897">
            <w:pPr>
              <w:rPr>
                <w:rFonts w:ascii="Arial"/>
                <w:color w:val="auto"/>
                <w:sz w:val="21"/>
                <w:highlight w:val="none"/>
              </w:rPr>
            </w:pPr>
          </w:p>
        </w:tc>
        <w:tc>
          <w:tcPr>
            <w:tcW w:w="1125" w:type="dxa"/>
            <w:vAlign w:val="top"/>
          </w:tcPr>
          <w:p w14:paraId="6963039C">
            <w:pPr>
              <w:rPr>
                <w:rFonts w:ascii="Arial"/>
                <w:color w:val="auto"/>
                <w:sz w:val="21"/>
                <w:highlight w:val="none"/>
              </w:rPr>
            </w:pPr>
          </w:p>
        </w:tc>
        <w:tc>
          <w:tcPr>
            <w:tcW w:w="1140" w:type="dxa"/>
            <w:vAlign w:val="top"/>
          </w:tcPr>
          <w:p w14:paraId="46DBA972">
            <w:pPr>
              <w:rPr>
                <w:rFonts w:ascii="Arial"/>
                <w:color w:val="auto"/>
                <w:sz w:val="21"/>
                <w:highlight w:val="none"/>
              </w:rPr>
            </w:pPr>
          </w:p>
        </w:tc>
        <w:tc>
          <w:tcPr>
            <w:tcW w:w="1634" w:type="dxa"/>
            <w:vAlign w:val="top"/>
          </w:tcPr>
          <w:p w14:paraId="608E5B7A">
            <w:pPr>
              <w:rPr>
                <w:rFonts w:ascii="Arial"/>
                <w:color w:val="auto"/>
                <w:sz w:val="21"/>
                <w:highlight w:val="none"/>
              </w:rPr>
            </w:pPr>
          </w:p>
        </w:tc>
        <w:tc>
          <w:tcPr>
            <w:tcW w:w="817" w:type="dxa"/>
            <w:vAlign w:val="top"/>
          </w:tcPr>
          <w:p w14:paraId="64619ED1">
            <w:pPr>
              <w:rPr>
                <w:rFonts w:ascii="Arial"/>
                <w:color w:val="auto"/>
                <w:sz w:val="21"/>
                <w:highlight w:val="none"/>
              </w:rPr>
            </w:pPr>
          </w:p>
        </w:tc>
      </w:tr>
      <w:tr w14:paraId="69191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802" w:type="dxa"/>
            <w:vAlign w:val="top"/>
          </w:tcPr>
          <w:p w14:paraId="3C3A2F40">
            <w:pPr>
              <w:rPr>
                <w:rFonts w:ascii="Arial"/>
                <w:color w:val="auto"/>
                <w:sz w:val="21"/>
                <w:highlight w:val="none"/>
              </w:rPr>
            </w:pPr>
          </w:p>
        </w:tc>
        <w:tc>
          <w:tcPr>
            <w:tcW w:w="944" w:type="dxa"/>
            <w:vAlign w:val="top"/>
          </w:tcPr>
          <w:p w14:paraId="7D99129B">
            <w:pPr>
              <w:rPr>
                <w:rFonts w:ascii="Arial"/>
                <w:color w:val="auto"/>
                <w:sz w:val="21"/>
                <w:highlight w:val="none"/>
              </w:rPr>
            </w:pPr>
          </w:p>
        </w:tc>
        <w:tc>
          <w:tcPr>
            <w:tcW w:w="1140" w:type="dxa"/>
            <w:vAlign w:val="top"/>
          </w:tcPr>
          <w:p w14:paraId="4FA0A189">
            <w:pPr>
              <w:rPr>
                <w:rFonts w:ascii="Arial"/>
                <w:color w:val="auto"/>
                <w:sz w:val="21"/>
                <w:highlight w:val="none"/>
              </w:rPr>
            </w:pPr>
          </w:p>
        </w:tc>
        <w:tc>
          <w:tcPr>
            <w:tcW w:w="1139" w:type="dxa"/>
            <w:vAlign w:val="top"/>
          </w:tcPr>
          <w:p w14:paraId="27592F19">
            <w:pPr>
              <w:rPr>
                <w:rFonts w:ascii="Arial"/>
                <w:color w:val="auto"/>
                <w:sz w:val="21"/>
                <w:highlight w:val="none"/>
              </w:rPr>
            </w:pPr>
          </w:p>
        </w:tc>
        <w:tc>
          <w:tcPr>
            <w:tcW w:w="1125" w:type="dxa"/>
            <w:vAlign w:val="top"/>
          </w:tcPr>
          <w:p w14:paraId="4D191118">
            <w:pPr>
              <w:rPr>
                <w:rFonts w:ascii="Arial"/>
                <w:color w:val="auto"/>
                <w:sz w:val="21"/>
                <w:highlight w:val="none"/>
              </w:rPr>
            </w:pPr>
          </w:p>
        </w:tc>
        <w:tc>
          <w:tcPr>
            <w:tcW w:w="1140" w:type="dxa"/>
            <w:vAlign w:val="top"/>
          </w:tcPr>
          <w:p w14:paraId="4067FD65">
            <w:pPr>
              <w:rPr>
                <w:rFonts w:ascii="Arial"/>
                <w:color w:val="auto"/>
                <w:sz w:val="21"/>
                <w:highlight w:val="none"/>
              </w:rPr>
            </w:pPr>
          </w:p>
        </w:tc>
        <w:tc>
          <w:tcPr>
            <w:tcW w:w="1634" w:type="dxa"/>
            <w:vAlign w:val="top"/>
          </w:tcPr>
          <w:p w14:paraId="19434E3B">
            <w:pPr>
              <w:rPr>
                <w:rFonts w:ascii="Arial"/>
                <w:color w:val="auto"/>
                <w:sz w:val="21"/>
                <w:highlight w:val="none"/>
              </w:rPr>
            </w:pPr>
          </w:p>
        </w:tc>
        <w:tc>
          <w:tcPr>
            <w:tcW w:w="817" w:type="dxa"/>
            <w:vAlign w:val="top"/>
          </w:tcPr>
          <w:p w14:paraId="17568D3C">
            <w:pPr>
              <w:rPr>
                <w:rFonts w:ascii="Arial"/>
                <w:color w:val="auto"/>
                <w:sz w:val="21"/>
                <w:highlight w:val="none"/>
              </w:rPr>
            </w:pPr>
          </w:p>
        </w:tc>
      </w:tr>
      <w:tr w14:paraId="17A6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2" w:type="dxa"/>
            <w:vAlign w:val="top"/>
          </w:tcPr>
          <w:p w14:paraId="730538FE">
            <w:pPr>
              <w:rPr>
                <w:rFonts w:ascii="Arial"/>
                <w:color w:val="auto"/>
                <w:sz w:val="21"/>
                <w:highlight w:val="none"/>
              </w:rPr>
            </w:pPr>
          </w:p>
        </w:tc>
        <w:tc>
          <w:tcPr>
            <w:tcW w:w="944" w:type="dxa"/>
            <w:vAlign w:val="top"/>
          </w:tcPr>
          <w:p w14:paraId="771790F6">
            <w:pPr>
              <w:rPr>
                <w:rFonts w:ascii="Arial"/>
                <w:color w:val="auto"/>
                <w:sz w:val="21"/>
                <w:highlight w:val="none"/>
              </w:rPr>
            </w:pPr>
          </w:p>
        </w:tc>
        <w:tc>
          <w:tcPr>
            <w:tcW w:w="1140" w:type="dxa"/>
            <w:vAlign w:val="top"/>
          </w:tcPr>
          <w:p w14:paraId="65A96B9F">
            <w:pPr>
              <w:rPr>
                <w:rFonts w:ascii="Arial"/>
                <w:color w:val="auto"/>
                <w:sz w:val="21"/>
                <w:highlight w:val="none"/>
              </w:rPr>
            </w:pPr>
          </w:p>
        </w:tc>
        <w:tc>
          <w:tcPr>
            <w:tcW w:w="1139" w:type="dxa"/>
            <w:vAlign w:val="top"/>
          </w:tcPr>
          <w:p w14:paraId="2785E7AD">
            <w:pPr>
              <w:rPr>
                <w:rFonts w:ascii="Arial"/>
                <w:color w:val="auto"/>
                <w:sz w:val="21"/>
                <w:highlight w:val="none"/>
              </w:rPr>
            </w:pPr>
          </w:p>
        </w:tc>
        <w:tc>
          <w:tcPr>
            <w:tcW w:w="1125" w:type="dxa"/>
            <w:vAlign w:val="top"/>
          </w:tcPr>
          <w:p w14:paraId="56714D0D">
            <w:pPr>
              <w:rPr>
                <w:rFonts w:ascii="Arial"/>
                <w:color w:val="auto"/>
                <w:sz w:val="21"/>
                <w:highlight w:val="none"/>
              </w:rPr>
            </w:pPr>
          </w:p>
        </w:tc>
        <w:tc>
          <w:tcPr>
            <w:tcW w:w="1140" w:type="dxa"/>
            <w:vAlign w:val="top"/>
          </w:tcPr>
          <w:p w14:paraId="2F349F3D">
            <w:pPr>
              <w:rPr>
                <w:rFonts w:ascii="Arial"/>
                <w:color w:val="auto"/>
                <w:sz w:val="21"/>
                <w:highlight w:val="none"/>
              </w:rPr>
            </w:pPr>
          </w:p>
        </w:tc>
        <w:tc>
          <w:tcPr>
            <w:tcW w:w="1634" w:type="dxa"/>
            <w:vAlign w:val="top"/>
          </w:tcPr>
          <w:p w14:paraId="6EB4C9D7">
            <w:pPr>
              <w:rPr>
                <w:rFonts w:ascii="Arial"/>
                <w:color w:val="auto"/>
                <w:sz w:val="21"/>
                <w:highlight w:val="none"/>
              </w:rPr>
            </w:pPr>
          </w:p>
        </w:tc>
        <w:tc>
          <w:tcPr>
            <w:tcW w:w="817" w:type="dxa"/>
            <w:vAlign w:val="top"/>
          </w:tcPr>
          <w:p w14:paraId="0DB5F78E">
            <w:pPr>
              <w:rPr>
                <w:rFonts w:ascii="Arial"/>
                <w:color w:val="auto"/>
                <w:sz w:val="21"/>
                <w:highlight w:val="none"/>
              </w:rPr>
            </w:pPr>
          </w:p>
        </w:tc>
      </w:tr>
      <w:tr w14:paraId="4E5E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2" w:type="dxa"/>
            <w:vAlign w:val="top"/>
          </w:tcPr>
          <w:p w14:paraId="4042EFA1">
            <w:pPr>
              <w:rPr>
                <w:rFonts w:ascii="Arial"/>
                <w:color w:val="auto"/>
                <w:sz w:val="21"/>
                <w:highlight w:val="none"/>
              </w:rPr>
            </w:pPr>
          </w:p>
        </w:tc>
        <w:tc>
          <w:tcPr>
            <w:tcW w:w="944" w:type="dxa"/>
            <w:vAlign w:val="top"/>
          </w:tcPr>
          <w:p w14:paraId="7C3F4E4B">
            <w:pPr>
              <w:rPr>
                <w:rFonts w:ascii="Arial"/>
                <w:color w:val="auto"/>
                <w:sz w:val="21"/>
                <w:highlight w:val="none"/>
              </w:rPr>
            </w:pPr>
          </w:p>
        </w:tc>
        <w:tc>
          <w:tcPr>
            <w:tcW w:w="1140" w:type="dxa"/>
            <w:vAlign w:val="top"/>
          </w:tcPr>
          <w:p w14:paraId="5C2B62A6">
            <w:pPr>
              <w:rPr>
                <w:rFonts w:ascii="Arial"/>
                <w:color w:val="auto"/>
                <w:sz w:val="21"/>
                <w:highlight w:val="none"/>
              </w:rPr>
            </w:pPr>
          </w:p>
        </w:tc>
        <w:tc>
          <w:tcPr>
            <w:tcW w:w="1139" w:type="dxa"/>
            <w:vAlign w:val="top"/>
          </w:tcPr>
          <w:p w14:paraId="00AF8FC3">
            <w:pPr>
              <w:rPr>
                <w:rFonts w:ascii="Arial"/>
                <w:color w:val="auto"/>
                <w:sz w:val="21"/>
                <w:highlight w:val="none"/>
              </w:rPr>
            </w:pPr>
          </w:p>
        </w:tc>
        <w:tc>
          <w:tcPr>
            <w:tcW w:w="1125" w:type="dxa"/>
            <w:vAlign w:val="top"/>
          </w:tcPr>
          <w:p w14:paraId="1A98F808">
            <w:pPr>
              <w:rPr>
                <w:rFonts w:ascii="Arial"/>
                <w:color w:val="auto"/>
                <w:sz w:val="21"/>
                <w:highlight w:val="none"/>
              </w:rPr>
            </w:pPr>
          </w:p>
        </w:tc>
        <w:tc>
          <w:tcPr>
            <w:tcW w:w="1140" w:type="dxa"/>
            <w:vAlign w:val="top"/>
          </w:tcPr>
          <w:p w14:paraId="452B8895">
            <w:pPr>
              <w:rPr>
                <w:rFonts w:ascii="Arial"/>
                <w:color w:val="auto"/>
                <w:sz w:val="21"/>
                <w:highlight w:val="none"/>
              </w:rPr>
            </w:pPr>
          </w:p>
        </w:tc>
        <w:tc>
          <w:tcPr>
            <w:tcW w:w="1634" w:type="dxa"/>
            <w:vAlign w:val="top"/>
          </w:tcPr>
          <w:p w14:paraId="0DDF617E">
            <w:pPr>
              <w:rPr>
                <w:rFonts w:ascii="Arial"/>
                <w:color w:val="auto"/>
                <w:sz w:val="21"/>
                <w:highlight w:val="none"/>
              </w:rPr>
            </w:pPr>
          </w:p>
        </w:tc>
        <w:tc>
          <w:tcPr>
            <w:tcW w:w="817" w:type="dxa"/>
            <w:vAlign w:val="top"/>
          </w:tcPr>
          <w:p w14:paraId="6D7E9DF3">
            <w:pPr>
              <w:rPr>
                <w:rFonts w:ascii="Arial"/>
                <w:color w:val="auto"/>
                <w:sz w:val="21"/>
                <w:highlight w:val="none"/>
              </w:rPr>
            </w:pPr>
          </w:p>
        </w:tc>
      </w:tr>
      <w:tr w14:paraId="6E39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802" w:type="dxa"/>
            <w:vAlign w:val="top"/>
          </w:tcPr>
          <w:p w14:paraId="783C02EB">
            <w:pPr>
              <w:rPr>
                <w:rFonts w:ascii="Arial"/>
                <w:color w:val="auto"/>
                <w:sz w:val="21"/>
                <w:highlight w:val="none"/>
              </w:rPr>
            </w:pPr>
          </w:p>
        </w:tc>
        <w:tc>
          <w:tcPr>
            <w:tcW w:w="944" w:type="dxa"/>
            <w:vAlign w:val="top"/>
          </w:tcPr>
          <w:p w14:paraId="15F48915">
            <w:pPr>
              <w:rPr>
                <w:rFonts w:ascii="Arial"/>
                <w:color w:val="auto"/>
                <w:sz w:val="21"/>
                <w:highlight w:val="none"/>
              </w:rPr>
            </w:pPr>
          </w:p>
        </w:tc>
        <w:tc>
          <w:tcPr>
            <w:tcW w:w="1140" w:type="dxa"/>
            <w:vAlign w:val="top"/>
          </w:tcPr>
          <w:p w14:paraId="06ECA393">
            <w:pPr>
              <w:rPr>
                <w:rFonts w:ascii="Arial"/>
                <w:color w:val="auto"/>
                <w:sz w:val="21"/>
                <w:highlight w:val="none"/>
              </w:rPr>
            </w:pPr>
          </w:p>
        </w:tc>
        <w:tc>
          <w:tcPr>
            <w:tcW w:w="1139" w:type="dxa"/>
            <w:vAlign w:val="top"/>
          </w:tcPr>
          <w:p w14:paraId="3D6F3B67">
            <w:pPr>
              <w:rPr>
                <w:rFonts w:ascii="Arial"/>
                <w:color w:val="auto"/>
                <w:sz w:val="21"/>
                <w:highlight w:val="none"/>
              </w:rPr>
            </w:pPr>
          </w:p>
        </w:tc>
        <w:tc>
          <w:tcPr>
            <w:tcW w:w="1125" w:type="dxa"/>
            <w:vAlign w:val="top"/>
          </w:tcPr>
          <w:p w14:paraId="0A96182C">
            <w:pPr>
              <w:rPr>
                <w:rFonts w:ascii="Arial"/>
                <w:color w:val="auto"/>
                <w:sz w:val="21"/>
                <w:highlight w:val="none"/>
              </w:rPr>
            </w:pPr>
          </w:p>
        </w:tc>
        <w:tc>
          <w:tcPr>
            <w:tcW w:w="1140" w:type="dxa"/>
            <w:vAlign w:val="top"/>
          </w:tcPr>
          <w:p w14:paraId="558EEBB4">
            <w:pPr>
              <w:rPr>
                <w:rFonts w:ascii="Arial"/>
                <w:color w:val="auto"/>
                <w:sz w:val="21"/>
                <w:highlight w:val="none"/>
              </w:rPr>
            </w:pPr>
          </w:p>
        </w:tc>
        <w:tc>
          <w:tcPr>
            <w:tcW w:w="1634" w:type="dxa"/>
            <w:vAlign w:val="top"/>
          </w:tcPr>
          <w:p w14:paraId="01DB9F6E">
            <w:pPr>
              <w:rPr>
                <w:rFonts w:ascii="Arial"/>
                <w:color w:val="auto"/>
                <w:sz w:val="21"/>
                <w:highlight w:val="none"/>
              </w:rPr>
            </w:pPr>
          </w:p>
        </w:tc>
        <w:tc>
          <w:tcPr>
            <w:tcW w:w="817" w:type="dxa"/>
            <w:vAlign w:val="top"/>
          </w:tcPr>
          <w:p w14:paraId="0893C375">
            <w:pPr>
              <w:rPr>
                <w:rFonts w:ascii="Arial"/>
                <w:color w:val="auto"/>
                <w:sz w:val="21"/>
                <w:highlight w:val="none"/>
              </w:rPr>
            </w:pPr>
          </w:p>
        </w:tc>
      </w:tr>
      <w:tr w14:paraId="4C183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802" w:type="dxa"/>
            <w:vAlign w:val="top"/>
          </w:tcPr>
          <w:p w14:paraId="27E8D646">
            <w:pPr>
              <w:rPr>
                <w:rFonts w:ascii="Arial"/>
                <w:color w:val="auto"/>
                <w:sz w:val="21"/>
                <w:highlight w:val="none"/>
              </w:rPr>
            </w:pPr>
          </w:p>
        </w:tc>
        <w:tc>
          <w:tcPr>
            <w:tcW w:w="944" w:type="dxa"/>
            <w:vAlign w:val="top"/>
          </w:tcPr>
          <w:p w14:paraId="1C9C815D">
            <w:pPr>
              <w:rPr>
                <w:rFonts w:ascii="Arial"/>
                <w:color w:val="auto"/>
                <w:sz w:val="21"/>
                <w:highlight w:val="none"/>
              </w:rPr>
            </w:pPr>
          </w:p>
        </w:tc>
        <w:tc>
          <w:tcPr>
            <w:tcW w:w="1140" w:type="dxa"/>
            <w:vAlign w:val="top"/>
          </w:tcPr>
          <w:p w14:paraId="6E4071E1">
            <w:pPr>
              <w:rPr>
                <w:rFonts w:ascii="Arial"/>
                <w:color w:val="auto"/>
                <w:sz w:val="21"/>
                <w:highlight w:val="none"/>
              </w:rPr>
            </w:pPr>
          </w:p>
        </w:tc>
        <w:tc>
          <w:tcPr>
            <w:tcW w:w="1139" w:type="dxa"/>
            <w:vAlign w:val="top"/>
          </w:tcPr>
          <w:p w14:paraId="63213A8D">
            <w:pPr>
              <w:rPr>
                <w:rFonts w:ascii="Arial"/>
                <w:color w:val="auto"/>
                <w:sz w:val="21"/>
                <w:highlight w:val="none"/>
              </w:rPr>
            </w:pPr>
          </w:p>
        </w:tc>
        <w:tc>
          <w:tcPr>
            <w:tcW w:w="1125" w:type="dxa"/>
            <w:vAlign w:val="top"/>
          </w:tcPr>
          <w:p w14:paraId="0422C2C7">
            <w:pPr>
              <w:rPr>
                <w:rFonts w:ascii="Arial"/>
                <w:color w:val="auto"/>
                <w:sz w:val="21"/>
                <w:highlight w:val="none"/>
              </w:rPr>
            </w:pPr>
          </w:p>
        </w:tc>
        <w:tc>
          <w:tcPr>
            <w:tcW w:w="1140" w:type="dxa"/>
            <w:vAlign w:val="top"/>
          </w:tcPr>
          <w:p w14:paraId="10BABC22">
            <w:pPr>
              <w:rPr>
                <w:rFonts w:ascii="Arial"/>
                <w:color w:val="auto"/>
                <w:sz w:val="21"/>
                <w:highlight w:val="none"/>
              </w:rPr>
            </w:pPr>
          </w:p>
        </w:tc>
        <w:tc>
          <w:tcPr>
            <w:tcW w:w="1634" w:type="dxa"/>
            <w:vAlign w:val="top"/>
          </w:tcPr>
          <w:p w14:paraId="2349750C">
            <w:pPr>
              <w:rPr>
                <w:rFonts w:ascii="Arial"/>
                <w:color w:val="auto"/>
                <w:sz w:val="21"/>
                <w:highlight w:val="none"/>
              </w:rPr>
            </w:pPr>
          </w:p>
        </w:tc>
        <w:tc>
          <w:tcPr>
            <w:tcW w:w="817" w:type="dxa"/>
            <w:vAlign w:val="top"/>
          </w:tcPr>
          <w:p w14:paraId="3906D970">
            <w:pPr>
              <w:rPr>
                <w:rFonts w:ascii="Arial"/>
                <w:color w:val="auto"/>
                <w:sz w:val="21"/>
                <w:highlight w:val="none"/>
              </w:rPr>
            </w:pPr>
          </w:p>
        </w:tc>
      </w:tr>
    </w:tbl>
    <w:p w14:paraId="0A4E6D84">
      <w:pPr>
        <w:pStyle w:val="4"/>
        <w:spacing w:before="269" w:line="219" w:lineRule="auto"/>
        <w:rPr>
          <w:color w:val="auto"/>
          <w:sz w:val="21"/>
          <w:szCs w:val="21"/>
          <w:highlight w:val="none"/>
        </w:rPr>
      </w:pPr>
      <w:r>
        <w:rPr>
          <w:color w:val="auto"/>
          <w:spacing w:val="-4"/>
          <w:sz w:val="21"/>
          <w:szCs w:val="21"/>
          <w:highlight w:val="none"/>
        </w:rPr>
        <w:t>附：</w:t>
      </w:r>
      <w:r>
        <w:rPr>
          <w:color w:val="auto"/>
          <w:spacing w:val="-25"/>
          <w:sz w:val="21"/>
          <w:szCs w:val="21"/>
          <w:highlight w:val="none"/>
        </w:rPr>
        <w:t xml:space="preserve"> </w:t>
      </w:r>
      <w:r>
        <w:rPr>
          <w:color w:val="auto"/>
          <w:spacing w:val="-4"/>
          <w:sz w:val="21"/>
          <w:szCs w:val="21"/>
          <w:highlight w:val="none"/>
        </w:rPr>
        <w:t>监理部人员应附上岗证书、身份证等材料的扫描件</w:t>
      </w:r>
    </w:p>
    <w:p w14:paraId="7292377F">
      <w:pPr>
        <w:spacing w:line="277" w:lineRule="auto"/>
        <w:rPr>
          <w:rFonts w:ascii="Arial"/>
          <w:color w:val="auto"/>
          <w:sz w:val="21"/>
          <w:highlight w:val="none"/>
        </w:rPr>
      </w:pPr>
    </w:p>
    <w:p w14:paraId="3A72CA63">
      <w:pPr>
        <w:spacing w:line="277" w:lineRule="auto"/>
        <w:rPr>
          <w:rFonts w:ascii="Arial"/>
          <w:color w:val="auto"/>
          <w:sz w:val="21"/>
          <w:highlight w:val="none"/>
        </w:rPr>
      </w:pPr>
    </w:p>
    <w:p w14:paraId="1B69B0BF">
      <w:pPr>
        <w:spacing w:line="277" w:lineRule="auto"/>
        <w:rPr>
          <w:rFonts w:ascii="Arial"/>
          <w:color w:val="auto"/>
          <w:sz w:val="21"/>
          <w:highlight w:val="none"/>
        </w:rPr>
      </w:pPr>
    </w:p>
    <w:p w14:paraId="3036431C">
      <w:pPr>
        <w:spacing w:line="277" w:lineRule="auto"/>
        <w:rPr>
          <w:rFonts w:ascii="Arial"/>
          <w:color w:val="auto"/>
          <w:sz w:val="21"/>
          <w:highlight w:val="none"/>
        </w:rPr>
      </w:pPr>
    </w:p>
    <w:p w14:paraId="6761F74B">
      <w:pPr>
        <w:spacing w:line="277" w:lineRule="auto"/>
        <w:rPr>
          <w:rFonts w:ascii="Arial"/>
          <w:color w:val="auto"/>
          <w:sz w:val="21"/>
          <w:highlight w:val="none"/>
        </w:rPr>
      </w:pPr>
    </w:p>
    <w:p w14:paraId="15DFCD6D">
      <w:pPr>
        <w:pStyle w:val="4"/>
        <w:spacing w:before="68" w:line="219" w:lineRule="auto"/>
        <w:ind w:left="2958"/>
        <w:rPr>
          <w:color w:val="auto"/>
          <w:sz w:val="21"/>
          <w:szCs w:val="21"/>
          <w:highlight w:val="none"/>
        </w:rPr>
      </w:pPr>
      <w:r>
        <w:rPr>
          <w:color w:val="auto"/>
          <w:spacing w:val="-2"/>
          <w:sz w:val="21"/>
          <w:szCs w:val="21"/>
          <w:highlight w:val="none"/>
        </w:rPr>
        <w:t>附</w:t>
      </w:r>
      <w:r>
        <w:rPr>
          <w:color w:val="auto"/>
          <w:spacing w:val="-30"/>
          <w:sz w:val="21"/>
          <w:szCs w:val="21"/>
          <w:highlight w:val="none"/>
        </w:rPr>
        <w:t xml:space="preserve"> </w:t>
      </w:r>
      <w:r>
        <w:rPr>
          <w:color w:val="auto"/>
          <w:spacing w:val="-2"/>
          <w:sz w:val="21"/>
          <w:szCs w:val="21"/>
          <w:highlight w:val="none"/>
        </w:rPr>
        <w:t>3. 拟投入检测仪器、设备汇总表</w:t>
      </w:r>
    </w:p>
    <w:p w14:paraId="616B923F">
      <w:pPr>
        <w:spacing w:line="112" w:lineRule="exact"/>
        <w:rPr>
          <w:color w:val="auto"/>
          <w:highlight w:val="none"/>
        </w:rPr>
      </w:pPr>
    </w:p>
    <w:tbl>
      <w:tblPr>
        <w:tblStyle w:val="30"/>
        <w:tblW w:w="8530" w:type="dxa"/>
        <w:tblInd w:w="3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664"/>
        <w:gridCol w:w="1214"/>
        <w:gridCol w:w="930"/>
        <w:gridCol w:w="1514"/>
        <w:gridCol w:w="1214"/>
        <w:gridCol w:w="1222"/>
      </w:tblGrid>
      <w:tr w14:paraId="54DA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772" w:type="dxa"/>
            <w:vAlign w:val="top"/>
          </w:tcPr>
          <w:p w14:paraId="68C66522">
            <w:pPr>
              <w:pStyle w:val="29"/>
              <w:spacing w:before="134" w:line="221" w:lineRule="auto"/>
              <w:ind w:left="172"/>
              <w:rPr>
                <w:color w:val="auto"/>
                <w:highlight w:val="none"/>
              </w:rPr>
            </w:pPr>
            <w:r>
              <w:rPr>
                <w:color w:val="auto"/>
                <w:spacing w:val="-2"/>
                <w:highlight w:val="none"/>
              </w:rPr>
              <w:t>序号</w:t>
            </w:r>
          </w:p>
        </w:tc>
        <w:tc>
          <w:tcPr>
            <w:tcW w:w="1664" w:type="dxa"/>
            <w:vAlign w:val="top"/>
          </w:tcPr>
          <w:p w14:paraId="39E341A6">
            <w:pPr>
              <w:pStyle w:val="29"/>
              <w:spacing w:before="134" w:line="222" w:lineRule="auto"/>
              <w:ind w:left="620"/>
              <w:rPr>
                <w:color w:val="auto"/>
                <w:highlight w:val="none"/>
              </w:rPr>
            </w:pPr>
            <w:r>
              <w:rPr>
                <w:color w:val="auto"/>
                <w:spacing w:val="-3"/>
                <w:highlight w:val="none"/>
              </w:rPr>
              <w:t>名称</w:t>
            </w:r>
          </w:p>
        </w:tc>
        <w:tc>
          <w:tcPr>
            <w:tcW w:w="1214" w:type="dxa"/>
            <w:vAlign w:val="top"/>
          </w:tcPr>
          <w:p w14:paraId="0E952F68">
            <w:pPr>
              <w:pStyle w:val="29"/>
              <w:spacing w:before="134" w:line="220" w:lineRule="auto"/>
              <w:ind w:left="201"/>
              <w:rPr>
                <w:color w:val="auto"/>
                <w:highlight w:val="none"/>
              </w:rPr>
            </w:pPr>
            <w:r>
              <w:rPr>
                <w:color w:val="auto"/>
                <w:spacing w:val="-2"/>
                <w:highlight w:val="none"/>
              </w:rPr>
              <w:t>规格型号</w:t>
            </w:r>
          </w:p>
        </w:tc>
        <w:tc>
          <w:tcPr>
            <w:tcW w:w="930" w:type="dxa"/>
            <w:vAlign w:val="top"/>
          </w:tcPr>
          <w:p w14:paraId="2E83EFB9">
            <w:pPr>
              <w:pStyle w:val="29"/>
              <w:spacing w:before="135" w:line="220" w:lineRule="auto"/>
              <w:ind w:left="264"/>
              <w:rPr>
                <w:color w:val="auto"/>
                <w:highlight w:val="none"/>
              </w:rPr>
            </w:pPr>
            <w:r>
              <w:rPr>
                <w:color w:val="auto"/>
                <w:spacing w:val="-3"/>
                <w:highlight w:val="none"/>
              </w:rPr>
              <w:t>单位</w:t>
            </w:r>
          </w:p>
        </w:tc>
        <w:tc>
          <w:tcPr>
            <w:tcW w:w="1514" w:type="dxa"/>
            <w:vAlign w:val="top"/>
          </w:tcPr>
          <w:p w14:paraId="4194BF8E">
            <w:pPr>
              <w:pStyle w:val="29"/>
              <w:spacing w:before="134" w:line="220" w:lineRule="auto"/>
              <w:ind w:left="566"/>
              <w:rPr>
                <w:color w:val="auto"/>
                <w:highlight w:val="none"/>
              </w:rPr>
            </w:pPr>
            <w:r>
              <w:rPr>
                <w:color w:val="auto"/>
                <w:spacing w:val="-3"/>
                <w:highlight w:val="none"/>
              </w:rPr>
              <w:t>数量</w:t>
            </w:r>
          </w:p>
        </w:tc>
        <w:tc>
          <w:tcPr>
            <w:tcW w:w="1214" w:type="dxa"/>
            <w:vAlign w:val="top"/>
          </w:tcPr>
          <w:p w14:paraId="6C27ABF2">
            <w:pPr>
              <w:pStyle w:val="29"/>
              <w:spacing w:before="134" w:line="220" w:lineRule="auto"/>
              <w:ind w:left="193"/>
              <w:rPr>
                <w:color w:val="auto"/>
                <w:highlight w:val="none"/>
              </w:rPr>
            </w:pPr>
            <w:r>
              <w:rPr>
                <w:color w:val="auto"/>
                <w:spacing w:val="-2"/>
                <w:highlight w:val="none"/>
              </w:rPr>
              <w:t>使用状况</w:t>
            </w:r>
          </w:p>
        </w:tc>
        <w:tc>
          <w:tcPr>
            <w:tcW w:w="1222" w:type="dxa"/>
            <w:vAlign w:val="top"/>
          </w:tcPr>
          <w:p w14:paraId="3F629BE7">
            <w:pPr>
              <w:pStyle w:val="29"/>
              <w:spacing w:before="135" w:line="220" w:lineRule="auto"/>
              <w:ind w:left="193"/>
              <w:rPr>
                <w:color w:val="auto"/>
                <w:highlight w:val="none"/>
              </w:rPr>
            </w:pPr>
            <w:r>
              <w:rPr>
                <w:color w:val="auto"/>
                <w:spacing w:val="-1"/>
                <w:highlight w:val="none"/>
              </w:rPr>
              <w:t>进场时间</w:t>
            </w:r>
          </w:p>
        </w:tc>
      </w:tr>
      <w:tr w14:paraId="61751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772" w:type="dxa"/>
            <w:vAlign w:val="top"/>
          </w:tcPr>
          <w:p w14:paraId="65180E2C">
            <w:pPr>
              <w:rPr>
                <w:rFonts w:ascii="Arial"/>
                <w:color w:val="auto"/>
                <w:sz w:val="21"/>
                <w:highlight w:val="none"/>
              </w:rPr>
            </w:pPr>
          </w:p>
        </w:tc>
        <w:tc>
          <w:tcPr>
            <w:tcW w:w="1664" w:type="dxa"/>
            <w:vAlign w:val="top"/>
          </w:tcPr>
          <w:p w14:paraId="6DC5AF4B">
            <w:pPr>
              <w:rPr>
                <w:rFonts w:ascii="Arial"/>
                <w:color w:val="auto"/>
                <w:sz w:val="21"/>
                <w:highlight w:val="none"/>
              </w:rPr>
            </w:pPr>
          </w:p>
        </w:tc>
        <w:tc>
          <w:tcPr>
            <w:tcW w:w="1214" w:type="dxa"/>
            <w:vAlign w:val="top"/>
          </w:tcPr>
          <w:p w14:paraId="6069E7CC">
            <w:pPr>
              <w:rPr>
                <w:rFonts w:ascii="Arial"/>
                <w:color w:val="auto"/>
                <w:sz w:val="21"/>
                <w:highlight w:val="none"/>
              </w:rPr>
            </w:pPr>
          </w:p>
        </w:tc>
        <w:tc>
          <w:tcPr>
            <w:tcW w:w="930" w:type="dxa"/>
            <w:vAlign w:val="top"/>
          </w:tcPr>
          <w:p w14:paraId="2A1378BB">
            <w:pPr>
              <w:rPr>
                <w:rFonts w:ascii="Arial"/>
                <w:color w:val="auto"/>
                <w:sz w:val="21"/>
                <w:highlight w:val="none"/>
              </w:rPr>
            </w:pPr>
          </w:p>
        </w:tc>
        <w:tc>
          <w:tcPr>
            <w:tcW w:w="1514" w:type="dxa"/>
            <w:vAlign w:val="top"/>
          </w:tcPr>
          <w:p w14:paraId="21905156">
            <w:pPr>
              <w:rPr>
                <w:rFonts w:ascii="Arial"/>
                <w:color w:val="auto"/>
                <w:sz w:val="21"/>
                <w:highlight w:val="none"/>
              </w:rPr>
            </w:pPr>
          </w:p>
        </w:tc>
        <w:tc>
          <w:tcPr>
            <w:tcW w:w="1214" w:type="dxa"/>
            <w:vAlign w:val="top"/>
          </w:tcPr>
          <w:p w14:paraId="202CE4A6">
            <w:pPr>
              <w:rPr>
                <w:rFonts w:ascii="Arial"/>
                <w:color w:val="auto"/>
                <w:sz w:val="21"/>
                <w:highlight w:val="none"/>
              </w:rPr>
            </w:pPr>
          </w:p>
        </w:tc>
        <w:tc>
          <w:tcPr>
            <w:tcW w:w="1222" w:type="dxa"/>
            <w:vAlign w:val="top"/>
          </w:tcPr>
          <w:p w14:paraId="66611BE2">
            <w:pPr>
              <w:rPr>
                <w:rFonts w:ascii="Arial"/>
                <w:color w:val="auto"/>
                <w:sz w:val="21"/>
                <w:highlight w:val="none"/>
              </w:rPr>
            </w:pPr>
          </w:p>
        </w:tc>
      </w:tr>
      <w:tr w14:paraId="0482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72" w:type="dxa"/>
            <w:vAlign w:val="top"/>
          </w:tcPr>
          <w:p w14:paraId="36F553FC">
            <w:pPr>
              <w:rPr>
                <w:rFonts w:ascii="Arial"/>
                <w:color w:val="auto"/>
                <w:sz w:val="21"/>
                <w:highlight w:val="none"/>
              </w:rPr>
            </w:pPr>
          </w:p>
        </w:tc>
        <w:tc>
          <w:tcPr>
            <w:tcW w:w="1664" w:type="dxa"/>
            <w:vAlign w:val="top"/>
          </w:tcPr>
          <w:p w14:paraId="033E2D49">
            <w:pPr>
              <w:rPr>
                <w:rFonts w:ascii="Arial"/>
                <w:color w:val="auto"/>
                <w:sz w:val="21"/>
                <w:highlight w:val="none"/>
              </w:rPr>
            </w:pPr>
          </w:p>
        </w:tc>
        <w:tc>
          <w:tcPr>
            <w:tcW w:w="1214" w:type="dxa"/>
            <w:vAlign w:val="top"/>
          </w:tcPr>
          <w:p w14:paraId="1896E8D1">
            <w:pPr>
              <w:rPr>
                <w:rFonts w:ascii="Arial"/>
                <w:color w:val="auto"/>
                <w:sz w:val="21"/>
                <w:highlight w:val="none"/>
              </w:rPr>
            </w:pPr>
          </w:p>
        </w:tc>
        <w:tc>
          <w:tcPr>
            <w:tcW w:w="930" w:type="dxa"/>
            <w:vAlign w:val="top"/>
          </w:tcPr>
          <w:p w14:paraId="2177DD58">
            <w:pPr>
              <w:rPr>
                <w:rFonts w:ascii="Arial"/>
                <w:color w:val="auto"/>
                <w:sz w:val="21"/>
                <w:highlight w:val="none"/>
              </w:rPr>
            </w:pPr>
          </w:p>
        </w:tc>
        <w:tc>
          <w:tcPr>
            <w:tcW w:w="1514" w:type="dxa"/>
            <w:vAlign w:val="top"/>
          </w:tcPr>
          <w:p w14:paraId="42BC1662">
            <w:pPr>
              <w:rPr>
                <w:rFonts w:ascii="Arial"/>
                <w:color w:val="auto"/>
                <w:sz w:val="21"/>
                <w:highlight w:val="none"/>
              </w:rPr>
            </w:pPr>
          </w:p>
        </w:tc>
        <w:tc>
          <w:tcPr>
            <w:tcW w:w="1214" w:type="dxa"/>
            <w:vAlign w:val="top"/>
          </w:tcPr>
          <w:p w14:paraId="096FDCE9">
            <w:pPr>
              <w:rPr>
                <w:rFonts w:ascii="Arial"/>
                <w:color w:val="auto"/>
                <w:sz w:val="21"/>
                <w:highlight w:val="none"/>
              </w:rPr>
            </w:pPr>
          </w:p>
        </w:tc>
        <w:tc>
          <w:tcPr>
            <w:tcW w:w="1222" w:type="dxa"/>
            <w:vAlign w:val="top"/>
          </w:tcPr>
          <w:p w14:paraId="591E4AFA">
            <w:pPr>
              <w:rPr>
                <w:rFonts w:ascii="Arial"/>
                <w:color w:val="auto"/>
                <w:sz w:val="21"/>
                <w:highlight w:val="none"/>
              </w:rPr>
            </w:pPr>
          </w:p>
        </w:tc>
      </w:tr>
      <w:tr w14:paraId="0F7C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772" w:type="dxa"/>
            <w:vAlign w:val="top"/>
          </w:tcPr>
          <w:p w14:paraId="67FA8F19">
            <w:pPr>
              <w:rPr>
                <w:rFonts w:ascii="Arial"/>
                <w:color w:val="auto"/>
                <w:sz w:val="21"/>
                <w:highlight w:val="none"/>
              </w:rPr>
            </w:pPr>
          </w:p>
        </w:tc>
        <w:tc>
          <w:tcPr>
            <w:tcW w:w="1664" w:type="dxa"/>
            <w:vAlign w:val="top"/>
          </w:tcPr>
          <w:p w14:paraId="0CAA8F1E">
            <w:pPr>
              <w:rPr>
                <w:rFonts w:ascii="Arial"/>
                <w:color w:val="auto"/>
                <w:sz w:val="21"/>
                <w:highlight w:val="none"/>
              </w:rPr>
            </w:pPr>
          </w:p>
        </w:tc>
        <w:tc>
          <w:tcPr>
            <w:tcW w:w="1214" w:type="dxa"/>
            <w:vAlign w:val="top"/>
          </w:tcPr>
          <w:p w14:paraId="7B47D0F4">
            <w:pPr>
              <w:rPr>
                <w:rFonts w:ascii="Arial"/>
                <w:color w:val="auto"/>
                <w:sz w:val="21"/>
                <w:highlight w:val="none"/>
              </w:rPr>
            </w:pPr>
          </w:p>
        </w:tc>
        <w:tc>
          <w:tcPr>
            <w:tcW w:w="930" w:type="dxa"/>
            <w:vAlign w:val="top"/>
          </w:tcPr>
          <w:p w14:paraId="3F2ED893">
            <w:pPr>
              <w:rPr>
                <w:rFonts w:ascii="Arial"/>
                <w:color w:val="auto"/>
                <w:sz w:val="21"/>
                <w:highlight w:val="none"/>
              </w:rPr>
            </w:pPr>
          </w:p>
        </w:tc>
        <w:tc>
          <w:tcPr>
            <w:tcW w:w="1514" w:type="dxa"/>
            <w:vAlign w:val="top"/>
          </w:tcPr>
          <w:p w14:paraId="6F2A41C9">
            <w:pPr>
              <w:rPr>
                <w:rFonts w:ascii="Arial"/>
                <w:color w:val="auto"/>
                <w:sz w:val="21"/>
                <w:highlight w:val="none"/>
              </w:rPr>
            </w:pPr>
          </w:p>
        </w:tc>
        <w:tc>
          <w:tcPr>
            <w:tcW w:w="1214" w:type="dxa"/>
            <w:vAlign w:val="top"/>
          </w:tcPr>
          <w:p w14:paraId="16F95F61">
            <w:pPr>
              <w:rPr>
                <w:rFonts w:ascii="Arial"/>
                <w:color w:val="auto"/>
                <w:sz w:val="21"/>
                <w:highlight w:val="none"/>
              </w:rPr>
            </w:pPr>
          </w:p>
        </w:tc>
        <w:tc>
          <w:tcPr>
            <w:tcW w:w="1222" w:type="dxa"/>
            <w:vAlign w:val="top"/>
          </w:tcPr>
          <w:p w14:paraId="7CACE5E5">
            <w:pPr>
              <w:rPr>
                <w:rFonts w:ascii="Arial"/>
                <w:color w:val="auto"/>
                <w:sz w:val="21"/>
                <w:highlight w:val="none"/>
              </w:rPr>
            </w:pPr>
          </w:p>
        </w:tc>
      </w:tr>
      <w:tr w14:paraId="0AA0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772" w:type="dxa"/>
            <w:vAlign w:val="top"/>
          </w:tcPr>
          <w:p w14:paraId="6AFA61C2">
            <w:pPr>
              <w:rPr>
                <w:rFonts w:ascii="Arial"/>
                <w:color w:val="auto"/>
                <w:sz w:val="21"/>
                <w:highlight w:val="none"/>
              </w:rPr>
            </w:pPr>
          </w:p>
        </w:tc>
        <w:tc>
          <w:tcPr>
            <w:tcW w:w="1664" w:type="dxa"/>
            <w:vAlign w:val="top"/>
          </w:tcPr>
          <w:p w14:paraId="0D71A783">
            <w:pPr>
              <w:rPr>
                <w:rFonts w:ascii="Arial"/>
                <w:color w:val="auto"/>
                <w:sz w:val="21"/>
                <w:highlight w:val="none"/>
              </w:rPr>
            </w:pPr>
          </w:p>
        </w:tc>
        <w:tc>
          <w:tcPr>
            <w:tcW w:w="1214" w:type="dxa"/>
            <w:vAlign w:val="top"/>
          </w:tcPr>
          <w:p w14:paraId="2592D72E">
            <w:pPr>
              <w:rPr>
                <w:rFonts w:ascii="Arial"/>
                <w:color w:val="auto"/>
                <w:sz w:val="21"/>
                <w:highlight w:val="none"/>
              </w:rPr>
            </w:pPr>
          </w:p>
        </w:tc>
        <w:tc>
          <w:tcPr>
            <w:tcW w:w="930" w:type="dxa"/>
            <w:vAlign w:val="top"/>
          </w:tcPr>
          <w:p w14:paraId="5739F418">
            <w:pPr>
              <w:rPr>
                <w:rFonts w:ascii="Arial"/>
                <w:color w:val="auto"/>
                <w:sz w:val="21"/>
                <w:highlight w:val="none"/>
              </w:rPr>
            </w:pPr>
          </w:p>
        </w:tc>
        <w:tc>
          <w:tcPr>
            <w:tcW w:w="1514" w:type="dxa"/>
            <w:vAlign w:val="top"/>
          </w:tcPr>
          <w:p w14:paraId="1C05E89B">
            <w:pPr>
              <w:rPr>
                <w:rFonts w:ascii="Arial"/>
                <w:color w:val="auto"/>
                <w:sz w:val="21"/>
                <w:highlight w:val="none"/>
              </w:rPr>
            </w:pPr>
          </w:p>
        </w:tc>
        <w:tc>
          <w:tcPr>
            <w:tcW w:w="1214" w:type="dxa"/>
            <w:vAlign w:val="top"/>
          </w:tcPr>
          <w:p w14:paraId="6FFB9AC1">
            <w:pPr>
              <w:rPr>
                <w:rFonts w:ascii="Arial"/>
                <w:color w:val="auto"/>
                <w:sz w:val="21"/>
                <w:highlight w:val="none"/>
              </w:rPr>
            </w:pPr>
          </w:p>
        </w:tc>
        <w:tc>
          <w:tcPr>
            <w:tcW w:w="1222" w:type="dxa"/>
            <w:vAlign w:val="top"/>
          </w:tcPr>
          <w:p w14:paraId="0B2BF376">
            <w:pPr>
              <w:rPr>
                <w:rFonts w:ascii="Arial"/>
                <w:color w:val="auto"/>
                <w:sz w:val="21"/>
                <w:highlight w:val="none"/>
              </w:rPr>
            </w:pPr>
          </w:p>
        </w:tc>
      </w:tr>
      <w:tr w14:paraId="2142A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772" w:type="dxa"/>
            <w:vAlign w:val="top"/>
          </w:tcPr>
          <w:p w14:paraId="0711A8BC">
            <w:pPr>
              <w:rPr>
                <w:rFonts w:ascii="Arial"/>
                <w:color w:val="auto"/>
                <w:sz w:val="21"/>
                <w:highlight w:val="none"/>
              </w:rPr>
            </w:pPr>
          </w:p>
        </w:tc>
        <w:tc>
          <w:tcPr>
            <w:tcW w:w="1664" w:type="dxa"/>
            <w:vAlign w:val="top"/>
          </w:tcPr>
          <w:p w14:paraId="751B13CE">
            <w:pPr>
              <w:rPr>
                <w:rFonts w:ascii="Arial"/>
                <w:color w:val="auto"/>
                <w:sz w:val="21"/>
                <w:highlight w:val="none"/>
              </w:rPr>
            </w:pPr>
          </w:p>
        </w:tc>
        <w:tc>
          <w:tcPr>
            <w:tcW w:w="1214" w:type="dxa"/>
            <w:vAlign w:val="top"/>
          </w:tcPr>
          <w:p w14:paraId="6274AABE">
            <w:pPr>
              <w:rPr>
                <w:rFonts w:ascii="Arial"/>
                <w:color w:val="auto"/>
                <w:sz w:val="21"/>
                <w:highlight w:val="none"/>
              </w:rPr>
            </w:pPr>
          </w:p>
        </w:tc>
        <w:tc>
          <w:tcPr>
            <w:tcW w:w="930" w:type="dxa"/>
            <w:vAlign w:val="top"/>
          </w:tcPr>
          <w:p w14:paraId="0C628042">
            <w:pPr>
              <w:rPr>
                <w:rFonts w:ascii="Arial"/>
                <w:color w:val="auto"/>
                <w:sz w:val="21"/>
                <w:highlight w:val="none"/>
              </w:rPr>
            </w:pPr>
          </w:p>
        </w:tc>
        <w:tc>
          <w:tcPr>
            <w:tcW w:w="1514" w:type="dxa"/>
            <w:vAlign w:val="top"/>
          </w:tcPr>
          <w:p w14:paraId="120195B2">
            <w:pPr>
              <w:rPr>
                <w:rFonts w:ascii="Arial"/>
                <w:color w:val="auto"/>
                <w:sz w:val="21"/>
                <w:highlight w:val="none"/>
              </w:rPr>
            </w:pPr>
          </w:p>
        </w:tc>
        <w:tc>
          <w:tcPr>
            <w:tcW w:w="1214" w:type="dxa"/>
            <w:vAlign w:val="top"/>
          </w:tcPr>
          <w:p w14:paraId="6752CA21">
            <w:pPr>
              <w:rPr>
                <w:rFonts w:ascii="Arial"/>
                <w:color w:val="auto"/>
                <w:sz w:val="21"/>
                <w:highlight w:val="none"/>
              </w:rPr>
            </w:pPr>
          </w:p>
        </w:tc>
        <w:tc>
          <w:tcPr>
            <w:tcW w:w="1222" w:type="dxa"/>
            <w:vAlign w:val="top"/>
          </w:tcPr>
          <w:p w14:paraId="0D8D5B5C">
            <w:pPr>
              <w:rPr>
                <w:rFonts w:ascii="Arial"/>
                <w:color w:val="auto"/>
                <w:sz w:val="21"/>
                <w:highlight w:val="none"/>
              </w:rPr>
            </w:pPr>
          </w:p>
        </w:tc>
      </w:tr>
      <w:tr w14:paraId="35D0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772" w:type="dxa"/>
            <w:vAlign w:val="top"/>
          </w:tcPr>
          <w:p w14:paraId="1D925FAD">
            <w:pPr>
              <w:rPr>
                <w:rFonts w:ascii="Arial"/>
                <w:color w:val="auto"/>
                <w:sz w:val="21"/>
                <w:highlight w:val="none"/>
              </w:rPr>
            </w:pPr>
          </w:p>
        </w:tc>
        <w:tc>
          <w:tcPr>
            <w:tcW w:w="1664" w:type="dxa"/>
            <w:vAlign w:val="top"/>
          </w:tcPr>
          <w:p w14:paraId="7645954B">
            <w:pPr>
              <w:rPr>
                <w:rFonts w:ascii="Arial"/>
                <w:color w:val="auto"/>
                <w:sz w:val="21"/>
                <w:highlight w:val="none"/>
              </w:rPr>
            </w:pPr>
          </w:p>
        </w:tc>
        <w:tc>
          <w:tcPr>
            <w:tcW w:w="1214" w:type="dxa"/>
            <w:vAlign w:val="top"/>
          </w:tcPr>
          <w:p w14:paraId="6B0FDC0C">
            <w:pPr>
              <w:rPr>
                <w:rFonts w:ascii="Arial"/>
                <w:color w:val="auto"/>
                <w:sz w:val="21"/>
                <w:highlight w:val="none"/>
              </w:rPr>
            </w:pPr>
          </w:p>
        </w:tc>
        <w:tc>
          <w:tcPr>
            <w:tcW w:w="930" w:type="dxa"/>
            <w:vAlign w:val="top"/>
          </w:tcPr>
          <w:p w14:paraId="6B8462E0">
            <w:pPr>
              <w:rPr>
                <w:rFonts w:ascii="Arial"/>
                <w:color w:val="auto"/>
                <w:sz w:val="21"/>
                <w:highlight w:val="none"/>
              </w:rPr>
            </w:pPr>
          </w:p>
        </w:tc>
        <w:tc>
          <w:tcPr>
            <w:tcW w:w="1514" w:type="dxa"/>
            <w:vAlign w:val="top"/>
          </w:tcPr>
          <w:p w14:paraId="067C482D">
            <w:pPr>
              <w:rPr>
                <w:rFonts w:ascii="Arial"/>
                <w:color w:val="auto"/>
                <w:sz w:val="21"/>
                <w:highlight w:val="none"/>
              </w:rPr>
            </w:pPr>
          </w:p>
        </w:tc>
        <w:tc>
          <w:tcPr>
            <w:tcW w:w="1214" w:type="dxa"/>
            <w:vAlign w:val="top"/>
          </w:tcPr>
          <w:p w14:paraId="6DF641DC">
            <w:pPr>
              <w:rPr>
                <w:rFonts w:ascii="Arial"/>
                <w:color w:val="auto"/>
                <w:sz w:val="21"/>
                <w:highlight w:val="none"/>
              </w:rPr>
            </w:pPr>
          </w:p>
        </w:tc>
        <w:tc>
          <w:tcPr>
            <w:tcW w:w="1222" w:type="dxa"/>
            <w:vAlign w:val="top"/>
          </w:tcPr>
          <w:p w14:paraId="2FD046D2">
            <w:pPr>
              <w:rPr>
                <w:rFonts w:ascii="Arial"/>
                <w:color w:val="auto"/>
                <w:sz w:val="21"/>
                <w:highlight w:val="none"/>
              </w:rPr>
            </w:pPr>
          </w:p>
        </w:tc>
      </w:tr>
    </w:tbl>
    <w:p w14:paraId="7543AEF5">
      <w:pPr>
        <w:rPr>
          <w:rFonts w:ascii="Arial"/>
          <w:color w:val="auto"/>
          <w:sz w:val="21"/>
          <w:highlight w:val="none"/>
        </w:rPr>
      </w:pPr>
    </w:p>
    <w:p w14:paraId="44C2AFBC">
      <w:pPr>
        <w:rPr>
          <w:rFonts w:ascii="Arial" w:hAnsi="Arial" w:eastAsia="Arial" w:cs="Arial"/>
          <w:color w:val="auto"/>
          <w:sz w:val="21"/>
          <w:szCs w:val="21"/>
          <w:highlight w:val="none"/>
        </w:rPr>
        <w:sectPr>
          <w:footerReference r:id="rId20" w:type="default"/>
          <w:pgSz w:w="11910" w:h="16845"/>
          <w:pgMar w:top="1431" w:right="1666" w:bottom="1022" w:left="1271" w:header="0" w:footer="862" w:gutter="0"/>
          <w:pgNumType w:fmt="decimal"/>
          <w:cols w:space="720" w:num="1"/>
        </w:sectPr>
      </w:pPr>
    </w:p>
    <w:p w14:paraId="31BCF83C">
      <w:pPr>
        <w:pStyle w:val="4"/>
        <w:spacing w:before="298" w:line="219" w:lineRule="auto"/>
        <w:ind w:left="3536"/>
        <w:rPr>
          <w:color w:val="auto"/>
          <w:sz w:val="24"/>
          <w:szCs w:val="24"/>
          <w:highlight w:val="none"/>
        </w:rPr>
      </w:pPr>
      <w:r>
        <w:rPr>
          <w:color w:val="auto"/>
          <w:spacing w:val="-2"/>
          <w:sz w:val="24"/>
          <w:szCs w:val="24"/>
          <w:highlight w:val="none"/>
          <w14:textOutline w14:w="4354" w14:cap="flat" w14:cmpd="sng">
            <w14:solidFill>
              <w14:srgbClr w14:val="000000"/>
            </w14:solidFill>
            <w14:prstDash w14:val="solid"/>
            <w14:miter w14:val="0"/>
          </w14:textOutline>
        </w:rPr>
        <w:t>（六）信誉要求查询</w:t>
      </w:r>
    </w:p>
    <w:p w14:paraId="679C31B7">
      <w:pPr>
        <w:spacing w:line="268" w:lineRule="auto"/>
        <w:rPr>
          <w:rFonts w:ascii="Arial"/>
          <w:color w:val="auto"/>
          <w:sz w:val="21"/>
          <w:highlight w:val="none"/>
        </w:rPr>
      </w:pPr>
    </w:p>
    <w:p w14:paraId="663E5787">
      <w:pPr>
        <w:spacing w:line="268" w:lineRule="auto"/>
        <w:rPr>
          <w:rFonts w:ascii="Arial"/>
          <w:color w:val="auto"/>
          <w:sz w:val="21"/>
          <w:highlight w:val="none"/>
        </w:rPr>
      </w:pPr>
    </w:p>
    <w:p w14:paraId="7342CC1C">
      <w:pPr>
        <w:spacing w:line="268" w:lineRule="auto"/>
        <w:rPr>
          <w:rFonts w:ascii="Arial"/>
          <w:color w:val="auto"/>
          <w:sz w:val="21"/>
          <w:highlight w:val="none"/>
        </w:rPr>
      </w:pPr>
    </w:p>
    <w:p w14:paraId="6380467F">
      <w:pPr>
        <w:spacing w:line="268" w:lineRule="auto"/>
        <w:rPr>
          <w:rFonts w:ascii="Arial"/>
          <w:color w:val="auto"/>
          <w:sz w:val="21"/>
          <w:highlight w:val="none"/>
        </w:rPr>
      </w:pPr>
    </w:p>
    <w:p w14:paraId="0BA4564E">
      <w:pPr>
        <w:spacing w:line="268" w:lineRule="auto"/>
        <w:rPr>
          <w:rFonts w:ascii="Arial"/>
          <w:color w:val="auto"/>
          <w:sz w:val="21"/>
          <w:highlight w:val="none"/>
        </w:rPr>
      </w:pPr>
    </w:p>
    <w:p w14:paraId="72611133">
      <w:pPr>
        <w:spacing w:line="268" w:lineRule="auto"/>
        <w:rPr>
          <w:rFonts w:ascii="Arial"/>
          <w:color w:val="auto"/>
          <w:sz w:val="21"/>
          <w:highlight w:val="none"/>
        </w:rPr>
      </w:pPr>
    </w:p>
    <w:p w14:paraId="4FA87CEC">
      <w:pPr>
        <w:spacing w:line="268" w:lineRule="auto"/>
        <w:rPr>
          <w:rFonts w:ascii="Arial"/>
          <w:color w:val="auto"/>
          <w:sz w:val="21"/>
          <w:highlight w:val="none"/>
        </w:rPr>
      </w:pPr>
    </w:p>
    <w:p w14:paraId="4E20CD52">
      <w:pPr>
        <w:spacing w:line="268" w:lineRule="auto"/>
        <w:rPr>
          <w:rFonts w:ascii="Arial"/>
          <w:color w:val="auto"/>
          <w:sz w:val="21"/>
          <w:highlight w:val="none"/>
        </w:rPr>
      </w:pPr>
    </w:p>
    <w:p w14:paraId="35E9A8B7">
      <w:pPr>
        <w:pStyle w:val="4"/>
        <w:spacing w:before="57" w:line="222" w:lineRule="auto"/>
        <w:ind w:left="3958"/>
        <w:outlineLvl w:val="1"/>
        <w:rPr>
          <w:color w:val="auto"/>
          <w:highlight w:val="none"/>
        </w:rPr>
      </w:pPr>
      <w:bookmarkStart w:id="91" w:name="_Toc32369"/>
      <w:r>
        <w:rPr>
          <w:color w:val="auto"/>
          <w:spacing w:val="-6"/>
          <w:highlight w:val="none"/>
          <w14:textOutline w14:w="5170" w14:cap="flat" w14:cmpd="sng">
            <w14:solidFill>
              <w14:srgbClr w14:val="000000"/>
            </w14:solidFill>
            <w14:prstDash w14:val="solid"/>
            <w14:miter w14:val="0"/>
          </w14:textOutline>
        </w:rPr>
        <w:t>四、承诺书</w:t>
      </w:r>
      <w:bookmarkEnd w:id="91"/>
    </w:p>
    <w:p w14:paraId="2D658857">
      <w:pPr>
        <w:pStyle w:val="4"/>
        <w:spacing w:before="271" w:line="219" w:lineRule="auto"/>
        <w:ind w:left="3661"/>
        <w:outlineLvl w:val="2"/>
        <w:rPr>
          <w:color w:val="auto"/>
          <w:sz w:val="24"/>
          <w:szCs w:val="24"/>
          <w:highlight w:val="none"/>
        </w:rPr>
      </w:pPr>
      <w:bookmarkStart w:id="92" w:name="_Toc12316"/>
      <w:r>
        <w:rPr>
          <w:color w:val="auto"/>
          <w:spacing w:val="-6"/>
          <w:sz w:val="24"/>
          <w:szCs w:val="24"/>
          <w:highlight w:val="none"/>
          <w14:textOutline w14:w="4354" w14:cap="flat" w14:cmpd="sng">
            <w14:solidFill>
              <w14:srgbClr w14:val="000000"/>
            </w14:solidFill>
            <w14:prstDash w14:val="solid"/>
            <w14:miter w14:val="0"/>
          </w14:textOutline>
        </w:rPr>
        <w:t>1、信誉承诺书</w:t>
      </w:r>
      <w:bookmarkEnd w:id="92"/>
    </w:p>
    <w:p w14:paraId="7827E0E9">
      <w:pPr>
        <w:spacing w:line="346" w:lineRule="auto"/>
        <w:rPr>
          <w:rFonts w:ascii="Arial"/>
          <w:color w:val="auto"/>
          <w:sz w:val="21"/>
          <w:highlight w:val="none"/>
        </w:rPr>
      </w:pPr>
    </w:p>
    <w:p w14:paraId="77661289">
      <w:pPr>
        <w:tabs>
          <w:tab w:val="left" w:pos="1996"/>
        </w:tabs>
        <w:spacing w:before="68" w:line="220" w:lineRule="auto"/>
        <w:rPr>
          <w:rFonts w:ascii="新宋体" w:hAnsi="新宋体" w:eastAsia="新宋体" w:cs="新宋体"/>
          <w:color w:val="auto"/>
          <w:sz w:val="21"/>
          <w:szCs w:val="21"/>
          <w:highlight w:val="none"/>
        </w:rPr>
      </w:pPr>
      <w:r>
        <w:rPr>
          <w:rFonts w:ascii="新宋体" w:hAnsi="新宋体" w:eastAsia="新宋体" w:cs="新宋体"/>
          <w:color w:val="auto"/>
          <w:sz w:val="21"/>
          <w:szCs w:val="21"/>
          <w:highlight w:val="none"/>
          <w:u w:val="single" w:color="auto"/>
        </w:rPr>
        <w:tab/>
      </w:r>
      <w:r>
        <w:rPr>
          <w:rFonts w:ascii="新宋体" w:hAnsi="新宋体" w:eastAsia="新宋体" w:cs="新宋体"/>
          <w:color w:val="auto"/>
          <w:spacing w:val="16"/>
          <w:sz w:val="21"/>
          <w:szCs w:val="21"/>
          <w:highlight w:val="none"/>
        </w:rPr>
        <w:t xml:space="preserve"> </w:t>
      </w:r>
      <w:r>
        <w:rPr>
          <w:rFonts w:ascii="新宋体" w:hAnsi="新宋体" w:eastAsia="新宋体" w:cs="新宋体"/>
          <w:color w:val="auto"/>
          <w:spacing w:val="-21"/>
          <w:sz w:val="21"/>
          <w:szCs w:val="21"/>
          <w:highlight w:val="none"/>
        </w:rPr>
        <w:t>（招标人名称</w:t>
      </w:r>
      <w:r>
        <w:rPr>
          <w:rFonts w:ascii="新宋体" w:hAnsi="新宋体" w:eastAsia="新宋体" w:cs="新宋体"/>
          <w:color w:val="auto"/>
          <w:spacing w:val="-10"/>
          <w:sz w:val="21"/>
          <w:szCs w:val="21"/>
          <w:highlight w:val="none"/>
        </w:rPr>
        <w:t>）：</w:t>
      </w:r>
    </w:p>
    <w:p w14:paraId="7EE27714">
      <w:pPr>
        <w:pStyle w:val="4"/>
        <w:tabs>
          <w:tab w:val="left" w:pos="630"/>
        </w:tabs>
        <w:spacing w:before="275" w:line="363" w:lineRule="auto"/>
        <w:ind w:firstLine="745"/>
        <w:jc w:val="both"/>
        <w:rPr>
          <w:rFonts w:ascii="新宋体" w:hAnsi="新宋体" w:eastAsia="新宋体" w:cs="新宋体"/>
          <w:color w:val="auto"/>
          <w:sz w:val="21"/>
          <w:szCs w:val="21"/>
          <w:highlight w:val="none"/>
        </w:rPr>
      </w:pPr>
      <w:r>
        <w:rPr>
          <w:rFonts w:ascii="新宋体" w:hAnsi="新宋体" w:eastAsia="新宋体" w:cs="新宋体"/>
          <w:color w:val="auto"/>
          <w:spacing w:val="-6"/>
          <w:sz w:val="21"/>
          <w:szCs w:val="21"/>
          <w:highlight w:val="none"/>
        </w:rPr>
        <w:t>我方在此承诺，我方信誉良好，现阶段没有处于被责令停产、停业，</w:t>
      </w:r>
      <w:r>
        <w:rPr>
          <w:rFonts w:ascii="新宋体" w:hAnsi="新宋体" w:eastAsia="新宋体" w:cs="新宋体"/>
          <w:color w:val="auto"/>
          <w:spacing w:val="54"/>
          <w:sz w:val="21"/>
          <w:szCs w:val="21"/>
          <w:highlight w:val="none"/>
        </w:rPr>
        <w:t xml:space="preserve"> </w:t>
      </w:r>
      <w:r>
        <w:rPr>
          <w:rFonts w:ascii="新宋体" w:hAnsi="新宋体" w:eastAsia="新宋体" w:cs="新宋体"/>
          <w:color w:val="auto"/>
          <w:spacing w:val="-6"/>
          <w:sz w:val="21"/>
          <w:szCs w:val="21"/>
          <w:highlight w:val="none"/>
        </w:rPr>
        <w:t>或者投标资格被取消，自</w:t>
      </w:r>
      <w:r>
        <w:rPr>
          <w:rFonts w:ascii="新宋体" w:hAnsi="新宋体" w:eastAsia="新宋体" w:cs="新宋体"/>
          <w:color w:val="auto"/>
          <w:sz w:val="21"/>
          <w:szCs w:val="21"/>
          <w:highlight w:val="none"/>
        </w:rPr>
        <w:t xml:space="preserve"> </w:t>
      </w:r>
      <w:r>
        <w:rPr>
          <w:rFonts w:ascii="新宋体" w:hAnsi="新宋体" w:eastAsia="新宋体" w:cs="新宋体"/>
          <w:color w:val="auto"/>
          <w:sz w:val="21"/>
          <w:szCs w:val="21"/>
          <w:highlight w:val="none"/>
          <w:u w:val="single" w:color="auto"/>
        </w:rPr>
        <w:tab/>
      </w:r>
      <w:r>
        <w:rPr>
          <w:rFonts w:ascii="新宋体" w:hAnsi="新宋体" w:eastAsia="新宋体" w:cs="新宋体"/>
          <w:color w:val="auto"/>
          <w:spacing w:val="-95"/>
          <w:sz w:val="21"/>
          <w:szCs w:val="21"/>
          <w:highlight w:val="none"/>
        </w:rPr>
        <w:t xml:space="preserve"> </w:t>
      </w:r>
      <w:r>
        <w:rPr>
          <w:rFonts w:ascii="新宋体" w:hAnsi="新宋体" w:eastAsia="新宋体" w:cs="新宋体"/>
          <w:color w:val="auto"/>
          <w:spacing w:val="-2"/>
          <w:sz w:val="21"/>
          <w:szCs w:val="21"/>
          <w:highlight w:val="none"/>
        </w:rPr>
        <w:t>年</w:t>
      </w:r>
      <w:r>
        <w:rPr>
          <w:rFonts w:ascii="新宋体" w:hAnsi="新宋体" w:eastAsia="新宋体" w:cs="新宋体"/>
          <w:color w:val="auto"/>
          <w:spacing w:val="-21"/>
          <w:sz w:val="21"/>
          <w:szCs w:val="21"/>
          <w:highlight w:val="none"/>
        </w:rPr>
        <w:t xml:space="preserve"> </w:t>
      </w:r>
      <w:r>
        <w:rPr>
          <w:rFonts w:ascii="新宋体" w:hAnsi="新宋体" w:eastAsia="新宋体" w:cs="新宋体"/>
          <w:color w:val="auto"/>
          <w:spacing w:val="-2"/>
          <w:sz w:val="21"/>
          <w:szCs w:val="21"/>
          <w:highlight w:val="none"/>
        </w:rPr>
        <w:t>1</w:t>
      </w:r>
      <w:r>
        <w:rPr>
          <w:rFonts w:ascii="新宋体" w:hAnsi="新宋体" w:eastAsia="新宋体" w:cs="新宋体"/>
          <w:color w:val="auto"/>
          <w:spacing w:val="-31"/>
          <w:sz w:val="21"/>
          <w:szCs w:val="21"/>
          <w:highlight w:val="none"/>
        </w:rPr>
        <w:t xml:space="preserve"> </w:t>
      </w:r>
      <w:r>
        <w:rPr>
          <w:rFonts w:ascii="新宋体" w:hAnsi="新宋体" w:eastAsia="新宋体" w:cs="新宋体"/>
          <w:color w:val="auto"/>
          <w:spacing w:val="-2"/>
          <w:sz w:val="21"/>
          <w:szCs w:val="21"/>
          <w:highlight w:val="none"/>
        </w:rPr>
        <w:t>月</w:t>
      </w:r>
      <w:r>
        <w:rPr>
          <w:rFonts w:ascii="新宋体" w:hAnsi="新宋体" w:eastAsia="新宋体" w:cs="新宋体"/>
          <w:color w:val="auto"/>
          <w:spacing w:val="-36"/>
          <w:sz w:val="21"/>
          <w:szCs w:val="21"/>
          <w:highlight w:val="none"/>
        </w:rPr>
        <w:t xml:space="preserve"> </w:t>
      </w:r>
      <w:r>
        <w:rPr>
          <w:rFonts w:ascii="新宋体" w:hAnsi="新宋体" w:eastAsia="新宋体" w:cs="新宋体"/>
          <w:color w:val="auto"/>
          <w:spacing w:val="-2"/>
          <w:sz w:val="21"/>
          <w:szCs w:val="21"/>
          <w:highlight w:val="none"/>
        </w:rPr>
        <w:t>1 日以来没有骗取中标或者严重违约或者</w:t>
      </w:r>
      <w:r>
        <w:rPr>
          <w:rFonts w:ascii="新宋体" w:hAnsi="新宋体" w:eastAsia="新宋体" w:cs="新宋体"/>
          <w:color w:val="auto"/>
          <w:spacing w:val="-3"/>
          <w:sz w:val="21"/>
          <w:szCs w:val="21"/>
          <w:highlight w:val="none"/>
        </w:rPr>
        <w:t>重大工程质量安全生产事故等问题</w:t>
      </w:r>
      <w:r>
        <w:rPr>
          <w:color w:val="auto"/>
          <w:spacing w:val="-3"/>
          <w:sz w:val="21"/>
          <w:szCs w:val="21"/>
          <w:highlight w:val="none"/>
        </w:rPr>
        <w:t>；</w:t>
      </w:r>
      <w:r>
        <w:rPr>
          <w:rFonts w:ascii="新宋体" w:hAnsi="新宋体" w:eastAsia="新宋体" w:cs="新宋体"/>
          <w:color w:val="auto"/>
          <w:spacing w:val="-3"/>
          <w:sz w:val="21"/>
          <w:szCs w:val="21"/>
          <w:highlight w:val="none"/>
        </w:rPr>
        <w:t>我方承诺</w:t>
      </w:r>
    </w:p>
    <w:p w14:paraId="14478897">
      <w:pPr>
        <w:spacing w:line="219" w:lineRule="auto"/>
        <w:ind w:left="9"/>
        <w:rPr>
          <w:rFonts w:ascii="新宋体" w:hAnsi="新宋体" w:eastAsia="新宋体" w:cs="新宋体"/>
          <w:color w:val="auto"/>
          <w:sz w:val="21"/>
          <w:szCs w:val="21"/>
          <w:highlight w:val="none"/>
        </w:rPr>
      </w:pPr>
      <w:r>
        <w:rPr>
          <w:rFonts w:ascii="新宋体" w:hAnsi="新宋体" w:eastAsia="新宋体" w:cs="新宋体"/>
          <w:color w:val="auto"/>
          <w:spacing w:val="-6"/>
          <w:sz w:val="21"/>
          <w:szCs w:val="21"/>
          <w:highlight w:val="none"/>
        </w:rPr>
        <w:t>上述信息的真实和准确，</w:t>
      </w:r>
      <w:r>
        <w:rPr>
          <w:rFonts w:ascii="新宋体" w:hAnsi="新宋体" w:eastAsia="新宋体" w:cs="新宋体"/>
          <w:color w:val="auto"/>
          <w:spacing w:val="59"/>
          <w:sz w:val="21"/>
          <w:szCs w:val="21"/>
          <w:highlight w:val="none"/>
        </w:rPr>
        <w:t xml:space="preserve"> </w:t>
      </w:r>
      <w:r>
        <w:rPr>
          <w:rFonts w:ascii="新宋体" w:hAnsi="新宋体" w:eastAsia="新宋体" w:cs="新宋体"/>
          <w:color w:val="auto"/>
          <w:spacing w:val="-6"/>
          <w:sz w:val="21"/>
          <w:szCs w:val="21"/>
          <w:highlight w:val="none"/>
        </w:rPr>
        <w:t>一经发现我方愿意无条件自动放弃中</w:t>
      </w:r>
      <w:r>
        <w:rPr>
          <w:rFonts w:ascii="新宋体" w:hAnsi="新宋体" w:eastAsia="新宋体" w:cs="新宋体"/>
          <w:color w:val="auto"/>
          <w:spacing w:val="-7"/>
          <w:sz w:val="21"/>
          <w:szCs w:val="21"/>
          <w:highlight w:val="none"/>
        </w:rPr>
        <w:t>标资格。</w:t>
      </w:r>
    </w:p>
    <w:p w14:paraId="7925529D">
      <w:pPr>
        <w:spacing w:before="155" w:line="220" w:lineRule="auto"/>
        <w:ind w:left="428"/>
        <w:rPr>
          <w:rFonts w:ascii="新宋体" w:hAnsi="新宋体" w:eastAsia="新宋体" w:cs="新宋体"/>
          <w:color w:val="auto"/>
          <w:sz w:val="21"/>
          <w:szCs w:val="21"/>
          <w:highlight w:val="none"/>
        </w:rPr>
      </w:pPr>
      <w:r>
        <w:rPr>
          <w:rFonts w:ascii="新宋体" w:hAnsi="新宋体" w:eastAsia="新宋体" w:cs="新宋体"/>
          <w:color w:val="auto"/>
          <w:spacing w:val="-2"/>
          <w:sz w:val="21"/>
          <w:szCs w:val="21"/>
          <w:highlight w:val="none"/>
        </w:rPr>
        <w:t>特此承诺！</w:t>
      </w:r>
    </w:p>
    <w:p w14:paraId="00EC671B">
      <w:pPr>
        <w:pStyle w:val="4"/>
        <w:spacing w:before="305" w:line="390" w:lineRule="auto"/>
        <w:ind w:left="4319" w:right="18" w:firstLine="1"/>
        <w:jc w:val="right"/>
        <w:rPr>
          <w:color w:val="auto"/>
          <w:sz w:val="21"/>
          <w:szCs w:val="21"/>
          <w:highlight w:val="none"/>
        </w:rPr>
      </w:pPr>
      <w:r>
        <w:rPr>
          <w:color w:val="auto"/>
          <w:spacing w:val="-11"/>
          <w:sz w:val="21"/>
          <w:szCs w:val="21"/>
          <w:highlight w:val="none"/>
        </w:rPr>
        <w:t xml:space="preserve">投标人： </w:t>
      </w:r>
      <w:r>
        <w:rPr>
          <w:color w:val="auto"/>
          <w:spacing w:val="-11"/>
          <w:sz w:val="21"/>
          <w:szCs w:val="21"/>
          <w:highlight w:val="none"/>
          <w:u w:val="single" w:color="auto"/>
        </w:rPr>
        <w:t xml:space="preserve">                                </w:t>
      </w:r>
      <w:r>
        <w:rPr>
          <w:color w:val="auto"/>
          <w:spacing w:val="-58"/>
          <w:sz w:val="21"/>
          <w:szCs w:val="21"/>
          <w:highlight w:val="none"/>
        </w:rPr>
        <w:t xml:space="preserve"> </w:t>
      </w:r>
      <w:r>
        <w:rPr>
          <w:color w:val="auto"/>
          <w:spacing w:val="-11"/>
          <w:sz w:val="21"/>
          <w:szCs w:val="21"/>
          <w:highlight w:val="none"/>
        </w:rPr>
        <w:t>(电子签章)</w:t>
      </w:r>
      <w:r>
        <w:rPr>
          <w:color w:val="auto"/>
          <w:sz w:val="21"/>
          <w:szCs w:val="21"/>
          <w:highlight w:val="none"/>
        </w:rPr>
        <w:t xml:space="preserve"> </w:t>
      </w:r>
    </w:p>
    <w:p w14:paraId="1B951349">
      <w:pPr>
        <w:pStyle w:val="4"/>
        <w:spacing w:before="305" w:line="390" w:lineRule="auto"/>
        <w:ind w:left="4319" w:right="18" w:firstLine="1"/>
        <w:jc w:val="right"/>
        <w:rPr>
          <w:color w:val="auto"/>
          <w:sz w:val="21"/>
          <w:szCs w:val="21"/>
          <w:highlight w:val="none"/>
        </w:rPr>
      </w:pPr>
      <w:r>
        <w:rPr>
          <w:color w:val="auto"/>
          <w:spacing w:val="-17"/>
          <w:sz w:val="21"/>
          <w:szCs w:val="21"/>
          <w:highlight w:val="none"/>
        </w:rPr>
        <w:t>法定代表人：</w:t>
      </w:r>
      <w:r>
        <w:rPr>
          <w:color w:val="auto"/>
          <w:spacing w:val="47"/>
          <w:sz w:val="21"/>
          <w:szCs w:val="21"/>
          <w:highlight w:val="none"/>
        </w:rPr>
        <w:t xml:space="preserve"> </w:t>
      </w:r>
      <w:r>
        <w:rPr>
          <w:color w:val="auto"/>
          <w:sz w:val="21"/>
          <w:szCs w:val="21"/>
          <w:highlight w:val="none"/>
          <w:u w:val="single" w:color="auto"/>
        </w:rPr>
        <w:t xml:space="preserve">                         </w:t>
      </w:r>
      <w:r>
        <w:rPr>
          <w:color w:val="auto"/>
          <w:spacing w:val="-58"/>
          <w:sz w:val="21"/>
          <w:szCs w:val="21"/>
          <w:highlight w:val="none"/>
        </w:rPr>
        <w:t xml:space="preserve"> </w:t>
      </w:r>
      <w:r>
        <w:rPr>
          <w:color w:val="auto"/>
          <w:spacing w:val="-17"/>
          <w:sz w:val="21"/>
          <w:szCs w:val="21"/>
          <w:highlight w:val="none"/>
        </w:rPr>
        <w:t>(电子签章)</w:t>
      </w:r>
    </w:p>
    <w:p w14:paraId="254CE5B0">
      <w:pPr>
        <w:pStyle w:val="4"/>
        <w:tabs>
          <w:tab w:val="left" w:pos="6939"/>
        </w:tabs>
        <w:spacing w:line="219" w:lineRule="auto"/>
        <w:ind w:left="5887"/>
        <w:rPr>
          <w:color w:val="auto"/>
          <w:sz w:val="21"/>
          <w:szCs w:val="21"/>
          <w:highlight w:val="none"/>
        </w:rPr>
      </w:pPr>
      <w:r>
        <w:rPr>
          <w:color w:val="auto"/>
          <w:sz w:val="21"/>
          <w:szCs w:val="21"/>
          <w:highlight w:val="none"/>
          <w:u w:val="single" w:color="auto"/>
        </w:rPr>
        <w:tab/>
      </w:r>
      <w:r>
        <w:rPr>
          <w:color w:val="auto"/>
          <w:spacing w:val="-95"/>
          <w:sz w:val="21"/>
          <w:szCs w:val="21"/>
          <w:highlight w:val="none"/>
        </w:rPr>
        <w:t xml:space="preserve"> </w:t>
      </w:r>
      <w:r>
        <w:rPr>
          <w:color w:val="auto"/>
          <w:spacing w:val="-23"/>
          <w:sz w:val="21"/>
          <w:szCs w:val="21"/>
          <w:highlight w:val="none"/>
        </w:rPr>
        <w:t>年</w:t>
      </w:r>
      <w:r>
        <w:rPr>
          <w:color w:val="auto"/>
          <w:sz w:val="21"/>
          <w:szCs w:val="21"/>
          <w:highlight w:val="none"/>
          <w:u w:val="single" w:color="auto"/>
        </w:rPr>
        <w:t xml:space="preserve">        </w:t>
      </w:r>
      <w:r>
        <w:rPr>
          <w:color w:val="auto"/>
          <w:spacing w:val="-91"/>
          <w:sz w:val="21"/>
          <w:szCs w:val="21"/>
          <w:highlight w:val="none"/>
        </w:rPr>
        <w:t xml:space="preserve"> </w:t>
      </w:r>
      <w:r>
        <w:rPr>
          <w:color w:val="auto"/>
          <w:spacing w:val="-23"/>
          <w:sz w:val="21"/>
          <w:szCs w:val="21"/>
          <w:highlight w:val="none"/>
        </w:rPr>
        <w:t>月</w:t>
      </w:r>
      <w:r>
        <w:rPr>
          <w:color w:val="auto"/>
          <w:spacing w:val="-104"/>
          <w:sz w:val="21"/>
          <w:szCs w:val="21"/>
          <w:highlight w:val="none"/>
        </w:rPr>
        <w:t xml:space="preserve"> </w:t>
      </w:r>
      <w:r>
        <w:rPr>
          <w:color w:val="auto"/>
          <w:sz w:val="21"/>
          <w:szCs w:val="21"/>
          <w:highlight w:val="none"/>
          <w:u w:val="single" w:color="auto"/>
        </w:rPr>
        <w:t xml:space="preserve">        </w:t>
      </w:r>
      <w:r>
        <w:rPr>
          <w:color w:val="auto"/>
          <w:spacing w:val="-60"/>
          <w:sz w:val="21"/>
          <w:szCs w:val="21"/>
          <w:highlight w:val="none"/>
        </w:rPr>
        <w:t xml:space="preserve"> </w:t>
      </w:r>
      <w:r>
        <w:rPr>
          <w:color w:val="auto"/>
          <w:spacing w:val="-23"/>
          <w:sz w:val="21"/>
          <w:szCs w:val="21"/>
          <w:highlight w:val="none"/>
        </w:rPr>
        <w:t>日</w:t>
      </w:r>
    </w:p>
    <w:p w14:paraId="3B9C4268">
      <w:pPr>
        <w:spacing w:line="263" w:lineRule="auto"/>
        <w:rPr>
          <w:rFonts w:ascii="Arial"/>
          <w:color w:val="auto"/>
          <w:sz w:val="21"/>
          <w:highlight w:val="none"/>
        </w:rPr>
      </w:pPr>
    </w:p>
    <w:p w14:paraId="524C7228">
      <w:pPr>
        <w:spacing w:line="263" w:lineRule="auto"/>
        <w:rPr>
          <w:rFonts w:ascii="Arial"/>
          <w:color w:val="auto"/>
          <w:sz w:val="21"/>
          <w:highlight w:val="none"/>
        </w:rPr>
      </w:pPr>
    </w:p>
    <w:p w14:paraId="2063F9AF">
      <w:pPr>
        <w:spacing w:line="263" w:lineRule="auto"/>
        <w:rPr>
          <w:rFonts w:ascii="Arial"/>
          <w:color w:val="auto"/>
          <w:sz w:val="21"/>
          <w:highlight w:val="none"/>
        </w:rPr>
      </w:pPr>
    </w:p>
    <w:p w14:paraId="5E554D12">
      <w:pPr>
        <w:spacing w:line="263" w:lineRule="auto"/>
        <w:rPr>
          <w:rFonts w:ascii="Arial"/>
          <w:color w:val="auto"/>
          <w:sz w:val="21"/>
          <w:highlight w:val="none"/>
        </w:rPr>
      </w:pPr>
    </w:p>
    <w:p w14:paraId="1AD0A79B">
      <w:pPr>
        <w:spacing w:line="263" w:lineRule="auto"/>
        <w:rPr>
          <w:rFonts w:ascii="Arial"/>
          <w:color w:val="auto"/>
          <w:sz w:val="21"/>
          <w:highlight w:val="none"/>
        </w:rPr>
      </w:pPr>
    </w:p>
    <w:p w14:paraId="13BBFCE1">
      <w:pPr>
        <w:spacing w:line="263" w:lineRule="auto"/>
        <w:rPr>
          <w:rFonts w:ascii="Arial"/>
          <w:color w:val="auto"/>
          <w:sz w:val="21"/>
          <w:highlight w:val="none"/>
        </w:rPr>
      </w:pPr>
    </w:p>
    <w:p w14:paraId="186C2894">
      <w:pPr>
        <w:spacing w:line="263" w:lineRule="auto"/>
        <w:rPr>
          <w:rFonts w:ascii="Arial"/>
          <w:color w:val="auto"/>
          <w:sz w:val="21"/>
          <w:highlight w:val="none"/>
        </w:rPr>
      </w:pPr>
    </w:p>
    <w:p w14:paraId="3E2003D8">
      <w:pPr>
        <w:spacing w:line="264" w:lineRule="auto"/>
        <w:rPr>
          <w:rFonts w:ascii="Arial"/>
          <w:color w:val="auto"/>
          <w:sz w:val="21"/>
          <w:highlight w:val="none"/>
        </w:rPr>
      </w:pPr>
    </w:p>
    <w:p w14:paraId="3C43F104">
      <w:pPr>
        <w:spacing w:line="264" w:lineRule="auto"/>
        <w:rPr>
          <w:rFonts w:ascii="Arial"/>
          <w:color w:val="auto"/>
          <w:sz w:val="21"/>
          <w:highlight w:val="none"/>
        </w:rPr>
      </w:pPr>
    </w:p>
    <w:p w14:paraId="588A5B79">
      <w:pPr>
        <w:pStyle w:val="4"/>
        <w:spacing w:before="69" w:line="219" w:lineRule="auto"/>
        <w:ind w:left="1717"/>
        <w:outlineLvl w:val="2"/>
        <w:rPr>
          <w:color w:val="auto"/>
          <w:sz w:val="21"/>
          <w:szCs w:val="21"/>
          <w:highlight w:val="none"/>
        </w:rPr>
      </w:pPr>
      <w:bookmarkStart w:id="93" w:name="_Toc25463"/>
      <w:r>
        <w:rPr>
          <w:rFonts w:ascii="Times New Roman" w:hAnsi="Times New Roman" w:eastAsia="Times New Roman" w:cs="Times New Roman"/>
          <w:b/>
          <w:bCs/>
          <w:color w:val="auto"/>
          <w:spacing w:val="1"/>
          <w:sz w:val="21"/>
          <w:szCs w:val="21"/>
          <w:highlight w:val="none"/>
        </w:rPr>
        <w:t>2</w:t>
      </w:r>
      <w:r>
        <w:rPr>
          <w:color w:val="auto"/>
          <w:spacing w:val="1"/>
          <w:sz w:val="21"/>
          <w:szCs w:val="21"/>
          <w:highlight w:val="none"/>
          <w14:textOutline w14:w="3810" w14:cap="flat" w14:cmpd="sng">
            <w14:solidFill>
              <w14:srgbClr w14:val="000000"/>
            </w14:solidFill>
            <w14:prstDash w14:val="solid"/>
            <w14:miter w14:val="0"/>
          </w14:textOutline>
        </w:rPr>
        <w:t>、全省房屋建筑和市政基础设施工程项目招标投</w:t>
      </w:r>
      <w:r>
        <w:rPr>
          <w:color w:val="auto"/>
          <w:sz w:val="21"/>
          <w:szCs w:val="21"/>
          <w:highlight w:val="none"/>
          <w14:textOutline w14:w="3810" w14:cap="flat" w14:cmpd="sng">
            <w14:solidFill>
              <w14:srgbClr w14:val="000000"/>
            </w14:solidFill>
            <w14:prstDash w14:val="solid"/>
            <w14:miter w14:val="0"/>
          </w14:textOutline>
        </w:rPr>
        <w:t>标活动承诺书</w:t>
      </w:r>
      <w:bookmarkEnd w:id="93"/>
    </w:p>
    <w:p w14:paraId="34F5671F">
      <w:pPr>
        <w:spacing w:line="267" w:lineRule="auto"/>
        <w:rPr>
          <w:rFonts w:ascii="Arial"/>
          <w:color w:val="auto"/>
          <w:sz w:val="21"/>
          <w:highlight w:val="none"/>
        </w:rPr>
      </w:pPr>
    </w:p>
    <w:p w14:paraId="628AE778">
      <w:pPr>
        <w:pStyle w:val="4"/>
        <w:spacing w:before="68" w:line="515" w:lineRule="auto"/>
        <w:ind w:right="13"/>
        <w:jc w:val="right"/>
        <w:rPr>
          <w:color w:val="auto"/>
          <w:sz w:val="21"/>
          <w:szCs w:val="21"/>
          <w:highlight w:val="none"/>
        </w:rPr>
      </w:pPr>
      <w:r>
        <w:rPr>
          <w:color w:val="auto"/>
          <w:sz w:val="21"/>
          <w:szCs w:val="21"/>
          <w:highlight w:val="none"/>
        </w:rPr>
        <w:t>我单位承诺，在</w:t>
      </w:r>
      <w:r>
        <w:rPr>
          <w:color w:val="auto"/>
          <w:sz w:val="21"/>
          <w:szCs w:val="21"/>
          <w:highlight w:val="none"/>
          <w:u w:val="single" w:color="auto"/>
        </w:rPr>
        <w:t xml:space="preserve">                        </w:t>
      </w:r>
      <w:r>
        <w:rPr>
          <w:color w:val="auto"/>
          <w:spacing w:val="-94"/>
          <w:sz w:val="21"/>
          <w:szCs w:val="21"/>
          <w:highlight w:val="none"/>
        </w:rPr>
        <w:t xml:space="preserve"> </w:t>
      </w:r>
      <w:r>
        <w:rPr>
          <w:color w:val="auto"/>
          <w:sz w:val="21"/>
          <w:szCs w:val="21"/>
          <w:highlight w:val="none"/>
        </w:rPr>
        <w:t>项目招投标活动中，自觉遵守《中</w:t>
      </w:r>
      <w:r>
        <w:rPr>
          <w:color w:val="auto"/>
          <w:spacing w:val="-1"/>
          <w:sz w:val="21"/>
          <w:szCs w:val="21"/>
          <w:highlight w:val="none"/>
        </w:rPr>
        <w:t>华人民共和国招</w:t>
      </w:r>
    </w:p>
    <w:p w14:paraId="4F0EA30D">
      <w:pPr>
        <w:pStyle w:val="4"/>
        <w:spacing w:line="219" w:lineRule="auto"/>
        <w:ind w:left="9"/>
        <w:rPr>
          <w:color w:val="auto"/>
          <w:sz w:val="21"/>
          <w:szCs w:val="21"/>
          <w:highlight w:val="none"/>
        </w:rPr>
      </w:pPr>
      <w:r>
        <w:rPr>
          <w:color w:val="auto"/>
          <w:sz w:val="21"/>
          <w:szCs w:val="21"/>
          <w:highlight w:val="none"/>
        </w:rPr>
        <w:t>标投标法》、《中华人民共和国招标投标法实施条例》、河南省实施《中华人民共和国招标投标法》</w:t>
      </w:r>
    </w:p>
    <w:p w14:paraId="02F03565">
      <w:pPr>
        <w:spacing w:line="265" w:lineRule="auto"/>
        <w:rPr>
          <w:rFonts w:ascii="Arial"/>
          <w:color w:val="auto"/>
          <w:sz w:val="21"/>
          <w:highlight w:val="none"/>
        </w:rPr>
      </w:pPr>
    </w:p>
    <w:p w14:paraId="2E62605B">
      <w:pPr>
        <w:pStyle w:val="4"/>
        <w:spacing w:before="69" w:line="220" w:lineRule="auto"/>
        <w:ind w:left="12"/>
        <w:rPr>
          <w:color w:val="auto"/>
          <w:sz w:val="21"/>
          <w:szCs w:val="21"/>
          <w:highlight w:val="none"/>
        </w:rPr>
      </w:pPr>
      <w:r>
        <w:rPr>
          <w:color w:val="auto"/>
          <w:spacing w:val="-1"/>
          <w:sz w:val="21"/>
          <w:szCs w:val="21"/>
          <w:highlight w:val="none"/>
        </w:rPr>
        <w:t>办法等招标投标相关法律、法规和制度规定，如有违反，愿承担相关法律责任。</w:t>
      </w:r>
    </w:p>
    <w:p w14:paraId="4F41BC7A">
      <w:pPr>
        <w:pStyle w:val="4"/>
        <w:spacing w:before="169" w:line="390" w:lineRule="auto"/>
        <w:ind w:left="4319" w:right="18" w:firstLine="1"/>
        <w:jc w:val="right"/>
        <w:rPr>
          <w:color w:val="auto"/>
          <w:sz w:val="21"/>
          <w:szCs w:val="21"/>
          <w:highlight w:val="none"/>
        </w:rPr>
      </w:pPr>
      <w:r>
        <w:rPr>
          <w:color w:val="auto"/>
          <w:spacing w:val="-11"/>
          <w:sz w:val="21"/>
          <w:szCs w:val="21"/>
          <w:highlight w:val="none"/>
        </w:rPr>
        <w:t xml:space="preserve">投标人： </w:t>
      </w:r>
      <w:r>
        <w:rPr>
          <w:color w:val="auto"/>
          <w:spacing w:val="-11"/>
          <w:sz w:val="21"/>
          <w:szCs w:val="21"/>
          <w:highlight w:val="none"/>
          <w:u w:val="single" w:color="auto"/>
        </w:rPr>
        <w:t xml:space="preserve">                                </w:t>
      </w:r>
      <w:r>
        <w:rPr>
          <w:color w:val="auto"/>
          <w:spacing w:val="-58"/>
          <w:sz w:val="21"/>
          <w:szCs w:val="21"/>
          <w:highlight w:val="none"/>
        </w:rPr>
        <w:t xml:space="preserve"> </w:t>
      </w:r>
      <w:r>
        <w:rPr>
          <w:color w:val="auto"/>
          <w:spacing w:val="-11"/>
          <w:sz w:val="21"/>
          <w:szCs w:val="21"/>
          <w:highlight w:val="none"/>
        </w:rPr>
        <w:t>(电子签章)</w:t>
      </w:r>
      <w:r>
        <w:rPr>
          <w:color w:val="auto"/>
          <w:sz w:val="21"/>
          <w:szCs w:val="21"/>
          <w:highlight w:val="none"/>
        </w:rPr>
        <w:t xml:space="preserve"> </w:t>
      </w:r>
    </w:p>
    <w:p w14:paraId="05590FC2">
      <w:pPr>
        <w:pStyle w:val="4"/>
        <w:spacing w:before="169" w:line="390" w:lineRule="auto"/>
        <w:ind w:left="4319" w:right="18" w:firstLine="1"/>
        <w:jc w:val="right"/>
        <w:rPr>
          <w:color w:val="auto"/>
          <w:sz w:val="21"/>
          <w:szCs w:val="21"/>
          <w:highlight w:val="none"/>
        </w:rPr>
      </w:pPr>
      <w:r>
        <w:rPr>
          <w:color w:val="auto"/>
          <w:spacing w:val="-17"/>
          <w:sz w:val="21"/>
          <w:szCs w:val="21"/>
          <w:highlight w:val="none"/>
        </w:rPr>
        <w:t>法定代表人：</w:t>
      </w:r>
      <w:r>
        <w:rPr>
          <w:color w:val="auto"/>
          <w:spacing w:val="47"/>
          <w:sz w:val="21"/>
          <w:szCs w:val="21"/>
          <w:highlight w:val="none"/>
        </w:rPr>
        <w:t xml:space="preserve"> </w:t>
      </w:r>
      <w:r>
        <w:rPr>
          <w:color w:val="auto"/>
          <w:sz w:val="21"/>
          <w:szCs w:val="21"/>
          <w:highlight w:val="none"/>
          <w:u w:val="single" w:color="auto"/>
        </w:rPr>
        <w:t xml:space="preserve">                         </w:t>
      </w:r>
      <w:r>
        <w:rPr>
          <w:color w:val="auto"/>
          <w:spacing w:val="-58"/>
          <w:sz w:val="21"/>
          <w:szCs w:val="21"/>
          <w:highlight w:val="none"/>
        </w:rPr>
        <w:t xml:space="preserve"> </w:t>
      </w:r>
      <w:r>
        <w:rPr>
          <w:color w:val="auto"/>
          <w:spacing w:val="-17"/>
          <w:sz w:val="21"/>
          <w:szCs w:val="21"/>
          <w:highlight w:val="none"/>
        </w:rPr>
        <w:t>(电子签章)</w:t>
      </w:r>
    </w:p>
    <w:p w14:paraId="268121A3">
      <w:pPr>
        <w:pStyle w:val="4"/>
        <w:tabs>
          <w:tab w:val="left" w:pos="6939"/>
        </w:tabs>
        <w:spacing w:before="1" w:line="219" w:lineRule="auto"/>
        <w:ind w:left="5887"/>
        <w:rPr>
          <w:color w:val="auto"/>
          <w:sz w:val="21"/>
          <w:szCs w:val="21"/>
          <w:highlight w:val="none"/>
        </w:rPr>
      </w:pPr>
      <w:r>
        <w:rPr>
          <w:color w:val="auto"/>
          <w:sz w:val="21"/>
          <w:szCs w:val="21"/>
          <w:highlight w:val="none"/>
          <w:u w:val="single" w:color="auto"/>
        </w:rPr>
        <w:tab/>
      </w:r>
      <w:r>
        <w:rPr>
          <w:color w:val="auto"/>
          <w:spacing w:val="-95"/>
          <w:sz w:val="21"/>
          <w:szCs w:val="21"/>
          <w:highlight w:val="none"/>
        </w:rPr>
        <w:t xml:space="preserve"> </w:t>
      </w:r>
      <w:r>
        <w:rPr>
          <w:color w:val="auto"/>
          <w:spacing w:val="-23"/>
          <w:sz w:val="21"/>
          <w:szCs w:val="21"/>
          <w:highlight w:val="none"/>
        </w:rPr>
        <w:t>年</w:t>
      </w:r>
      <w:r>
        <w:rPr>
          <w:color w:val="auto"/>
          <w:sz w:val="21"/>
          <w:szCs w:val="21"/>
          <w:highlight w:val="none"/>
          <w:u w:val="single" w:color="auto"/>
        </w:rPr>
        <w:t xml:space="preserve">        </w:t>
      </w:r>
      <w:r>
        <w:rPr>
          <w:color w:val="auto"/>
          <w:spacing w:val="-91"/>
          <w:sz w:val="21"/>
          <w:szCs w:val="21"/>
          <w:highlight w:val="none"/>
        </w:rPr>
        <w:t xml:space="preserve"> </w:t>
      </w:r>
      <w:r>
        <w:rPr>
          <w:color w:val="auto"/>
          <w:spacing w:val="-23"/>
          <w:sz w:val="21"/>
          <w:szCs w:val="21"/>
          <w:highlight w:val="none"/>
        </w:rPr>
        <w:t>月</w:t>
      </w:r>
      <w:r>
        <w:rPr>
          <w:color w:val="auto"/>
          <w:spacing w:val="-104"/>
          <w:sz w:val="21"/>
          <w:szCs w:val="21"/>
          <w:highlight w:val="none"/>
        </w:rPr>
        <w:t xml:space="preserve"> </w:t>
      </w:r>
      <w:r>
        <w:rPr>
          <w:color w:val="auto"/>
          <w:sz w:val="21"/>
          <w:szCs w:val="21"/>
          <w:highlight w:val="none"/>
          <w:u w:val="single" w:color="auto"/>
        </w:rPr>
        <w:t xml:space="preserve">        </w:t>
      </w:r>
      <w:r>
        <w:rPr>
          <w:color w:val="auto"/>
          <w:spacing w:val="-60"/>
          <w:sz w:val="21"/>
          <w:szCs w:val="21"/>
          <w:highlight w:val="none"/>
        </w:rPr>
        <w:t xml:space="preserve"> </w:t>
      </w:r>
      <w:r>
        <w:rPr>
          <w:color w:val="auto"/>
          <w:spacing w:val="-23"/>
          <w:sz w:val="21"/>
          <w:szCs w:val="21"/>
          <w:highlight w:val="none"/>
        </w:rPr>
        <w:t>日</w:t>
      </w:r>
    </w:p>
    <w:p w14:paraId="37A9D751">
      <w:pPr>
        <w:spacing w:line="249" w:lineRule="auto"/>
        <w:rPr>
          <w:rFonts w:ascii="Arial"/>
          <w:color w:val="auto"/>
          <w:sz w:val="21"/>
          <w:highlight w:val="none"/>
        </w:rPr>
      </w:pPr>
    </w:p>
    <w:p w14:paraId="41928DA5">
      <w:pPr>
        <w:spacing w:line="250" w:lineRule="auto"/>
        <w:rPr>
          <w:rFonts w:ascii="Arial"/>
          <w:color w:val="auto"/>
          <w:sz w:val="21"/>
          <w:highlight w:val="none"/>
        </w:rPr>
      </w:pPr>
    </w:p>
    <w:p w14:paraId="61674220">
      <w:pPr>
        <w:spacing w:line="250" w:lineRule="auto"/>
        <w:rPr>
          <w:rFonts w:ascii="Arial"/>
          <w:color w:val="auto"/>
          <w:sz w:val="21"/>
          <w:highlight w:val="none"/>
        </w:rPr>
      </w:pPr>
    </w:p>
    <w:p w14:paraId="2553846D">
      <w:pPr>
        <w:spacing w:line="250" w:lineRule="auto"/>
        <w:rPr>
          <w:rFonts w:ascii="Arial"/>
          <w:color w:val="auto"/>
          <w:sz w:val="21"/>
          <w:highlight w:val="none"/>
        </w:rPr>
      </w:pPr>
    </w:p>
    <w:p w14:paraId="56B5769C">
      <w:pPr>
        <w:spacing w:line="250" w:lineRule="auto"/>
        <w:rPr>
          <w:rFonts w:ascii="Arial"/>
          <w:color w:val="auto"/>
          <w:sz w:val="21"/>
          <w:highlight w:val="none"/>
        </w:rPr>
      </w:pPr>
    </w:p>
    <w:p w14:paraId="516CB87E">
      <w:pPr>
        <w:spacing w:line="250" w:lineRule="auto"/>
        <w:rPr>
          <w:rFonts w:ascii="Arial"/>
          <w:color w:val="auto"/>
          <w:sz w:val="21"/>
          <w:highlight w:val="none"/>
        </w:rPr>
      </w:pPr>
    </w:p>
    <w:p w14:paraId="6B9715AD">
      <w:pPr>
        <w:spacing w:line="250" w:lineRule="auto"/>
        <w:rPr>
          <w:rFonts w:ascii="Arial"/>
          <w:color w:val="auto"/>
          <w:sz w:val="21"/>
          <w:highlight w:val="none"/>
        </w:rPr>
      </w:pPr>
    </w:p>
    <w:p w14:paraId="07F76629">
      <w:pPr>
        <w:spacing w:line="250" w:lineRule="auto"/>
        <w:rPr>
          <w:rFonts w:ascii="Arial"/>
          <w:color w:val="auto"/>
          <w:sz w:val="21"/>
          <w:highlight w:val="none"/>
        </w:rPr>
      </w:pPr>
    </w:p>
    <w:p w14:paraId="2E0F3C24">
      <w:pPr>
        <w:spacing w:line="250" w:lineRule="auto"/>
        <w:rPr>
          <w:rFonts w:ascii="Arial"/>
          <w:color w:val="auto"/>
          <w:sz w:val="21"/>
          <w:highlight w:val="none"/>
        </w:rPr>
      </w:pPr>
    </w:p>
    <w:p w14:paraId="014AB4A2">
      <w:pPr>
        <w:pStyle w:val="4"/>
        <w:spacing w:before="69" w:line="220" w:lineRule="auto"/>
        <w:ind w:left="4043"/>
        <w:outlineLvl w:val="2"/>
        <w:rPr>
          <w:color w:val="auto"/>
          <w:sz w:val="21"/>
          <w:szCs w:val="21"/>
          <w:highlight w:val="none"/>
        </w:rPr>
      </w:pPr>
      <w:bookmarkStart w:id="94" w:name="_Toc15941"/>
      <w:r>
        <w:rPr>
          <w:rFonts w:ascii="Times New Roman" w:hAnsi="Times New Roman" w:eastAsia="Times New Roman" w:cs="Times New Roman"/>
          <w:b/>
          <w:bCs/>
          <w:color w:val="auto"/>
          <w:spacing w:val="-2"/>
          <w:sz w:val="21"/>
          <w:szCs w:val="21"/>
          <w:highlight w:val="none"/>
        </w:rPr>
        <w:t>3</w:t>
      </w:r>
      <w:r>
        <w:rPr>
          <w:color w:val="auto"/>
          <w:spacing w:val="-2"/>
          <w:sz w:val="21"/>
          <w:szCs w:val="21"/>
          <w:highlight w:val="none"/>
          <w14:textOutline w14:w="3810" w14:cap="flat" w14:cmpd="sng">
            <w14:solidFill>
              <w14:srgbClr w14:val="000000"/>
            </w14:solidFill>
            <w14:prstDash w14:val="solid"/>
            <w14:miter w14:val="0"/>
          </w14:textOutline>
        </w:rPr>
        <w:t>、服务承诺</w:t>
      </w:r>
      <w:bookmarkEnd w:id="94"/>
    </w:p>
    <w:p w14:paraId="19D7D634">
      <w:pPr>
        <w:spacing w:line="220" w:lineRule="auto"/>
        <w:rPr>
          <w:color w:val="auto"/>
          <w:sz w:val="21"/>
          <w:szCs w:val="21"/>
          <w:highlight w:val="none"/>
        </w:rPr>
        <w:sectPr>
          <w:footerReference r:id="rId21" w:type="default"/>
          <w:pgSz w:w="11910" w:h="16845"/>
          <w:pgMar w:top="1394" w:right="1393" w:bottom="1022" w:left="1246" w:header="0" w:footer="862" w:gutter="0"/>
          <w:pgNumType w:fmt="decimal"/>
          <w:cols w:space="720" w:num="1"/>
        </w:sectPr>
      </w:pPr>
    </w:p>
    <w:p w14:paraId="6DEFCAC5">
      <w:pPr>
        <w:spacing w:line="304" w:lineRule="auto"/>
        <w:rPr>
          <w:rFonts w:ascii="Arial"/>
          <w:color w:val="auto"/>
          <w:sz w:val="21"/>
          <w:highlight w:val="none"/>
        </w:rPr>
      </w:pPr>
    </w:p>
    <w:p w14:paraId="3A3BB4DA">
      <w:pPr>
        <w:spacing w:line="304" w:lineRule="auto"/>
        <w:rPr>
          <w:rFonts w:ascii="Arial"/>
          <w:color w:val="auto"/>
          <w:sz w:val="21"/>
          <w:highlight w:val="none"/>
        </w:rPr>
      </w:pPr>
    </w:p>
    <w:p w14:paraId="5FCBF258">
      <w:pPr>
        <w:spacing w:line="305" w:lineRule="auto"/>
        <w:rPr>
          <w:rFonts w:ascii="Arial"/>
          <w:color w:val="auto"/>
          <w:sz w:val="21"/>
          <w:highlight w:val="none"/>
        </w:rPr>
      </w:pPr>
    </w:p>
    <w:p w14:paraId="17068A94">
      <w:pPr>
        <w:pStyle w:val="4"/>
        <w:spacing w:before="91" w:line="224" w:lineRule="auto"/>
        <w:ind w:left="3260"/>
        <w:outlineLvl w:val="1"/>
        <w:rPr>
          <w:color w:val="auto"/>
          <w:highlight w:val="none"/>
        </w:rPr>
      </w:pPr>
      <w:bookmarkStart w:id="95" w:name="_Toc9579"/>
      <w:r>
        <w:rPr>
          <w:color w:val="auto"/>
          <w:spacing w:val="1"/>
          <w:highlight w:val="none"/>
          <w14:textOutline w14:w="5170" w14:cap="flat" w14:cmpd="sng">
            <w14:solidFill>
              <w14:srgbClr w14:val="000000"/>
            </w14:solidFill>
            <w14:prstDash w14:val="solid"/>
            <w14:miter w14:val="0"/>
          </w14:textOutline>
        </w:rPr>
        <w:t>五、其他资料</w:t>
      </w:r>
      <w:bookmarkEnd w:id="95"/>
    </w:p>
    <w:p w14:paraId="2CF1D07E">
      <w:pPr>
        <w:pStyle w:val="4"/>
        <w:spacing w:before="25" w:line="219" w:lineRule="auto"/>
        <w:ind w:left="2504"/>
        <w:outlineLvl w:val="2"/>
        <w:rPr>
          <w:color w:val="auto"/>
          <w:sz w:val="21"/>
          <w:szCs w:val="21"/>
          <w:highlight w:val="none"/>
        </w:rPr>
      </w:pPr>
      <w:bookmarkStart w:id="96" w:name="_Toc18102"/>
      <w:r>
        <w:rPr>
          <w:color w:val="auto"/>
          <w:sz w:val="21"/>
          <w:szCs w:val="21"/>
          <w:highlight w:val="none"/>
          <w14:textOutline w14:w="3810" w14:cap="flat" w14:cmpd="sng">
            <w14:solidFill>
              <w14:srgbClr w14:val="000000"/>
            </w14:solidFill>
            <w14:prstDash w14:val="solid"/>
            <w14:miter w14:val="0"/>
          </w14:textOutline>
        </w:rPr>
        <w:t>投标人认为有必要提供的其他材料</w:t>
      </w:r>
      <w:bookmarkEnd w:id="96"/>
    </w:p>
    <w:p w14:paraId="15171495">
      <w:pPr>
        <w:spacing w:line="256" w:lineRule="auto"/>
        <w:rPr>
          <w:rFonts w:ascii="Arial"/>
          <w:color w:val="auto"/>
          <w:sz w:val="21"/>
          <w:highlight w:val="none"/>
        </w:rPr>
      </w:pPr>
    </w:p>
    <w:p w14:paraId="0E652916">
      <w:pPr>
        <w:spacing w:line="256" w:lineRule="auto"/>
        <w:rPr>
          <w:rFonts w:ascii="Arial"/>
          <w:color w:val="auto"/>
          <w:sz w:val="21"/>
          <w:highlight w:val="none"/>
        </w:rPr>
      </w:pPr>
    </w:p>
    <w:p w14:paraId="73A33D8B">
      <w:pPr>
        <w:jc w:val="center"/>
        <w:rPr>
          <w:rFonts w:hint="eastAsia" w:ascii="宋体" w:hAnsi="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1</w:t>
      </w:r>
      <w:r>
        <w:rPr>
          <w:rFonts w:hint="eastAsia" w:ascii="宋体" w:hAnsi="宋体" w:cs="宋体"/>
          <w:b/>
          <w:bCs/>
          <w:color w:val="auto"/>
          <w:highlight w:val="none"/>
          <w:lang w:eastAsia="zh-CN"/>
        </w:rPr>
        <w:t>）</w:t>
      </w:r>
      <w:r>
        <w:rPr>
          <w:rFonts w:hint="eastAsia" w:ascii="宋体" w:hAnsi="宋体" w:cs="宋体"/>
          <w:b/>
          <w:bCs/>
          <w:color w:val="auto"/>
          <w:highlight w:val="none"/>
        </w:rPr>
        <w:t>新乡市政府采购供应商信用承诺函</w:t>
      </w:r>
    </w:p>
    <w:p w14:paraId="58030DD2">
      <w:pPr>
        <w:rPr>
          <w:rFonts w:hint="eastAsia" w:ascii="宋体" w:hAnsi="宋体" w:cs="宋体"/>
          <w:color w:val="auto"/>
          <w:highlight w:val="none"/>
        </w:rPr>
      </w:pPr>
    </w:p>
    <w:p w14:paraId="5FA23E3A">
      <w:pPr>
        <w:rPr>
          <w:rFonts w:hint="eastAsia" w:ascii="宋体" w:hAnsi="宋体" w:cs="宋体"/>
          <w:color w:val="auto"/>
          <w:highlight w:val="none"/>
        </w:rPr>
      </w:pPr>
      <w:r>
        <w:rPr>
          <w:rFonts w:hint="eastAsia" w:ascii="宋体" w:hAnsi="宋体" w:cs="宋体"/>
          <w:color w:val="auto"/>
          <w:highlight w:val="none"/>
        </w:rPr>
        <w:t>致：                        （采购人或采购代理机构）</w:t>
      </w:r>
    </w:p>
    <w:p w14:paraId="0EEF2D58">
      <w:pPr>
        <w:rPr>
          <w:rFonts w:hint="eastAsia" w:ascii="宋体" w:hAnsi="宋体" w:cs="宋体"/>
          <w:color w:val="auto"/>
          <w:highlight w:val="none"/>
        </w:rPr>
      </w:pPr>
      <w:r>
        <w:rPr>
          <w:rFonts w:hint="eastAsia" w:ascii="宋体" w:hAnsi="宋体" w:cs="宋体"/>
          <w:color w:val="auto"/>
          <w:highlight w:val="none"/>
        </w:rPr>
        <w:t>单位名称：</w:t>
      </w:r>
    </w:p>
    <w:p w14:paraId="05C141C0">
      <w:pPr>
        <w:rPr>
          <w:rFonts w:hint="eastAsia" w:ascii="宋体" w:hAnsi="宋体" w:cs="宋体"/>
          <w:color w:val="auto"/>
          <w:highlight w:val="none"/>
        </w:rPr>
      </w:pPr>
      <w:r>
        <w:rPr>
          <w:rFonts w:hint="eastAsia" w:ascii="宋体" w:hAnsi="宋体" w:cs="宋体"/>
          <w:color w:val="auto"/>
          <w:highlight w:val="none"/>
        </w:rPr>
        <w:t>统一社会信用代码：</w:t>
      </w:r>
    </w:p>
    <w:p w14:paraId="210D7252">
      <w:pPr>
        <w:rPr>
          <w:rFonts w:hint="eastAsia" w:ascii="宋体" w:hAnsi="宋体" w:cs="宋体"/>
          <w:color w:val="auto"/>
          <w:highlight w:val="none"/>
        </w:rPr>
      </w:pPr>
      <w:r>
        <w:rPr>
          <w:rFonts w:hint="eastAsia" w:ascii="宋体" w:hAnsi="宋体" w:cs="宋体"/>
          <w:color w:val="auto"/>
          <w:highlight w:val="none"/>
        </w:rPr>
        <w:t>法定代表人：</w:t>
      </w:r>
    </w:p>
    <w:p w14:paraId="715ADB8B">
      <w:pPr>
        <w:rPr>
          <w:rFonts w:hint="eastAsia" w:ascii="宋体" w:hAnsi="宋体" w:cs="宋体"/>
          <w:color w:val="auto"/>
          <w:highlight w:val="none"/>
        </w:rPr>
      </w:pPr>
      <w:r>
        <w:rPr>
          <w:rFonts w:hint="eastAsia" w:ascii="宋体" w:hAnsi="宋体" w:cs="宋体"/>
          <w:color w:val="auto"/>
          <w:highlight w:val="none"/>
        </w:rPr>
        <w:t>联系地址和电话：</w:t>
      </w:r>
    </w:p>
    <w:p w14:paraId="7DE86AD4">
      <w:pPr>
        <w:rPr>
          <w:rFonts w:hint="eastAsia" w:ascii="宋体" w:hAnsi="宋体" w:cs="宋体"/>
          <w:color w:val="auto"/>
          <w:highlight w:val="none"/>
        </w:rPr>
      </w:pPr>
      <w:r>
        <w:rPr>
          <w:rFonts w:hint="eastAsia" w:ascii="宋体" w:hAnsi="宋体" w:cs="宋体"/>
          <w:color w:val="auto"/>
          <w:highlight w:val="none"/>
        </w:rPr>
        <w:t>为维护公平、公正、公开的政府采购市场秩序，树立诚实守信的政府采购供应商形象，我单位（本人）自愿作出以下承诺：</w:t>
      </w:r>
    </w:p>
    <w:p w14:paraId="32B54298">
      <w:pPr>
        <w:rPr>
          <w:rFonts w:hint="eastAsia" w:ascii="宋体" w:hAnsi="宋体" w:cs="宋体"/>
          <w:color w:val="auto"/>
          <w:highlight w:val="none"/>
        </w:rPr>
      </w:pPr>
      <w:r>
        <w:rPr>
          <w:rFonts w:hint="eastAsia" w:ascii="宋体" w:hAnsi="宋体" w:cs="宋体"/>
          <w:color w:val="auto"/>
          <w:highlight w:val="none"/>
        </w:rPr>
        <w:t>一、我单位（本人）自愿参加本次政府采购活动，严格遵守《中华人民共和国政府采购法》及相关法律法规，依法诚信经营。</w:t>
      </w:r>
    </w:p>
    <w:p w14:paraId="7850543B">
      <w:pPr>
        <w:rPr>
          <w:rFonts w:hint="eastAsia" w:ascii="宋体" w:hAnsi="宋体" w:cs="宋体"/>
          <w:color w:val="auto"/>
          <w:highlight w:val="none"/>
        </w:rPr>
      </w:pPr>
      <w:r>
        <w:rPr>
          <w:rFonts w:hint="eastAsia" w:ascii="宋体" w:hAnsi="宋体" w:cs="宋体"/>
          <w:color w:val="auto"/>
          <w:highlight w:val="none"/>
        </w:rPr>
        <w:t>我单位（本人）郑重承诺，我单位（本人）符合《中华人民共和国政府采购法》第二十二条规定和采购文件、本承诺书的条件：</w:t>
      </w:r>
    </w:p>
    <w:p w14:paraId="7187A064">
      <w:pPr>
        <w:rPr>
          <w:rFonts w:hint="eastAsia" w:ascii="宋体" w:hAnsi="宋体" w:cs="宋体"/>
          <w:color w:val="auto"/>
          <w:highlight w:val="none"/>
        </w:rPr>
      </w:pPr>
      <w:r>
        <w:rPr>
          <w:rFonts w:hint="eastAsia" w:ascii="宋体" w:hAnsi="宋体" w:cs="宋体"/>
          <w:color w:val="auto"/>
          <w:highlight w:val="none"/>
        </w:rPr>
        <w:t>（一）具有独立承担民事责任的能力；</w:t>
      </w:r>
    </w:p>
    <w:p w14:paraId="58B2C4E3">
      <w:pPr>
        <w:rPr>
          <w:rFonts w:hint="eastAsia" w:ascii="宋体" w:hAnsi="宋体" w:cs="宋体"/>
          <w:color w:val="auto"/>
          <w:highlight w:val="none"/>
        </w:rPr>
      </w:pPr>
      <w:r>
        <w:rPr>
          <w:rFonts w:hint="eastAsia" w:ascii="宋体" w:hAnsi="宋体" w:cs="宋体"/>
          <w:color w:val="auto"/>
          <w:highlight w:val="none"/>
        </w:rPr>
        <w:t>（二）具有良好的商业信誉和健全的财务会计制度；</w:t>
      </w:r>
    </w:p>
    <w:p w14:paraId="7B1871D0">
      <w:pPr>
        <w:rPr>
          <w:rFonts w:hint="eastAsia" w:ascii="宋体" w:hAnsi="宋体" w:cs="宋体"/>
          <w:color w:val="auto"/>
          <w:highlight w:val="none"/>
        </w:rPr>
      </w:pPr>
      <w:r>
        <w:rPr>
          <w:rFonts w:hint="eastAsia" w:ascii="宋体" w:hAnsi="宋体" w:cs="宋体"/>
          <w:color w:val="auto"/>
          <w:highlight w:val="none"/>
        </w:rPr>
        <w:t>（三）具有履行合同所必需的设备和专业技术能力；</w:t>
      </w:r>
    </w:p>
    <w:p w14:paraId="1E0B1581">
      <w:pPr>
        <w:rPr>
          <w:rFonts w:hint="eastAsia" w:ascii="宋体" w:hAnsi="宋体" w:cs="宋体"/>
          <w:color w:val="auto"/>
          <w:highlight w:val="none"/>
        </w:rPr>
      </w:pPr>
      <w:r>
        <w:rPr>
          <w:rFonts w:hint="eastAsia" w:ascii="宋体" w:hAnsi="宋体" w:cs="宋体"/>
          <w:color w:val="auto"/>
          <w:highlight w:val="none"/>
        </w:rPr>
        <w:t>（四）有依法缴纳税收和社会保障资金的良好记录；</w:t>
      </w:r>
    </w:p>
    <w:p w14:paraId="50687FAE">
      <w:pPr>
        <w:rPr>
          <w:rFonts w:hint="eastAsia"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14:paraId="2AA2AC51">
      <w:pPr>
        <w:rPr>
          <w:rFonts w:hint="eastAsia" w:ascii="宋体" w:hAnsi="宋体" w:cs="宋体"/>
          <w:color w:val="auto"/>
          <w:highlight w:val="none"/>
        </w:rPr>
      </w:pPr>
      <w:r>
        <w:rPr>
          <w:rFonts w:hint="eastAsia" w:ascii="宋体" w:hAnsi="宋体" w:cs="宋体"/>
          <w:color w:val="auto"/>
          <w:highlight w:val="none"/>
        </w:rPr>
        <w:t>（六）未被列入经营异常名录或者严重违法失信名单、失信被执行人、重大税收违法案件当事人名单、政府采购严重违法失信行为记录名单；</w:t>
      </w:r>
    </w:p>
    <w:p w14:paraId="3C610977">
      <w:pPr>
        <w:rPr>
          <w:rFonts w:hint="eastAsia" w:ascii="宋体" w:hAnsi="宋体" w:cs="宋体"/>
          <w:color w:val="auto"/>
          <w:highlight w:val="none"/>
        </w:rPr>
      </w:pPr>
      <w:r>
        <w:rPr>
          <w:rFonts w:hint="eastAsia" w:ascii="宋体" w:hAnsi="宋体" w:cs="宋体"/>
          <w:color w:val="auto"/>
          <w:highlight w:val="none"/>
        </w:rPr>
        <w:t>（七）未被相关监管部门作出行政处罚且尚在处罚有效期内；</w:t>
      </w:r>
    </w:p>
    <w:p w14:paraId="64944BD6">
      <w:pPr>
        <w:rPr>
          <w:rFonts w:hint="eastAsia" w:ascii="宋体" w:hAnsi="宋体" w:cs="宋体"/>
          <w:color w:val="auto"/>
          <w:highlight w:val="none"/>
        </w:rPr>
      </w:pPr>
      <w:r>
        <w:rPr>
          <w:rFonts w:hint="eastAsia" w:ascii="宋体" w:hAnsi="宋体" w:cs="宋体"/>
          <w:color w:val="auto"/>
          <w:highlight w:val="none"/>
        </w:rPr>
        <w:t>（八）未曾作出虚假采购承诺；</w:t>
      </w:r>
    </w:p>
    <w:p w14:paraId="4E11A266">
      <w:pPr>
        <w:rPr>
          <w:rFonts w:hint="eastAsia" w:ascii="宋体" w:hAnsi="宋体" w:cs="宋体"/>
          <w:color w:val="auto"/>
          <w:highlight w:val="none"/>
        </w:rPr>
      </w:pPr>
      <w:r>
        <w:rPr>
          <w:rFonts w:hint="eastAsia" w:ascii="宋体" w:hAnsi="宋体" w:cs="宋体"/>
          <w:color w:val="auto"/>
          <w:highlight w:val="none"/>
        </w:rPr>
        <w:t>（九）符合法律、行政法规规定的其他条件。</w:t>
      </w:r>
    </w:p>
    <w:p w14:paraId="2A720804">
      <w:pPr>
        <w:rPr>
          <w:rFonts w:hint="eastAsia" w:ascii="宋体" w:hAnsi="宋体" w:cs="宋体"/>
          <w:color w:val="auto"/>
          <w:highlight w:val="none"/>
        </w:rPr>
      </w:pPr>
      <w:r>
        <w:rPr>
          <w:rFonts w:hint="eastAsia" w:ascii="宋体" w:hAnsi="宋体" w:cs="宋体"/>
          <w:color w:val="auto"/>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DD14EEC">
      <w:pPr>
        <w:rPr>
          <w:rFonts w:hint="eastAsia" w:ascii="宋体" w:hAnsi="宋体" w:cs="宋体"/>
          <w:color w:val="auto"/>
          <w:highlight w:val="none"/>
        </w:rPr>
      </w:pPr>
      <w:r>
        <w:rPr>
          <w:rFonts w:hint="eastAsia" w:ascii="宋体" w:hAnsi="宋体" w:cs="宋体"/>
          <w:color w:val="auto"/>
          <w:highlight w:val="none"/>
        </w:rPr>
        <w:t>供应商名称：                      (电子签章)</w:t>
      </w:r>
    </w:p>
    <w:p w14:paraId="2215D8D0">
      <w:pPr>
        <w:rPr>
          <w:rFonts w:hint="eastAsia" w:ascii="宋体" w:hAnsi="宋体" w:cs="宋体"/>
          <w:color w:val="auto"/>
          <w:highlight w:val="none"/>
        </w:rPr>
      </w:pPr>
      <w:r>
        <w:rPr>
          <w:rFonts w:hint="eastAsia" w:ascii="宋体" w:hAnsi="宋体" w:cs="宋体"/>
          <w:color w:val="auto"/>
          <w:highlight w:val="none"/>
        </w:rPr>
        <w:t>法定代表人：                      (电子签章)</w:t>
      </w:r>
    </w:p>
    <w:p w14:paraId="381E5378">
      <w:pPr>
        <w:rPr>
          <w:rFonts w:hint="eastAsia" w:ascii="宋体" w:hAnsi="宋体" w:cs="宋体"/>
          <w:color w:val="auto"/>
          <w:highlight w:val="none"/>
        </w:rPr>
      </w:pPr>
      <w:r>
        <w:rPr>
          <w:rFonts w:hint="eastAsia" w:ascii="宋体" w:hAnsi="宋体" w:cs="宋体"/>
          <w:color w:val="auto"/>
          <w:highlight w:val="none"/>
        </w:rPr>
        <w:t xml:space="preserve">地      址：                              </w:t>
      </w:r>
    </w:p>
    <w:p w14:paraId="1E2095C0">
      <w:pPr>
        <w:rPr>
          <w:rFonts w:hint="eastAsia" w:ascii="宋体" w:hAnsi="宋体" w:cs="宋体"/>
          <w:color w:val="auto"/>
          <w:highlight w:val="none"/>
        </w:rPr>
      </w:pPr>
      <w:r>
        <w:rPr>
          <w:rFonts w:hint="eastAsia" w:ascii="宋体" w:hAnsi="宋体" w:cs="宋体"/>
          <w:color w:val="auto"/>
          <w:highlight w:val="none"/>
        </w:rPr>
        <w:t xml:space="preserve">电      话：                                 </w:t>
      </w:r>
    </w:p>
    <w:p w14:paraId="34B1DE51">
      <w:pPr>
        <w:rPr>
          <w:rFonts w:hint="eastAsia" w:ascii="宋体" w:hAnsi="宋体" w:cs="宋体"/>
          <w:color w:val="auto"/>
          <w:highlight w:val="none"/>
        </w:rPr>
      </w:pPr>
      <w:r>
        <w:rPr>
          <w:rFonts w:hint="eastAsia" w:ascii="宋体" w:hAnsi="宋体" w:cs="宋体"/>
          <w:color w:val="auto"/>
          <w:highlight w:val="none"/>
        </w:rPr>
        <w:t>日      期：        年         月        日</w:t>
      </w:r>
    </w:p>
    <w:p w14:paraId="08106C14">
      <w:pPr>
        <w:rPr>
          <w:rFonts w:hint="eastAsia" w:ascii="宋体" w:hAnsi="宋体" w:cs="宋体"/>
          <w:color w:val="auto"/>
          <w:highlight w:val="none"/>
        </w:rPr>
      </w:pPr>
      <w:r>
        <w:rPr>
          <w:rFonts w:hint="eastAsia" w:ascii="宋体" w:hAnsi="宋体" w:cs="宋体"/>
          <w:color w:val="auto"/>
          <w:highlight w:val="none"/>
        </w:rPr>
        <w:t>注：</w:t>
      </w:r>
    </w:p>
    <w:p w14:paraId="1C3D20A8">
      <w:pPr>
        <w:rPr>
          <w:rFonts w:hint="eastAsia" w:ascii="宋体" w:hAnsi="宋体" w:cs="宋体"/>
          <w:color w:val="auto"/>
          <w:highlight w:val="none"/>
        </w:rPr>
      </w:pPr>
      <w:r>
        <w:rPr>
          <w:rFonts w:hint="eastAsia" w:ascii="宋体" w:hAnsi="宋体" w:cs="宋体"/>
          <w:color w:val="auto"/>
          <w:highlight w:val="none"/>
        </w:rPr>
        <w:t>1.投标人须在投标文件中按此模板提供承诺函，未提供视为未实质性响应招标文件要求，按无效投标处理。</w:t>
      </w:r>
    </w:p>
    <w:p w14:paraId="2D3B5AE2">
      <w:pPr>
        <w:rPr>
          <w:rFonts w:hint="eastAsia" w:ascii="宋体" w:hAnsi="宋体" w:cs="宋体"/>
          <w:color w:val="auto"/>
          <w:highlight w:val="none"/>
        </w:rPr>
      </w:pPr>
      <w:r>
        <w:rPr>
          <w:rFonts w:hint="eastAsia" w:ascii="宋体" w:hAnsi="宋体" w:cs="宋体"/>
          <w:color w:val="auto"/>
          <w:highlight w:val="none"/>
        </w:rPr>
        <w:t>2.投标人的法定代表人或者授权代表的签字或盖章应真实、有效，如由授权代表签字或盖章的，应提供“法定代表人授权书”。</w:t>
      </w:r>
    </w:p>
    <w:p w14:paraId="62DDCC40">
      <w:pPr>
        <w:rPr>
          <w:rFonts w:hint="eastAsia" w:ascii="宋体" w:hAnsi="宋体" w:cs="宋体"/>
          <w:color w:val="auto"/>
          <w:highlight w:val="none"/>
        </w:rPr>
      </w:pPr>
    </w:p>
    <w:p w14:paraId="55F03D1E">
      <w:pPr>
        <w:rPr>
          <w:rFonts w:hint="eastAsia" w:ascii="宋体" w:hAnsi="宋体" w:cs="宋体"/>
          <w:color w:val="auto"/>
          <w:highlight w:val="none"/>
        </w:rPr>
      </w:pPr>
    </w:p>
    <w:p w14:paraId="04235CA6">
      <w:pPr>
        <w:rPr>
          <w:rFonts w:hint="eastAsia" w:ascii="黑体" w:eastAsia="黑体"/>
          <w:color w:val="auto"/>
          <w:sz w:val="24"/>
          <w:highlight w:val="none"/>
        </w:rPr>
      </w:pPr>
    </w:p>
    <w:p w14:paraId="0A9675C1">
      <w:pPr>
        <w:rPr>
          <w:rFonts w:hint="eastAsia" w:ascii="黑体" w:eastAsia="黑体"/>
          <w:color w:val="auto"/>
          <w:sz w:val="24"/>
          <w:highlight w:val="none"/>
        </w:rPr>
      </w:pPr>
    </w:p>
    <w:p w14:paraId="121C9405">
      <w:pPr>
        <w:rPr>
          <w:rFonts w:hint="eastAsia" w:ascii="黑体" w:eastAsia="黑体"/>
          <w:color w:val="auto"/>
          <w:sz w:val="24"/>
          <w:highlight w:val="none"/>
        </w:rPr>
      </w:pPr>
    </w:p>
    <w:p w14:paraId="3B6F9075">
      <w:pPr>
        <w:rPr>
          <w:rFonts w:hint="eastAsia"/>
          <w:color w:val="auto"/>
          <w:highlight w:val="none"/>
        </w:rPr>
      </w:pPr>
    </w:p>
    <w:p w14:paraId="779A7083">
      <w:pPr>
        <w:rPr>
          <w:color w:val="auto"/>
          <w:highlight w:val="none"/>
        </w:rPr>
      </w:pPr>
    </w:p>
    <w:p w14:paraId="1583D56E">
      <w:pPr>
        <w:rPr>
          <w:color w:val="auto"/>
          <w:highlight w:val="none"/>
        </w:rPr>
      </w:pPr>
    </w:p>
    <w:p w14:paraId="040A7D3C">
      <w:pPr>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b/>
          <w:bCs/>
          <w:color w:val="auto"/>
          <w:highlight w:val="none"/>
          <w:lang w:val="en-US" w:eastAsia="zh-CN"/>
        </w:rPr>
        <w:t>中小企业声明函</w:t>
      </w:r>
    </w:p>
    <w:p w14:paraId="693395C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（单位名称）的</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4DF1BAB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single"/>
          <w:lang w:val="en-US" w:eastAsia="zh-CN"/>
        </w:rPr>
        <w:t xml:space="preserve">1.            </w:t>
      </w:r>
      <w:r>
        <w:rPr>
          <w:rFonts w:hint="eastAsia" w:ascii="微软雅黑" w:hAnsi="微软雅黑" w:eastAsia="微软雅黑" w:cs="微软雅黑"/>
          <w:color w:val="auto"/>
          <w:sz w:val="22"/>
          <w:szCs w:val="22"/>
          <w:highlight w:val="none"/>
        </w:rPr>
        <w:t>（标的名称），属于</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（采购文件中明确的所属行业）；承接企业为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（企业名称），从业人员</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人，营业收入为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万元，资产总额为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万元，属于</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（中型企业、小型企业、微型企业）；</w:t>
      </w:r>
    </w:p>
    <w:p w14:paraId="39A86FD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2.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（标的名称），属于</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（采购文件中明确的所属行业）；承接企业为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（企业名称），从业人员</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人，营业收入为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万元，资产总额为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万元，属于</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（中型企业、小型企业、微型企业）；</w:t>
      </w:r>
    </w:p>
    <w:p w14:paraId="047D30B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4E4B8FE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以上企业，不属于大企业的分支机构，不存在控股股东为大企业的情形，也不存在与大企业的负责人为同一人的情形。</w:t>
      </w:r>
    </w:p>
    <w:p w14:paraId="3B145B5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本企业对上述声明内容的真实性负责。如有虚假，将依法承担相应责任。</w:t>
      </w:r>
    </w:p>
    <w:p w14:paraId="63A5657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p>
    <w:p w14:paraId="33F0B6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p>
    <w:p w14:paraId="31C1816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3960" w:firstLineChars="18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名称：</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签章</w:t>
      </w:r>
      <w:r>
        <w:rPr>
          <w:rFonts w:hint="eastAsia" w:ascii="微软雅黑" w:hAnsi="微软雅黑" w:eastAsia="微软雅黑" w:cs="微软雅黑"/>
          <w:color w:val="auto"/>
          <w:sz w:val="22"/>
          <w:szCs w:val="22"/>
          <w:highlight w:val="none"/>
        </w:rPr>
        <w:t>)</w:t>
      </w:r>
    </w:p>
    <w:p w14:paraId="0CDA37E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3960" w:firstLineChars="18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签章</w:t>
      </w:r>
      <w:r>
        <w:rPr>
          <w:rFonts w:hint="eastAsia" w:ascii="微软雅黑" w:hAnsi="微软雅黑" w:eastAsia="微软雅黑" w:cs="微软雅黑"/>
          <w:color w:val="auto"/>
          <w:sz w:val="22"/>
          <w:szCs w:val="22"/>
          <w:highlight w:val="none"/>
        </w:rPr>
        <w:t>)</w:t>
      </w:r>
    </w:p>
    <w:p w14:paraId="5CE897C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3960" w:firstLineChars="18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 xml:space="preserve"> 期：</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月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日</w:t>
      </w:r>
    </w:p>
    <w:p w14:paraId="32C79514">
      <w:pPr>
        <w:pStyle w:val="4"/>
        <w:keepNext w:val="0"/>
        <w:keepLines w:val="0"/>
        <w:pageBreakBefore w:val="0"/>
        <w:widowControl w:val="0"/>
        <w:kinsoku/>
        <w:wordWrap/>
        <w:overflowPunct/>
        <w:topLinePunct w:val="0"/>
        <w:autoSpaceDE/>
        <w:autoSpaceDN/>
        <w:bidi w:val="0"/>
        <w:snapToGrid/>
        <w:spacing w:before="170" w:line="360" w:lineRule="auto"/>
        <w:ind w:left="3"/>
        <w:jc w:val="both"/>
        <w:rPr>
          <w:color w:val="auto"/>
          <w:spacing w:val="-1"/>
          <w:highlight w:val="none"/>
        </w:rPr>
      </w:pPr>
      <w:r>
        <w:rPr>
          <w:color w:val="auto"/>
          <w:spacing w:val="-1"/>
          <w:highlight w:val="none"/>
        </w:rPr>
        <w:t>1. 中小企业划分标准，是指国务院有关部门根据企业从业人员、营业收入、资产总额等指标制定的中小企业划型标准进行核定。</w:t>
      </w:r>
    </w:p>
    <w:p w14:paraId="2ADB5904">
      <w:pPr>
        <w:pStyle w:val="4"/>
        <w:keepNext w:val="0"/>
        <w:keepLines w:val="0"/>
        <w:pageBreakBefore w:val="0"/>
        <w:widowControl w:val="0"/>
        <w:kinsoku/>
        <w:wordWrap/>
        <w:overflowPunct/>
        <w:topLinePunct w:val="0"/>
        <w:autoSpaceDE/>
        <w:autoSpaceDN/>
        <w:bidi w:val="0"/>
        <w:snapToGrid/>
        <w:spacing w:before="170" w:line="360" w:lineRule="auto"/>
        <w:ind w:left="3"/>
        <w:jc w:val="both"/>
        <w:rPr>
          <w:rFonts w:ascii="宋体" w:hAnsi="宋体" w:eastAsia="宋体" w:cs="宋体"/>
          <w:color w:val="auto"/>
          <w:sz w:val="21"/>
          <w:szCs w:val="21"/>
          <w:highlight w:val="none"/>
        </w:rPr>
      </w:pPr>
      <w:r>
        <w:rPr>
          <w:rFonts w:hint="eastAsia"/>
          <w:color w:val="auto"/>
          <w:spacing w:val="-1"/>
          <w:highlight w:val="none"/>
          <w:lang w:val="en-US" w:eastAsia="zh-CN"/>
        </w:rPr>
        <w:t>2</w:t>
      </w:r>
      <w:r>
        <w:rPr>
          <w:color w:val="auto"/>
          <w:spacing w:val="-1"/>
          <w:highlight w:val="none"/>
        </w:rPr>
        <w:t>.采购标的对应的中小企业划分标准所属行业：根据工信部联企业[2011]300 号文的规定， 本项目涉及中小企业的行业划型属于</w:t>
      </w:r>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w:t>
      </w:r>
      <w:r>
        <w:rPr>
          <w:rFonts w:hint="eastAsia" w:ascii="宋体" w:hAnsi="宋体" w:cs="宋体"/>
          <w:color w:val="auto"/>
          <w:spacing w:val="4"/>
          <w:sz w:val="21"/>
          <w:szCs w:val="21"/>
          <w:highlight w:val="none"/>
          <w:lang w:val="en-US" w:eastAsia="zh-CN"/>
          <w14:textOutline w14:w="3810" w14:cap="flat" w14:cmpd="sng">
            <w14:solidFill>
              <w14:srgbClr w14:val="000000"/>
            </w14:solidFill>
            <w14:prstDash w14:val="solid"/>
            <w14:miter w14:val="0"/>
          </w14:textOutline>
        </w:rPr>
        <w:t>其他未列明行业</w:t>
      </w:r>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w:t>
      </w:r>
      <w:r>
        <w:rPr>
          <w:rFonts w:ascii="宋体" w:hAnsi="宋体" w:eastAsia="宋体" w:cs="宋体"/>
          <w:color w:val="auto"/>
          <w:spacing w:val="-75"/>
          <w:sz w:val="21"/>
          <w:szCs w:val="21"/>
          <w:highlight w:val="none"/>
        </w:rPr>
        <w:t xml:space="preserve"> </w:t>
      </w:r>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w:t>
      </w:r>
    </w:p>
    <w:p w14:paraId="3A0E9570">
      <w:pPr>
        <w:keepNext w:val="0"/>
        <w:keepLines w:val="0"/>
        <w:pageBreakBefore w:val="0"/>
        <w:widowControl w:val="0"/>
        <w:kinsoku/>
        <w:wordWrap/>
        <w:overflowPunct/>
        <w:topLinePunct w:val="0"/>
        <w:autoSpaceDE/>
        <w:autoSpaceDN/>
        <w:bidi w:val="0"/>
        <w:snapToGrid/>
        <w:spacing w:before="307" w:line="36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z w:val="21"/>
          <w:szCs w:val="21"/>
          <w:highlight w:val="none"/>
          <w:lang w:val="en-US" w:eastAsia="zh-CN"/>
          <w14:textOutline w14:w="3810" w14:cap="flat" w14:cmpd="sng">
            <w14:solidFill>
              <w14:srgbClr w14:val="000000"/>
            </w14:solidFill>
            <w14:prstDash w14:val="solid"/>
            <w14:miter w14:val="0"/>
          </w14:textOutline>
        </w:rPr>
        <w:t>3、</w:t>
      </w:r>
      <w:r>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t>从业人员、营业收入、资产总额填报上一年度数据，无上一年度数据的新成立企业可不填报。</w:t>
      </w:r>
    </w:p>
    <w:p w14:paraId="34C5E290">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4F4DE8B3">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75E62234">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3A239556">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744F6BBA">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33A1136F">
      <w:pPr>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（3）残疾人福利性单位声明函(如有)</w:t>
      </w:r>
    </w:p>
    <w:p w14:paraId="69378B4A">
      <w:pPr>
        <w:spacing w:before="21" w:line="218" w:lineRule="auto"/>
        <w:ind w:left="1548"/>
        <w:rPr>
          <w:rFonts w:ascii="宋体" w:hAnsi="宋体" w:eastAsia="宋体" w:cs="宋体"/>
          <w:color w:val="auto"/>
          <w:spacing w:val="5"/>
          <w:sz w:val="24"/>
          <w:szCs w:val="24"/>
          <w:highlight w:val="none"/>
        </w:rPr>
      </w:pPr>
    </w:p>
    <w:p w14:paraId="5BF25A3D">
      <w:pPr>
        <w:spacing w:before="21" w:line="360" w:lineRule="auto"/>
        <w:ind w:left="154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符合残疾人福利单位的填写，不符合的无需提供本函或填写)</w:t>
      </w:r>
    </w:p>
    <w:p w14:paraId="3D4A2B22">
      <w:pPr>
        <w:spacing w:before="127" w:line="360" w:lineRule="auto"/>
        <w:ind w:firstLine="41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本单位郑重声明，根据《财政部 民政部 中国残疾人联合会关于促进残疾人就业政府采购政策的通知》(财库〔2017〕  141号)的规定，本单位为</w:t>
      </w:r>
    </w:p>
    <w:p w14:paraId="31A20817">
      <w:pPr>
        <w:spacing w:before="129" w:line="360" w:lineRule="auto"/>
        <w:ind w:left="414"/>
        <w:rPr>
          <w:rFonts w:ascii="宋体" w:hAnsi="宋体" w:eastAsia="宋体" w:cs="宋体"/>
          <w:color w:val="auto"/>
          <w:sz w:val="24"/>
          <w:szCs w:val="24"/>
          <w:highlight w:val="none"/>
        </w:rPr>
      </w:pPr>
      <w:r>
        <w:rPr>
          <w:rFonts w:ascii="宋体" w:hAnsi="宋体" w:eastAsia="宋体" w:cs="宋体"/>
          <w:color w:val="auto"/>
          <w:position w:val="-2"/>
          <w:sz w:val="24"/>
          <w:szCs w:val="24"/>
          <w:highlight w:val="none"/>
        </w:rPr>
        <w:drawing>
          <wp:inline distT="0" distB="0" distL="114300" distR="114300">
            <wp:extent cx="130810" cy="151765"/>
            <wp:effectExtent l="0" t="0" r="2540" b="635"/>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31"/>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1"/>
          <w:position w:val="-2"/>
          <w:sz w:val="24"/>
          <w:szCs w:val="24"/>
          <w:highlight w:val="none"/>
        </w:rPr>
        <w:t xml:space="preserve"> 不属于</w:t>
      </w:r>
      <w:r>
        <w:rPr>
          <w:rFonts w:ascii="宋体" w:hAnsi="宋体" w:eastAsia="宋体" w:cs="宋体"/>
          <w:color w:val="auto"/>
          <w:position w:val="-2"/>
          <w:sz w:val="24"/>
          <w:szCs w:val="24"/>
          <w:highlight w:val="none"/>
        </w:rPr>
        <w:t>符合条件的残疾人福利性单位。</w:t>
      </w:r>
    </w:p>
    <w:p w14:paraId="01CFD787">
      <w:pPr>
        <w:spacing w:before="127" w:line="360" w:lineRule="auto"/>
        <w:ind w:firstLine="414"/>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130810" cy="151765"/>
            <wp:effectExtent l="0" t="0" r="2540" b="635"/>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32"/>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1"/>
          <w:sz w:val="24"/>
          <w:szCs w:val="24"/>
          <w:highlight w:val="none"/>
        </w:rPr>
        <w:t xml:space="preserve"> 属于符合条件的残疾人福利性单位，且本单位参加</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单位的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项目采</w:t>
      </w:r>
      <w:r>
        <w:rPr>
          <w:rFonts w:ascii="宋体" w:hAnsi="宋体" w:eastAsia="宋体" w:cs="宋体"/>
          <w:color w:val="auto"/>
          <w:spacing w:val="1"/>
          <w:sz w:val="24"/>
          <w:szCs w:val="24"/>
          <w:highlight w:val="none"/>
        </w:rPr>
        <w:t>购活动提供本单位制造的货物(由本单位承担工程</w:t>
      </w:r>
      <w:r>
        <w:rPr>
          <w:rFonts w:ascii="仿宋" w:hAnsi="仿宋" w:eastAsia="仿宋" w:cs="仿宋"/>
          <w:color w:val="auto"/>
          <w:spacing w:val="1"/>
          <w:sz w:val="24"/>
          <w:szCs w:val="24"/>
          <w:highlight w:val="none"/>
        </w:rPr>
        <w:t>/</w:t>
      </w:r>
      <w:r>
        <w:rPr>
          <w:rFonts w:ascii="宋体" w:hAnsi="宋体" w:eastAsia="宋体" w:cs="宋体"/>
          <w:color w:val="auto"/>
          <w:spacing w:val="1"/>
          <w:sz w:val="24"/>
          <w:szCs w:val="24"/>
          <w:highlight w:val="none"/>
        </w:rPr>
        <w:t>提供服务) ，或者提供其他残疾人福利</w:t>
      </w:r>
      <w:r>
        <w:rPr>
          <w:rFonts w:ascii="宋体" w:hAnsi="宋体" w:eastAsia="宋体" w:cs="宋体"/>
          <w:color w:val="auto"/>
          <w:sz w:val="24"/>
          <w:szCs w:val="24"/>
          <w:highlight w:val="none"/>
        </w:rPr>
        <w:t xml:space="preserve">性单位制 </w:t>
      </w:r>
      <w:r>
        <w:rPr>
          <w:rFonts w:ascii="宋体" w:hAnsi="宋体" w:eastAsia="宋体" w:cs="宋体"/>
          <w:color w:val="auto"/>
          <w:spacing w:val="6"/>
          <w:sz w:val="24"/>
          <w:szCs w:val="24"/>
          <w:highlight w:val="none"/>
        </w:rPr>
        <w:t>造的货物(</w:t>
      </w:r>
      <w:r>
        <w:rPr>
          <w:rFonts w:ascii="宋体" w:hAnsi="宋体" w:eastAsia="宋体" w:cs="宋体"/>
          <w:color w:val="auto"/>
          <w:spacing w:val="4"/>
          <w:sz w:val="24"/>
          <w:szCs w:val="24"/>
          <w:highlight w:val="none"/>
        </w:rPr>
        <w:t>不</w:t>
      </w:r>
      <w:r>
        <w:rPr>
          <w:rFonts w:ascii="宋体" w:hAnsi="宋体" w:eastAsia="宋体" w:cs="宋体"/>
          <w:color w:val="auto"/>
          <w:spacing w:val="3"/>
          <w:sz w:val="24"/>
          <w:szCs w:val="24"/>
          <w:highlight w:val="none"/>
        </w:rPr>
        <w:t>包括使用非残疾人福利性单位注册商标的货物) 。</w:t>
      </w:r>
    </w:p>
    <w:p w14:paraId="6098DF37">
      <w:pPr>
        <w:spacing w:before="1" w:line="360" w:lineRule="auto"/>
        <w:ind w:left="4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本单位对上</w:t>
      </w:r>
      <w:r>
        <w:rPr>
          <w:rFonts w:ascii="宋体" w:hAnsi="宋体" w:eastAsia="宋体" w:cs="宋体"/>
          <w:color w:val="auto"/>
          <w:spacing w:val="-3"/>
          <w:sz w:val="24"/>
          <w:szCs w:val="24"/>
          <w:highlight w:val="none"/>
        </w:rPr>
        <w:t>述声明的真实性负责。如有虚假， 将依法承担相应责任。</w:t>
      </w:r>
    </w:p>
    <w:p w14:paraId="30B1445B">
      <w:pPr>
        <w:spacing w:line="360" w:lineRule="auto"/>
        <w:rPr>
          <w:rFonts w:ascii="Arial"/>
          <w:color w:val="auto"/>
          <w:sz w:val="24"/>
          <w:szCs w:val="24"/>
          <w:highlight w:val="none"/>
        </w:rPr>
      </w:pPr>
    </w:p>
    <w:p w14:paraId="22BC5C41">
      <w:pPr>
        <w:spacing w:line="360" w:lineRule="auto"/>
        <w:rPr>
          <w:rFonts w:ascii="Arial"/>
          <w:color w:val="auto"/>
          <w:sz w:val="24"/>
          <w:szCs w:val="24"/>
          <w:highlight w:val="none"/>
        </w:rPr>
      </w:pPr>
    </w:p>
    <w:p w14:paraId="7621D29D">
      <w:pPr>
        <w:spacing w:line="360" w:lineRule="auto"/>
        <w:rPr>
          <w:rFonts w:ascii="Arial"/>
          <w:color w:val="auto"/>
          <w:sz w:val="24"/>
          <w:szCs w:val="24"/>
          <w:highlight w:val="none"/>
        </w:rPr>
      </w:pPr>
    </w:p>
    <w:p w14:paraId="301C2741">
      <w:pPr>
        <w:spacing w:before="68" w:line="360" w:lineRule="auto"/>
        <w:ind w:right="300"/>
        <w:jc w:val="right"/>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供应商</w:t>
      </w:r>
      <w:r>
        <w:rPr>
          <w:rFonts w:hint="eastAsia" w:ascii="宋体" w:hAnsi="宋体" w:eastAsia="宋体" w:cs="宋体"/>
          <w:color w:val="auto"/>
          <w:spacing w:val="-3"/>
          <w:sz w:val="24"/>
          <w:szCs w:val="24"/>
          <w:highlight w:val="none"/>
        </w:rPr>
        <w:t>名称</w:t>
      </w:r>
      <w:r>
        <w:rPr>
          <w:rFonts w:ascii="宋体" w:hAnsi="宋体" w:eastAsia="宋体" w:cs="宋体"/>
          <w:color w:val="auto"/>
          <w:spacing w:val="-3"/>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eastAsia="zh-CN"/>
        </w:rPr>
        <w:t>签章</w:t>
      </w:r>
      <w:r>
        <w:rPr>
          <w:rFonts w:ascii="宋体" w:hAnsi="宋体" w:eastAsia="宋体" w:cs="宋体"/>
          <w:color w:val="auto"/>
          <w:sz w:val="24"/>
          <w:szCs w:val="24"/>
          <w:highlight w:val="none"/>
        </w:rPr>
        <w:t>)</w:t>
      </w:r>
    </w:p>
    <w:p w14:paraId="573E69D9">
      <w:pPr>
        <w:spacing w:before="158" w:line="360" w:lineRule="auto"/>
        <w:ind w:right="300"/>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eastAsia="zh-CN"/>
        </w:rPr>
        <w:t>签章</w:t>
      </w:r>
      <w:r>
        <w:rPr>
          <w:rFonts w:ascii="宋体" w:hAnsi="宋体" w:eastAsia="宋体" w:cs="宋体"/>
          <w:color w:val="auto"/>
          <w:spacing w:val="-2"/>
          <w:sz w:val="24"/>
          <w:szCs w:val="24"/>
          <w:highlight w:val="none"/>
        </w:rPr>
        <w:t>)</w:t>
      </w:r>
    </w:p>
    <w:p w14:paraId="68778CF3">
      <w:pPr>
        <w:spacing w:before="161" w:line="360" w:lineRule="auto"/>
        <w:ind w:left="38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日      期：</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日</w:t>
      </w:r>
    </w:p>
    <w:p w14:paraId="189A2C03">
      <w:pPr>
        <w:spacing w:line="360" w:lineRule="auto"/>
        <w:rPr>
          <w:color w:val="auto"/>
          <w:sz w:val="24"/>
          <w:szCs w:val="24"/>
          <w:highlight w:val="none"/>
        </w:rPr>
        <w:sectPr>
          <w:footerReference r:id="rId22" w:type="default"/>
          <w:pgSz w:w="11907" w:h="16839"/>
          <w:pgMar w:top="1399" w:right="1412" w:bottom="1103" w:left="1423" w:header="0" w:footer="929" w:gutter="0"/>
          <w:pgNumType w:fmt="decimal"/>
          <w:cols w:space="720" w:num="1"/>
        </w:sectPr>
      </w:pPr>
    </w:p>
    <w:p w14:paraId="6CBBD8A5">
      <w:pPr>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（4）、监狱企业单位声明函(如有)</w:t>
      </w:r>
    </w:p>
    <w:p w14:paraId="7499FF52">
      <w:pPr>
        <w:spacing w:before="21" w:line="360" w:lineRule="auto"/>
        <w:ind w:left="1648"/>
        <w:rPr>
          <w:rFonts w:ascii="宋体" w:hAnsi="宋体" w:eastAsia="宋体" w:cs="宋体"/>
          <w:color w:val="auto"/>
          <w:spacing w:val="6"/>
          <w:sz w:val="24"/>
          <w:szCs w:val="24"/>
          <w:highlight w:val="none"/>
        </w:rPr>
      </w:pPr>
    </w:p>
    <w:p w14:paraId="3BFB55BC">
      <w:pPr>
        <w:spacing w:before="21" w:line="360" w:lineRule="auto"/>
        <w:ind w:left="164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(符合监狱</w:t>
      </w:r>
      <w:r>
        <w:rPr>
          <w:rFonts w:ascii="宋体" w:hAnsi="宋体" w:eastAsia="宋体" w:cs="宋体"/>
          <w:color w:val="auto"/>
          <w:spacing w:val="3"/>
          <w:sz w:val="24"/>
          <w:szCs w:val="24"/>
          <w:highlight w:val="none"/>
        </w:rPr>
        <w:t>企业单位的填写，不符合的无需提供本函或填写)</w:t>
      </w:r>
    </w:p>
    <w:p w14:paraId="618434B2">
      <w:pPr>
        <w:spacing w:before="160" w:line="360" w:lineRule="auto"/>
        <w:ind w:left="416"/>
        <w:rPr>
          <w:rFonts w:ascii="宋体" w:hAnsi="宋体" w:eastAsia="宋体" w:cs="宋体"/>
          <w:color w:val="auto"/>
          <w:sz w:val="24"/>
          <w:szCs w:val="24"/>
          <w:highlight w:val="none"/>
        </w:rPr>
      </w:pPr>
      <w:bookmarkStart w:id="97" w:name="_bookmark13"/>
      <w:bookmarkEnd w:id="97"/>
      <w:r>
        <w:rPr>
          <w:rFonts w:ascii="宋体" w:hAnsi="宋体" w:eastAsia="宋体" w:cs="宋体"/>
          <w:color w:val="auto"/>
          <w:spacing w:val="-1"/>
          <w:position w:val="12"/>
          <w:sz w:val="24"/>
          <w:szCs w:val="24"/>
          <w:highlight w:val="none"/>
        </w:rPr>
        <w:t>本单位郑重声</w:t>
      </w:r>
      <w:r>
        <w:rPr>
          <w:rFonts w:ascii="宋体" w:hAnsi="宋体" w:eastAsia="宋体" w:cs="宋体"/>
          <w:color w:val="auto"/>
          <w:position w:val="12"/>
          <w:sz w:val="24"/>
          <w:szCs w:val="24"/>
          <w:highlight w:val="none"/>
        </w:rPr>
        <w:t>明，我单位</w:t>
      </w:r>
    </w:p>
    <w:p w14:paraId="1714998F">
      <w:pPr>
        <w:spacing w:line="360" w:lineRule="auto"/>
        <w:ind w:left="408"/>
        <w:rPr>
          <w:rFonts w:ascii="宋体" w:hAnsi="宋体" w:eastAsia="宋体" w:cs="宋体"/>
          <w:color w:val="auto"/>
          <w:sz w:val="24"/>
          <w:szCs w:val="24"/>
          <w:highlight w:val="none"/>
        </w:rPr>
      </w:pPr>
      <w:r>
        <w:rPr>
          <w:rFonts w:ascii="宋体" w:hAnsi="宋体" w:eastAsia="宋体" w:cs="宋体"/>
          <w:color w:val="auto"/>
          <w:position w:val="-2"/>
          <w:sz w:val="24"/>
          <w:szCs w:val="24"/>
          <w:highlight w:val="none"/>
        </w:rPr>
        <w:drawing>
          <wp:inline distT="0" distB="0" distL="114300" distR="114300">
            <wp:extent cx="130810" cy="151765"/>
            <wp:effectExtent l="0" t="0" r="2540" b="635"/>
            <wp:docPr id="8" name="图片 5"/>
            <wp:cNvGraphicFramePr/>
            <a:graphic xmlns:a="http://schemas.openxmlformats.org/drawingml/2006/main">
              <a:graphicData uri="http://schemas.openxmlformats.org/drawingml/2006/picture">
                <pic:pic xmlns:pic="http://schemas.openxmlformats.org/drawingml/2006/picture">
                  <pic:nvPicPr>
                    <pic:cNvPr id="8" name="图片 5"/>
                    <pic:cNvPicPr/>
                  </pic:nvPicPr>
                  <pic:blipFill>
                    <a:blip r:embed="rId33"/>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2"/>
          <w:position w:val="-2"/>
          <w:sz w:val="24"/>
          <w:szCs w:val="24"/>
          <w:highlight w:val="none"/>
        </w:rPr>
        <w:t xml:space="preserve"> </w:t>
      </w:r>
      <w:r>
        <w:rPr>
          <w:rFonts w:ascii="宋体" w:hAnsi="宋体" w:eastAsia="宋体" w:cs="宋体"/>
          <w:color w:val="auto"/>
          <w:spacing w:val="-1"/>
          <w:position w:val="-2"/>
          <w:sz w:val="24"/>
          <w:szCs w:val="24"/>
          <w:highlight w:val="none"/>
        </w:rPr>
        <w:t>不属于监狱企业单位。</w:t>
      </w:r>
    </w:p>
    <w:p w14:paraId="29FC2E79">
      <w:pPr>
        <w:spacing w:before="127" w:line="360" w:lineRule="auto"/>
        <w:ind w:firstLine="408"/>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130810" cy="151765"/>
            <wp:effectExtent l="0" t="0" r="2540" b="635"/>
            <wp:docPr id="9" name="图片 6"/>
            <wp:cNvGraphicFramePr/>
            <a:graphic xmlns:a="http://schemas.openxmlformats.org/drawingml/2006/main">
              <a:graphicData uri="http://schemas.openxmlformats.org/drawingml/2006/picture">
                <pic:pic xmlns:pic="http://schemas.openxmlformats.org/drawingml/2006/picture">
                  <pic:nvPicPr>
                    <pic:cNvPr id="9" name="图片 6"/>
                    <pic:cNvPicPr/>
                  </pic:nvPicPr>
                  <pic:blipFill>
                    <a:blip r:embed="rId34"/>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2"/>
          <w:sz w:val="24"/>
          <w:szCs w:val="24"/>
          <w:highlight w:val="none"/>
        </w:rPr>
        <w:t xml:space="preserve"> 属于监狱企业单</w:t>
      </w:r>
      <w:r>
        <w:rPr>
          <w:rFonts w:ascii="宋体" w:hAnsi="宋体" w:eastAsia="宋体" w:cs="宋体"/>
          <w:color w:val="auto"/>
          <w:spacing w:val="1"/>
          <w:sz w:val="24"/>
          <w:szCs w:val="24"/>
          <w:highlight w:val="none"/>
        </w:rPr>
        <w:t>位。并提供由省级以上监狱管理局、戒毒管理局(含新疆生产建设兵团) 出</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具</w:t>
      </w:r>
      <w:r>
        <w:rPr>
          <w:rFonts w:ascii="宋体" w:hAnsi="宋体" w:eastAsia="宋体" w:cs="宋体"/>
          <w:color w:val="auto"/>
          <w:spacing w:val="-2"/>
          <w:sz w:val="24"/>
          <w:szCs w:val="24"/>
          <w:highlight w:val="none"/>
        </w:rPr>
        <w:t>的属于监狱企业的证明文件。</w:t>
      </w:r>
    </w:p>
    <w:p w14:paraId="61662D3F">
      <w:pPr>
        <w:spacing w:line="360" w:lineRule="auto"/>
        <w:rPr>
          <w:rFonts w:ascii="Arial"/>
          <w:color w:val="auto"/>
          <w:sz w:val="24"/>
          <w:szCs w:val="24"/>
          <w:highlight w:val="none"/>
        </w:rPr>
      </w:pPr>
    </w:p>
    <w:p w14:paraId="39FD3952">
      <w:pPr>
        <w:spacing w:line="360" w:lineRule="auto"/>
        <w:rPr>
          <w:rFonts w:ascii="Arial"/>
          <w:color w:val="auto"/>
          <w:sz w:val="24"/>
          <w:szCs w:val="24"/>
          <w:highlight w:val="none"/>
        </w:rPr>
      </w:pPr>
    </w:p>
    <w:p w14:paraId="0D0F5F34">
      <w:pPr>
        <w:spacing w:line="360" w:lineRule="auto"/>
        <w:rPr>
          <w:rFonts w:ascii="Arial"/>
          <w:color w:val="auto"/>
          <w:sz w:val="24"/>
          <w:szCs w:val="24"/>
          <w:highlight w:val="none"/>
        </w:rPr>
      </w:pPr>
    </w:p>
    <w:p w14:paraId="4DCD9962">
      <w:pPr>
        <w:spacing w:line="360" w:lineRule="auto"/>
        <w:rPr>
          <w:rFonts w:ascii="Arial"/>
          <w:color w:val="auto"/>
          <w:sz w:val="24"/>
          <w:szCs w:val="24"/>
          <w:highlight w:val="none"/>
        </w:rPr>
      </w:pPr>
    </w:p>
    <w:p w14:paraId="208B2408">
      <w:pPr>
        <w:spacing w:line="360" w:lineRule="auto"/>
        <w:rPr>
          <w:rFonts w:ascii="Arial"/>
          <w:color w:val="auto"/>
          <w:sz w:val="24"/>
          <w:szCs w:val="24"/>
          <w:highlight w:val="none"/>
        </w:rPr>
      </w:pPr>
    </w:p>
    <w:p w14:paraId="054C8900">
      <w:pPr>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auto"/>
        <w:outlineLvl w:val="9"/>
        <w:rPr>
          <w:rFonts w:ascii="宋体" w:hAnsi="宋体" w:eastAsia="宋体" w:cs="宋体"/>
          <w:color w:val="auto"/>
          <w:spacing w:val="-3"/>
          <w:sz w:val="24"/>
          <w:szCs w:val="24"/>
          <w:highlight w:val="none"/>
        </w:rPr>
      </w:pPr>
      <w:r>
        <w:rPr>
          <w:rFonts w:hint="eastAsia" w:ascii="微软雅黑" w:hAnsi="微软雅黑" w:eastAsia="微软雅黑" w:cs="微软雅黑"/>
          <w:color w:val="auto"/>
          <w:sz w:val="22"/>
          <w:szCs w:val="22"/>
          <w:highlight w:val="none"/>
          <w:lang w:val="en-US" w:eastAsia="zh-CN"/>
        </w:rPr>
        <w:t xml:space="preserve">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供应商</w:t>
      </w:r>
      <w:r>
        <w:rPr>
          <w:rFonts w:hint="eastAsia" w:ascii="宋体" w:hAnsi="宋体" w:eastAsia="宋体" w:cs="宋体"/>
          <w:color w:val="auto"/>
          <w:spacing w:val="-3"/>
          <w:sz w:val="24"/>
          <w:szCs w:val="24"/>
          <w:highlight w:val="none"/>
        </w:rPr>
        <w:t>名称：</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eastAsia="zh-CN"/>
        </w:rPr>
        <w:t>签章</w:t>
      </w:r>
      <w:r>
        <w:rPr>
          <w:rFonts w:hint="eastAsia" w:ascii="宋体" w:hAnsi="宋体" w:eastAsia="宋体" w:cs="宋体"/>
          <w:color w:val="auto"/>
          <w:spacing w:val="-3"/>
          <w:sz w:val="24"/>
          <w:szCs w:val="24"/>
          <w:highlight w:val="none"/>
        </w:rPr>
        <w:t xml:space="preserve">)         </w:t>
      </w:r>
    </w:p>
    <w:p w14:paraId="00511409">
      <w:pPr>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auto"/>
        <w:outlineLvl w:val="9"/>
        <w:rPr>
          <w:rFonts w:hint="eastAsia" w:ascii="微软雅黑" w:hAnsi="微软雅黑" w:eastAsia="微软雅黑" w:cs="微软雅黑"/>
          <w:color w:val="auto"/>
          <w:sz w:val="22"/>
          <w:szCs w:val="22"/>
          <w:highlight w:val="none"/>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法定代表人</w:t>
      </w:r>
      <w:r>
        <w:rPr>
          <w:rFonts w:hint="eastAsia" w:ascii="微软雅黑" w:hAnsi="微软雅黑" w:eastAsia="微软雅黑" w:cs="微软雅黑"/>
          <w:color w:val="auto"/>
          <w:sz w:val="22"/>
          <w:szCs w:val="22"/>
          <w:highlight w:val="none"/>
        </w:rPr>
        <w:t>：</w:t>
      </w:r>
      <w:r>
        <w:rPr>
          <w:rFonts w:hint="eastAsia" w:ascii="宋体" w:hAnsi="宋体" w:eastAsia="宋体" w:cs="宋体"/>
          <w:color w:val="auto"/>
          <w:spacing w:val="-3"/>
          <w:sz w:val="24"/>
          <w:szCs w:val="24"/>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签章</w:t>
      </w:r>
      <w:r>
        <w:rPr>
          <w:rFonts w:hint="eastAsia" w:ascii="微软雅黑" w:hAnsi="微软雅黑" w:eastAsia="微软雅黑" w:cs="微软雅黑"/>
          <w:color w:val="auto"/>
          <w:sz w:val="22"/>
          <w:szCs w:val="22"/>
          <w:highlight w:val="none"/>
        </w:rPr>
        <w:t>）</w:t>
      </w:r>
    </w:p>
    <w:p w14:paraId="3D2ED2FC">
      <w:pPr>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auto"/>
        <w:outlineLvl w:val="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日      期：</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日</w:t>
      </w:r>
    </w:p>
    <w:p w14:paraId="0437B1C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5F717DCB">
      <w:pPr>
        <w:spacing w:line="257" w:lineRule="auto"/>
        <w:rPr>
          <w:rFonts w:ascii="Arial"/>
          <w:color w:val="auto"/>
          <w:sz w:val="21"/>
          <w:highlight w:val="none"/>
        </w:rPr>
      </w:pPr>
    </w:p>
    <w:p w14:paraId="7556649A">
      <w:pPr>
        <w:spacing w:line="257" w:lineRule="auto"/>
        <w:rPr>
          <w:rFonts w:ascii="Arial"/>
          <w:color w:val="auto"/>
          <w:sz w:val="21"/>
          <w:highlight w:val="none"/>
        </w:rPr>
      </w:pPr>
    </w:p>
    <w:p w14:paraId="4DBEAD12">
      <w:pPr>
        <w:spacing w:line="257" w:lineRule="auto"/>
        <w:rPr>
          <w:rFonts w:ascii="Arial"/>
          <w:color w:val="auto"/>
          <w:sz w:val="21"/>
          <w:highlight w:val="none"/>
        </w:rPr>
      </w:pPr>
    </w:p>
    <w:p w14:paraId="2C924A1E">
      <w:pPr>
        <w:spacing w:line="257" w:lineRule="auto"/>
        <w:rPr>
          <w:rFonts w:ascii="Arial"/>
          <w:color w:val="auto"/>
          <w:sz w:val="21"/>
          <w:highlight w:val="none"/>
        </w:rPr>
      </w:pPr>
    </w:p>
    <w:p w14:paraId="101CEC32">
      <w:pPr>
        <w:spacing w:line="257" w:lineRule="auto"/>
        <w:rPr>
          <w:rFonts w:ascii="Arial"/>
          <w:color w:val="auto"/>
          <w:sz w:val="21"/>
          <w:highlight w:val="none"/>
        </w:rPr>
      </w:pPr>
    </w:p>
    <w:p w14:paraId="1EAAB057">
      <w:pPr>
        <w:spacing w:line="257" w:lineRule="auto"/>
        <w:rPr>
          <w:rFonts w:ascii="Arial"/>
          <w:color w:val="auto"/>
          <w:sz w:val="21"/>
          <w:highlight w:val="none"/>
        </w:rPr>
      </w:pPr>
    </w:p>
    <w:p w14:paraId="634D28DC">
      <w:pPr>
        <w:spacing w:line="257" w:lineRule="auto"/>
        <w:rPr>
          <w:rFonts w:ascii="Arial"/>
          <w:color w:val="auto"/>
          <w:sz w:val="21"/>
          <w:highlight w:val="none"/>
        </w:rPr>
      </w:pPr>
    </w:p>
    <w:p w14:paraId="194A5202">
      <w:pPr>
        <w:spacing w:line="257" w:lineRule="auto"/>
        <w:rPr>
          <w:rFonts w:ascii="Arial"/>
          <w:color w:val="auto"/>
          <w:sz w:val="21"/>
          <w:highlight w:val="none"/>
        </w:rPr>
      </w:pPr>
    </w:p>
    <w:p w14:paraId="78ADFED6">
      <w:pPr>
        <w:spacing w:line="257" w:lineRule="auto"/>
        <w:rPr>
          <w:rFonts w:ascii="Arial"/>
          <w:color w:val="auto"/>
          <w:sz w:val="21"/>
          <w:highlight w:val="none"/>
        </w:rPr>
      </w:pPr>
    </w:p>
    <w:p w14:paraId="75039313">
      <w:pPr>
        <w:spacing w:line="257" w:lineRule="auto"/>
        <w:rPr>
          <w:rFonts w:ascii="Arial"/>
          <w:color w:val="auto"/>
          <w:sz w:val="21"/>
          <w:highlight w:val="none"/>
        </w:rPr>
      </w:pPr>
    </w:p>
    <w:p w14:paraId="0BEC64E9">
      <w:pPr>
        <w:spacing w:line="257" w:lineRule="auto"/>
        <w:rPr>
          <w:rFonts w:ascii="Arial"/>
          <w:color w:val="auto"/>
          <w:sz w:val="21"/>
          <w:highlight w:val="none"/>
        </w:rPr>
      </w:pPr>
    </w:p>
    <w:p w14:paraId="304776E4">
      <w:pPr>
        <w:spacing w:line="257" w:lineRule="auto"/>
        <w:rPr>
          <w:rFonts w:ascii="Arial"/>
          <w:color w:val="auto"/>
          <w:sz w:val="21"/>
          <w:highlight w:val="none"/>
        </w:rPr>
      </w:pPr>
    </w:p>
    <w:p w14:paraId="3AA27660">
      <w:pPr>
        <w:spacing w:line="257" w:lineRule="auto"/>
        <w:rPr>
          <w:rFonts w:ascii="Arial"/>
          <w:color w:val="auto"/>
          <w:sz w:val="21"/>
          <w:highlight w:val="none"/>
        </w:rPr>
      </w:pPr>
    </w:p>
    <w:p w14:paraId="4954F0D8">
      <w:pPr>
        <w:spacing w:line="257" w:lineRule="auto"/>
        <w:rPr>
          <w:rFonts w:ascii="Arial"/>
          <w:color w:val="auto"/>
          <w:sz w:val="21"/>
          <w:highlight w:val="none"/>
        </w:rPr>
      </w:pPr>
    </w:p>
    <w:p w14:paraId="6D1B6384">
      <w:pPr>
        <w:spacing w:line="257" w:lineRule="auto"/>
        <w:rPr>
          <w:rFonts w:ascii="Arial"/>
          <w:color w:val="auto"/>
          <w:sz w:val="21"/>
          <w:highlight w:val="none"/>
        </w:rPr>
      </w:pPr>
    </w:p>
    <w:p w14:paraId="3AA7C9D2">
      <w:pPr>
        <w:spacing w:line="257" w:lineRule="auto"/>
        <w:rPr>
          <w:rFonts w:ascii="Arial"/>
          <w:color w:val="auto"/>
          <w:sz w:val="21"/>
          <w:highlight w:val="none"/>
        </w:rPr>
      </w:pPr>
    </w:p>
    <w:p w14:paraId="38764121">
      <w:pPr>
        <w:spacing w:line="257" w:lineRule="auto"/>
        <w:rPr>
          <w:rFonts w:ascii="Arial"/>
          <w:color w:val="auto"/>
          <w:sz w:val="21"/>
          <w:highlight w:val="none"/>
        </w:rPr>
      </w:pPr>
    </w:p>
    <w:p w14:paraId="0D0F7291">
      <w:pPr>
        <w:spacing w:line="257" w:lineRule="auto"/>
        <w:rPr>
          <w:rFonts w:ascii="Arial"/>
          <w:color w:val="auto"/>
          <w:sz w:val="21"/>
          <w:highlight w:val="none"/>
        </w:rPr>
      </w:pPr>
    </w:p>
    <w:p w14:paraId="377A7CC6">
      <w:pPr>
        <w:spacing w:line="257" w:lineRule="auto"/>
        <w:rPr>
          <w:rFonts w:ascii="Arial"/>
          <w:color w:val="auto"/>
          <w:sz w:val="21"/>
          <w:highlight w:val="none"/>
        </w:rPr>
      </w:pPr>
    </w:p>
    <w:p w14:paraId="1EB37DF6">
      <w:pPr>
        <w:spacing w:line="257" w:lineRule="auto"/>
        <w:rPr>
          <w:rFonts w:ascii="Arial"/>
          <w:color w:val="auto"/>
          <w:sz w:val="21"/>
          <w:highlight w:val="none"/>
        </w:rPr>
      </w:pPr>
    </w:p>
    <w:p w14:paraId="1658FA5F">
      <w:pPr>
        <w:pStyle w:val="4"/>
        <w:spacing w:before="91" w:line="224" w:lineRule="auto"/>
        <w:ind w:left="3258"/>
        <w:outlineLvl w:val="1"/>
        <w:rPr>
          <w:color w:val="auto"/>
          <w:highlight w:val="none"/>
        </w:rPr>
      </w:pPr>
      <w:bookmarkStart w:id="98" w:name="_Toc26187"/>
      <w:r>
        <w:rPr>
          <w:color w:val="auto"/>
          <w:spacing w:val="2"/>
          <w:highlight w:val="none"/>
          <w14:textOutline w14:w="5170" w14:cap="flat" w14:cmpd="sng">
            <w14:solidFill>
              <w14:srgbClr w14:val="000000"/>
            </w14:solidFill>
            <w14:prstDash w14:val="solid"/>
            <w14:miter w14:val="0"/>
          </w14:textOutline>
        </w:rPr>
        <w:t>六、监理大纲</w:t>
      </w:r>
      <w:bookmarkEnd w:id="98"/>
    </w:p>
    <w:p w14:paraId="1443F917">
      <w:pPr>
        <w:spacing w:line="420" w:lineRule="auto"/>
        <w:rPr>
          <w:rFonts w:ascii="Arial"/>
          <w:color w:val="auto"/>
          <w:sz w:val="21"/>
          <w:highlight w:val="none"/>
        </w:rPr>
      </w:pPr>
    </w:p>
    <w:p w14:paraId="46A18B6D">
      <w:pPr>
        <w:pStyle w:val="4"/>
        <w:spacing w:before="68" w:line="220" w:lineRule="auto"/>
        <w:ind w:left="25"/>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监理大纲编制主要内容、目录顺序设置应与招标文件技术标评分项保持一致：</w:t>
      </w:r>
    </w:p>
    <w:p w14:paraId="511C7258">
      <w:pPr>
        <w:pStyle w:val="4"/>
        <w:spacing w:before="155" w:line="219" w:lineRule="auto"/>
        <w:ind w:left="3739"/>
        <w:rPr>
          <w:color w:val="auto"/>
          <w:sz w:val="21"/>
          <w:szCs w:val="21"/>
          <w:highlight w:val="none"/>
        </w:rPr>
      </w:pPr>
      <w:r>
        <w:rPr>
          <w:color w:val="auto"/>
          <w:spacing w:val="-4"/>
          <w:sz w:val="21"/>
          <w:szCs w:val="21"/>
          <w:highlight w:val="none"/>
        </w:rPr>
        <w:t>（格式自拟）</w:t>
      </w:r>
    </w:p>
    <w:p w14:paraId="78693680">
      <w:pPr>
        <w:rPr>
          <w:color w:val="auto"/>
          <w:highlight w:val="none"/>
        </w:rPr>
      </w:pPr>
    </w:p>
    <w:p w14:paraId="249FABCF">
      <w:pPr>
        <w:rPr>
          <w:color w:val="auto"/>
          <w:highlight w:val="none"/>
        </w:rPr>
      </w:pPr>
    </w:p>
    <w:p w14:paraId="7A2E62A4">
      <w:pPr>
        <w:rPr>
          <w:color w:val="auto"/>
          <w:highlight w:val="none"/>
        </w:rPr>
      </w:pPr>
      <w:r>
        <w:rPr>
          <w:color w:val="auto"/>
          <w:highlight w:val="none"/>
        </w:rPr>
        <w:br w:type="page"/>
      </w:r>
    </w:p>
    <w:p w14:paraId="333A706F">
      <w:pPr>
        <w:tabs>
          <w:tab w:val="left" w:pos="312"/>
        </w:tabs>
        <w:spacing w:line="360" w:lineRule="auto"/>
        <w:jc w:val="center"/>
        <w:outlineLvl w:val="0"/>
        <w:rPr>
          <w:rFonts w:hint="eastAsia" w:ascii="黑体" w:hAnsi="Times New Roman" w:eastAsia="黑体" w:cs="Times New Roman"/>
          <w:color w:val="auto"/>
          <w:sz w:val="32"/>
          <w:szCs w:val="32"/>
          <w:highlight w:val="none"/>
          <w:lang w:val="en-US" w:eastAsia="zh-CN"/>
        </w:rPr>
      </w:pPr>
      <w:r>
        <w:rPr>
          <w:rFonts w:hint="eastAsia" w:ascii="黑体" w:eastAsia="黑体"/>
          <w:color w:val="auto"/>
          <w:sz w:val="32"/>
          <w:szCs w:val="32"/>
          <w:highlight w:val="none"/>
        </w:rPr>
        <w:t>第</w:t>
      </w:r>
      <w:r>
        <w:rPr>
          <w:rFonts w:hint="eastAsia" w:ascii="黑体" w:eastAsia="黑体"/>
          <w:color w:val="auto"/>
          <w:sz w:val="32"/>
          <w:szCs w:val="32"/>
          <w:highlight w:val="none"/>
          <w:lang w:val="en-US" w:eastAsia="zh-CN"/>
        </w:rPr>
        <w:t>七</w:t>
      </w:r>
      <w:r>
        <w:rPr>
          <w:rFonts w:hint="eastAsia" w:ascii="黑体" w:hAnsi="Times New Roman" w:eastAsia="黑体" w:cs="Times New Roman"/>
          <w:color w:val="auto"/>
          <w:sz w:val="32"/>
          <w:szCs w:val="32"/>
          <w:highlight w:val="none"/>
        </w:rPr>
        <w:t>章</w:t>
      </w:r>
      <w:r>
        <w:rPr>
          <w:rFonts w:hint="eastAsia" w:ascii="黑体" w:hAnsi="Times New Roman" w:eastAsia="黑体" w:cs="Times New Roman"/>
          <w:color w:val="auto"/>
          <w:sz w:val="32"/>
          <w:szCs w:val="32"/>
          <w:highlight w:val="none"/>
          <w:lang w:val="en-US" w:eastAsia="zh-CN"/>
        </w:rPr>
        <w:t xml:space="preserve">  定标办法</w:t>
      </w:r>
    </w:p>
    <w:p w14:paraId="2AA90090">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1.定标依据</w:t>
      </w:r>
    </w:p>
    <w:p w14:paraId="3FDA1A7C">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本次定标办法的制定依据下列文件进行：</w:t>
      </w:r>
    </w:p>
    <w:p w14:paraId="38DB67A7">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《中华人民共和国招标投标法》；</w:t>
      </w:r>
    </w:p>
    <w:p w14:paraId="71C78121">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河南省政府投资工程建设项目招标投标“评定分离”管理办法(试行)》豫发改公管规〔2025〕559 号</w:t>
      </w:r>
      <w:r>
        <w:rPr>
          <w:rFonts w:hint="eastAsia" w:ascii="宋体" w:hAnsi="宋体" w:cs="宋体"/>
          <w:bCs/>
          <w:color w:val="auto"/>
          <w:szCs w:val="21"/>
          <w:highlight w:val="none"/>
        </w:rPr>
        <w:t>；</w:t>
      </w:r>
    </w:p>
    <w:p w14:paraId="36BE6E32">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本项目招标文件；</w:t>
      </w:r>
    </w:p>
    <w:p w14:paraId="7FD1B8D2">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评标委员会推荐的中标候选人名单；</w:t>
      </w:r>
    </w:p>
    <w:p w14:paraId="273161A6">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招标投标全过程资料；</w:t>
      </w:r>
    </w:p>
    <w:p w14:paraId="1493C2D5">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其他有关法律法规和相关制度。</w:t>
      </w:r>
    </w:p>
    <w:p w14:paraId="61A40113">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2.定标原则及时间地点</w:t>
      </w:r>
    </w:p>
    <w:p w14:paraId="2D5D1E59">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基本原则：遵循公开透明、科学规范、廉洁高效的原则，综合考虑信用、履约等因素，定标过程包括核查、定标会议两个阶段。</w:t>
      </w:r>
    </w:p>
    <w:p w14:paraId="6E4F038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定标时间：招标人应当在收到评标报告10日内完成定标工作。</w:t>
      </w:r>
    </w:p>
    <w:p w14:paraId="257939EB">
      <w:pPr>
        <w:spacing w:line="44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核查</w:t>
      </w:r>
      <w:r>
        <w:rPr>
          <w:rFonts w:hint="eastAsia" w:ascii="宋体" w:hAnsi="宋体" w:cs="宋体"/>
          <w:bCs/>
          <w:color w:val="auto"/>
          <w:szCs w:val="21"/>
          <w:highlight w:val="none"/>
          <w:lang w:val="en-US" w:eastAsia="zh-CN"/>
        </w:rPr>
        <w:t>地点：由招标人自行确定。</w:t>
      </w:r>
    </w:p>
    <w:p w14:paraId="53B7FFA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定标地点：</w:t>
      </w:r>
      <w:r>
        <w:rPr>
          <w:rFonts w:hint="eastAsia" w:ascii="宋体" w:hAnsi="宋体" w:cs="宋体"/>
          <w:bCs/>
          <w:color w:val="auto"/>
          <w:szCs w:val="21"/>
          <w:highlight w:val="none"/>
          <w:lang w:val="en-US" w:eastAsia="zh-CN"/>
        </w:rPr>
        <w:t>新乡市</w:t>
      </w:r>
      <w:r>
        <w:rPr>
          <w:rFonts w:hint="eastAsia" w:ascii="宋体" w:hAnsi="宋体" w:cs="宋体"/>
          <w:bCs/>
          <w:color w:val="auto"/>
          <w:szCs w:val="21"/>
          <w:highlight w:val="none"/>
        </w:rPr>
        <w:t>公共资源交易中心，鼓励中标候选人的法定代表人或其授权委托代理人现场参加定标会议。</w:t>
      </w:r>
    </w:p>
    <w:p w14:paraId="11ADCF50">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3.定标方法</w:t>
      </w:r>
    </w:p>
    <w:p w14:paraId="5C245E2F">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本项目定标委员会将通过</w:t>
      </w:r>
      <w:r>
        <w:rPr>
          <w:rFonts w:hint="eastAsia" w:ascii="宋体" w:hAnsi="宋体" w:cs="宋体"/>
          <w:bCs/>
          <w:color w:val="auto"/>
          <w:szCs w:val="21"/>
          <w:highlight w:val="none"/>
          <w:lang w:val="en-US" w:eastAsia="zh-CN"/>
        </w:rPr>
        <w:t>“票决法”</w:t>
      </w:r>
      <w:r>
        <w:rPr>
          <w:rFonts w:hint="eastAsia" w:ascii="宋体" w:hAnsi="宋体" w:cs="宋体"/>
          <w:bCs/>
          <w:color w:val="auto"/>
          <w:szCs w:val="21"/>
          <w:highlight w:val="none"/>
        </w:rPr>
        <w:t>进行定标，定标过程包括核查、定标会议两个阶段。</w:t>
      </w:r>
    </w:p>
    <w:p w14:paraId="78122695">
      <w:pPr>
        <w:spacing w:line="44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定标会在新乡市公共资源交易中心进行。</w:t>
      </w:r>
    </w:p>
    <w:p w14:paraId="4F877147">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4.定标委员会的组建</w:t>
      </w:r>
    </w:p>
    <w:p w14:paraId="349162B7">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w:t>
      </w:r>
      <w:r>
        <w:rPr>
          <w:rFonts w:hint="eastAsia" w:ascii="宋体" w:hAnsi="宋体" w:cs="宋体"/>
          <w:bCs/>
          <w:color w:val="auto"/>
          <w:szCs w:val="21"/>
          <w:highlight w:val="none"/>
          <w:lang w:val="en-US" w:eastAsia="zh-CN"/>
        </w:rPr>
        <w:t>招标人应当在收到评标报告后 10 日内完成定标工作，招标人组建定标委员会，负责对中标候选人进行核查和组织召开定标会议。定标工作由定标委员会独立完成。</w:t>
      </w:r>
    </w:p>
    <w:p w14:paraId="51116C5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定标委员会成员数量为5人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本单位成员不低于成员总数的三分之二。定标委员会组长由招标人确定，原则上由招标人的法定代表人、主要负责人或分管负责人担任，其他成员可由招标人</w:t>
      </w:r>
      <w:r>
        <w:rPr>
          <w:rFonts w:hint="eastAsia" w:ascii="宋体" w:hAnsi="宋体" w:cs="宋体"/>
          <w:bCs/>
          <w:color w:val="auto"/>
          <w:szCs w:val="21"/>
          <w:highlight w:val="none"/>
          <w:lang w:val="en-US" w:eastAsia="zh-CN"/>
        </w:rPr>
        <w:t>自行选定</w:t>
      </w:r>
      <w:r>
        <w:rPr>
          <w:rFonts w:hint="eastAsia" w:ascii="宋体" w:hAnsi="宋体" w:cs="宋体"/>
          <w:bCs/>
          <w:color w:val="auto"/>
          <w:szCs w:val="21"/>
          <w:highlight w:val="none"/>
        </w:rPr>
        <w:t>。</w:t>
      </w:r>
    </w:p>
    <w:p w14:paraId="208D4487">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成员与中标候选人有利害关系的应当主动申请回避。中标结果公示前，评标专家和定标委员会名单及个人信息应当严格保密。定标委员会应当对定标过程保密，对所提出的定标意见承担个人责任，不得私下与投标人或者其他利害关系人接触。</w:t>
      </w:r>
    </w:p>
    <w:p w14:paraId="0F278023">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5.定标前核查</w:t>
      </w:r>
    </w:p>
    <w:p w14:paraId="4964D26A">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定标会议召开前，定标委员会将对中标候选人进行定标前核查，并形成核查报告。</w:t>
      </w:r>
    </w:p>
    <w:p w14:paraId="16D7AA84">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核查内容包括：</w:t>
      </w:r>
    </w:p>
    <w:p w14:paraId="5EFF8D49">
      <w:pPr>
        <w:wordWrap w:val="0"/>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(1)中标候选人资质证书；</w:t>
      </w:r>
    </w:p>
    <w:p w14:paraId="5A967FB7">
      <w:pPr>
        <w:wordWrap w:val="0"/>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(2)项目总监的资格证书；</w:t>
      </w:r>
    </w:p>
    <w:p w14:paraId="18D6E6F8">
      <w:pPr>
        <w:wordWrap w:val="0"/>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(3)投标文件所列人员</w:t>
      </w:r>
      <w:r>
        <w:rPr>
          <w:rFonts w:hint="eastAsia" w:asciiTheme="minorEastAsia" w:hAnsiTheme="minorEastAsia" w:eastAsiaTheme="minorEastAsia" w:cstheme="minorEastAsia"/>
          <w:bCs/>
          <w:color w:val="auto"/>
          <w:szCs w:val="21"/>
          <w:highlight w:val="none"/>
          <w:lang w:val="en-US" w:eastAsia="zh-CN"/>
        </w:rPr>
        <w:t>证件</w:t>
      </w:r>
      <w:r>
        <w:rPr>
          <w:rFonts w:hint="eastAsia" w:asciiTheme="minorEastAsia" w:hAnsiTheme="minorEastAsia" w:eastAsiaTheme="minorEastAsia" w:cstheme="minorEastAsia"/>
          <w:bCs/>
          <w:color w:val="auto"/>
          <w:szCs w:val="21"/>
          <w:highlight w:val="none"/>
        </w:rPr>
        <w:t>；</w:t>
      </w:r>
    </w:p>
    <w:p w14:paraId="24B902C2">
      <w:pPr>
        <w:wordWrap w:val="0"/>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(4)投标文件所列业绩；</w:t>
      </w:r>
    </w:p>
    <w:p w14:paraId="094B1508">
      <w:pPr>
        <w:wordWrap w:val="0"/>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(5)财务状况；</w:t>
      </w:r>
    </w:p>
    <w:p w14:paraId="314F6C32">
      <w:pPr>
        <w:wordWrap w:val="0"/>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企业信用信誉通过以下平台查询：信用中国网站查询“失信被执行人，国家企业信用信息公示系统查询“严重违法失信企业名单”。定标委员会查实有中标候选人存在影响中标结果的违反法律、法规及招标文件相关规定，不符合中标条件的，不得进入定标程序。</w:t>
      </w:r>
    </w:p>
    <w:p w14:paraId="78430CD0">
      <w:pPr>
        <w:wordWrap w:val="0"/>
        <w:spacing w:line="44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(7)定标委员会认定的其他内容；</w:t>
      </w:r>
    </w:p>
    <w:p w14:paraId="279F66CA">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定标委员会查实有中标候选人存在影响中标结果的违反法律、法规及招标文件相关规定，不符合中标条件的，不得进入定标程序。</w:t>
      </w:r>
    </w:p>
    <w:p w14:paraId="10D37118">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定标委员会在核查过程中对存在问题的定标候选人发出质询，由定标候选人在规定的时间内进行回复，超出规定时间回复或回复内容不符合违反法律、法规及招标文件相关规定的视为资料造假、欺骗中标，并主动向行政监督部门报告，并依规否决相应定标候选人资格。</w:t>
      </w:r>
    </w:p>
    <w:p w14:paraId="4A4B6A3D">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经核查后合格的定标候选人即可进入定标程序，如经核查合格的定标候选人数量为少于三家的，招标人应重新招标。</w:t>
      </w:r>
    </w:p>
    <w:p w14:paraId="066519AF">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定标委员会应当严格履行定标环节核查责任，经核查发现定标候选人确有问题的，应当主动向行政监督部门报告，并依规否决相应定标候选人资格。</w:t>
      </w:r>
    </w:p>
    <w:p w14:paraId="24FC9D3A">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根据招标文件定标办法中的相关要求，由定标委员会组长宣读核查结果。 </w:t>
      </w:r>
    </w:p>
    <w:p w14:paraId="30CF6690">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6.定标程序</w:t>
      </w:r>
    </w:p>
    <w:p w14:paraId="03DFD59C">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本项目采用“票决法”进行定标。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p>
    <w:p w14:paraId="26A4F462">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第一项 宣布会场纪律 </w:t>
      </w:r>
    </w:p>
    <w:p w14:paraId="10D3E1DB">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(1)场内禁止吸烟。 </w:t>
      </w:r>
    </w:p>
    <w:p w14:paraId="20E46413">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(2)参加会议的所有人员应关闭手机等通讯工具或调至静音状态，期间不得高声喧哗。 </w:t>
      </w:r>
    </w:p>
    <w:p w14:paraId="25E6838B">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(3)定标过程投标人有疑问可向招标人或代理机构提出。 </w:t>
      </w:r>
    </w:p>
    <w:p w14:paraId="17155485">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(4)与会人员请勿在场内随意走动。 </w:t>
      </w:r>
    </w:p>
    <w:p w14:paraId="5DB2CF47">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第二项 介绍参加本次会议的有关单位介绍本项目定标委员会组成、监督人员代表、代理机构。 </w:t>
      </w:r>
    </w:p>
    <w:p w14:paraId="01259B15">
      <w:pPr>
        <w:wordWrap w:val="0"/>
        <w:spacing w:line="440" w:lineRule="exact"/>
        <w:ind w:firstLine="420" w:firstLineChars="200"/>
        <w:rPr>
          <w:rFonts w:hint="eastAsia" w:ascii="宋体" w:hAnsi="宋体" w:cs="宋体"/>
          <w:bCs/>
          <w:color w:val="auto"/>
          <w:szCs w:val="21"/>
          <w:highlight w:val="none"/>
          <w:lang w:val="en-US" w:eastAsia="zh-CN"/>
        </w:rPr>
      </w:pPr>
    </w:p>
    <w:p w14:paraId="2BDFBDBD">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第三项 定标投票 由定标委员会进行现场投票，定标委员会成员以记名投票的方式，每人(一人一票)择优选择一个定标候选人投票,得票最多且过半数的确定为中标候选人;若定标候选人没有得票过半数的,剔除得票数最少和没有得票的定标候选人后再次投票，直至产生得票过半数的确定为 中标候选人。</w:t>
      </w:r>
    </w:p>
    <w:p w14:paraId="6077B3D5">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第四项 投票结束 现在进行现场唱票，宣读定标委员会投票数量，宣布最终得票最多且过半数的投标单位名称为本项目的中标人</w:t>
      </w:r>
      <w:r>
        <w:rPr>
          <w:rFonts w:hint="eastAsia" w:ascii="宋体" w:hAnsi="宋体" w:cs="宋体"/>
          <w:bCs/>
          <w:color w:val="auto"/>
          <w:szCs w:val="21"/>
          <w:highlight w:val="none"/>
        </w:rPr>
        <w:t>。</w:t>
      </w:r>
    </w:p>
    <w:p w14:paraId="2E274D20">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hint="eastAsia" w:ascii="宋体" w:hAnsi="宋体" w:cs="宋体"/>
          <w:b/>
          <w:bCs/>
          <w:color w:val="auto"/>
          <w:szCs w:val="21"/>
          <w:highlight w:val="none"/>
          <w:lang w:val="en-US" w:eastAsia="zh-CN"/>
        </w:rPr>
        <w:t>定标因素</w:t>
      </w:r>
    </w:p>
    <w:p w14:paraId="50034B50">
      <w:pPr>
        <w:adjustRightInd w:val="0"/>
        <w:snapToGrid w:val="0"/>
        <w:spacing w:line="44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《河南省政府投资工程建设项目招标投标“评定分离”管理办法(试行)》豫发改公管规〔2025〕559 号规定，采用票决法、集体议事法的项目，定标因素可参考价格因素、企业实力、企业信誉、投标方案、团队能力和水平以及招标人认为需要考量的其他因素。本项目评 标因素中涵盖价格因素、施工方案、企业信用、企业业绩、企业既往项目、人员在岗情况、拟派项目经理信用。定标将考虑以上因素，定标委员会根据评标委员会针对该项目评标因素及标准所得出的结论，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p>
    <w:p w14:paraId="346FBC81">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定标报告</w:t>
      </w:r>
    </w:p>
    <w:p w14:paraId="2E508AD1">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定标委员会按照招标文件中明确的定标原则、方法和程序，在中标候选人中确定中标人，并形成书面定标报告。</w:t>
      </w:r>
    </w:p>
    <w:p w14:paraId="6E6A9C29">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定标报告应当包括项目基本情况、评标情况、定标委员会组建情况、中标候选人核查情况、定标情况、定标结果等内容，定标报告由定标委员会全体成员签字</w:t>
      </w:r>
      <w:r>
        <w:rPr>
          <w:rFonts w:hint="eastAsia" w:ascii="宋体" w:hAnsi="宋体" w:cs="宋体"/>
          <w:bCs/>
          <w:color w:val="auto"/>
          <w:szCs w:val="21"/>
          <w:highlight w:val="none"/>
        </w:rPr>
        <w:t>。</w:t>
      </w:r>
    </w:p>
    <w:p w14:paraId="6C891B23">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w:t>
      </w:r>
      <w:r>
        <w:rPr>
          <w:rFonts w:hint="eastAsia" w:ascii="宋体" w:hAnsi="宋体" w:eastAsia="宋体" w:cs="宋体"/>
          <w:bCs/>
          <w:color w:val="auto"/>
          <w:szCs w:val="21"/>
          <w:highlight w:val="none"/>
          <w:lang w:val="en-US" w:eastAsia="zh-CN"/>
        </w:rPr>
        <w:t>标人在收到定标报告之日起 3 日内公示中标人，公示期不少于 3 日。中标公示应当载明定标时间、定标地点、定标方法、中标人名称、中标价格、质量、工期、资格条件、项目经理（项目总监）的资格信息；中标人的核查、考察、比较优势；核查未通过的中标候选人名单和原因， 以及异议和投诉渠道等内容</w:t>
      </w:r>
      <w:r>
        <w:rPr>
          <w:rFonts w:hint="eastAsia" w:ascii="宋体" w:hAnsi="宋体" w:eastAsia="宋体" w:cs="宋体"/>
          <w:bCs/>
          <w:color w:val="auto"/>
          <w:szCs w:val="21"/>
          <w:highlight w:val="none"/>
        </w:rPr>
        <w:t>。</w:t>
      </w:r>
    </w:p>
    <w:p w14:paraId="01C737F0">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.定标后结果处置</w:t>
      </w:r>
    </w:p>
    <w:p w14:paraId="77624C35">
      <w:pPr>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招标人应当自确定中标人之日起15日内，将招标投标情况的书面报告(含定标报告)报具体负责该项目招标投标活动行政监督主管部门备案。有异议及投诉处理情况和投标失信行为及处理建议的，也应当包括在书面报告中</w:t>
      </w:r>
      <w:r>
        <w:rPr>
          <w:rFonts w:hint="eastAsia" w:ascii="宋体" w:hAnsi="宋体" w:cs="宋体"/>
          <w:bCs/>
          <w:color w:val="auto"/>
          <w:szCs w:val="21"/>
          <w:highlight w:val="none"/>
        </w:rPr>
        <w:t>。</w:t>
      </w:r>
    </w:p>
    <w:p w14:paraId="75620CB3">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bCs/>
          <w:color w:val="auto"/>
          <w:szCs w:val="21"/>
          <w:highlight w:val="none"/>
          <w:lang w:val="en-US" w:eastAsia="zh-CN"/>
        </w:rPr>
        <w:t>招标人应及时向中标人发出中标通知书，同时将中标结果通知所有未中标的投标人，自中标通知书发出之日起30 日内，按照招标文件和中标人的投标文件签订书面合同。招标人和中标人不得再行订立背离合同实质性内容的其他协议。</w:t>
      </w:r>
    </w:p>
    <w:p w14:paraId="4FBFFECA">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val="en-US" w:eastAsia="zh-CN"/>
        </w:rPr>
        <w:t>对中标人放弃中标、不可抗力不能履行合同、不按照招标文件要求缴纳履约保证金、不符合投标或中标条件或被查实存在影响中标结果的违法行为等情形，招标人可以在已入围的中标候选人中重新选取确定中标人，或者重新组织招标</w:t>
      </w:r>
      <w:r>
        <w:rPr>
          <w:rFonts w:hint="eastAsia" w:ascii="宋体" w:hAnsi="宋体" w:cs="宋体"/>
          <w:bCs/>
          <w:color w:val="auto"/>
          <w:szCs w:val="21"/>
          <w:highlight w:val="none"/>
        </w:rPr>
        <w:t>。</w:t>
      </w:r>
    </w:p>
    <w:p w14:paraId="4767A600">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对中标人以非正当理由放弃中标或被依法依规取消中标的，招标人应当移交具体负责该项目招标投标活动行政监督主管部门依法规进行处理。</w:t>
      </w:r>
    </w:p>
    <w:p w14:paraId="479B31E6">
      <w:pPr>
        <w:tabs>
          <w:tab w:val="left" w:pos="312"/>
        </w:tabs>
        <w:spacing w:line="360" w:lineRule="auto"/>
        <w:jc w:val="center"/>
        <w:outlineLvl w:val="9"/>
        <w:rPr>
          <w:rFonts w:hint="eastAsia" w:eastAsia="黑体"/>
          <w:color w:val="auto"/>
          <w:highlight w:val="none"/>
          <w:lang w:val="en-US" w:eastAsia="zh-CN"/>
        </w:rPr>
      </w:pPr>
    </w:p>
    <w:p w14:paraId="2D8B95E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1F5994F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35DBA93E">
      <w:pPr>
        <w:spacing w:line="440" w:lineRule="exact"/>
        <w:ind w:firstLine="420" w:firstLineChars="200"/>
        <w:rPr>
          <w:color w:val="auto"/>
          <w:highlight w:val="none"/>
        </w:rPr>
      </w:pPr>
    </w:p>
    <w:sectPr>
      <w:footerReference r:id="rId23" w:type="default"/>
      <w:pgSz w:w="11910" w:h="16845"/>
      <w:pgMar w:top="1431" w:right="1786" w:bottom="1020" w:left="1786" w:header="0" w:footer="8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ABA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31A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B1631A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971C">
    <w:pPr>
      <w:spacing w:line="174" w:lineRule="auto"/>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BCA9C">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75CBCA9C">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5D68">
    <w:pPr>
      <w:spacing w:line="174" w:lineRule="auto"/>
      <w:ind w:left="45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2FE56">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542FE56">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AB4F">
    <w:pPr>
      <w:spacing w:line="174"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4F7F2">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5134F7F2">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C163">
    <w:pPr>
      <w:spacing w:line="174" w:lineRule="auto"/>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4ED34">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D24ED34">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A19D">
    <w:pPr>
      <w:spacing w:line="174" w:lineRule="auto"/>
      <w:ind w:left="45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D7621">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0E9D7621">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F5FA">
    <w:pPr>
      <w:spacing w:line="174" w:lineRule="auto"/>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B1E9A">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49B1E9A">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C72F">
    <w:pPr>
      <w:spacing w:line="174" w:lineRule="auto"/>
      <w:ind w:left="45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5A0F9">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1C65A0F9">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3425">
    <w:pPr>
      <w:spacing w:line="174" w:lineRule="auto"/>
      <w:ind w:left="45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64BF7">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6D564BF7">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2AFC">
    <w:pPr>
      <w:spacing w:line="178" w:lineRule="auto"/>
      <w:ind w:left="4446"/>
      <w:rPr>
        <w:rFonts w:ascii="仿宋" w:hAnsi="仿宋" w:eastAsia="仿宋" w:cs="仿宋"/>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6579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46579B">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AFD1">
    <w:pPr>
      <w:spacing w:line="171"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670FB">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605670FB">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58A6">
    <w:pPr>
      <w:spacing w:line="171"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9304D">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B9304D">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14AB">
    <w:pPr>
      <w:spacing w:line="174"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79D93">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EC79D93">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08F7">
    <w:pPr>
      <w:widowControl w:val="0"/>
      <w:tabs>
        <w:tab w:val="left" w:pos="8925"/>
        <w:tab w:val="left" w:pos="9345"/>
      </w:tabs>
      <w:snapToGrid w:val="0"/>
      <w:ind w:right="-281" w:rightChars="-134"/>
      <w:jc w:val="center"/>
      <w:rPr>
        <w:rFonts w:ascii="Times New Roman" w:hAnsi="Times New Roman" w:eastAsia="宋体" w:cs="Times New Roman"/>
        <w:kern w:val="2"/>
        <w:sz w:val="18"/>
        <w:szCs w:val="18"/>
        <w:bdr w:val="single" w:color="FFFFFF" w:sz="4" w:space="0"/>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775B80">
                          <w:pPr>
                            <w:pStyle w:val="6"/>
                            <w:tabs>
                              <w:tab w:val="center" w:pos="4140"/>
                              <w:tab w:val="right" w:pos="8300"/>
                              <w:tab w:val="clear" w:pos="4153"/>
                              <w:tab w:val="clear" w:pos="8306"/>
                            </w:tabs>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5C775B80">
                    <w:pPr>
                      <w:pStyle w:val="6"/>
                      <w:tabs>
                        <w:tab w:val="center" w:pos="4140"/>
                        <w:tab w:val="right" w:pos="8300"/>
                        <w:tab w:val="clear" w:pos="4153"/>
                        <w:tab w:val="clear" w:pos="8306"/>
                      </w:tabs>
                    </w:pPr>
                    <w:r>
                      <w:fldChar w:fldCharType="begin"/>
                    </w:r>
                    <w:r>
                      <w:instrText xml:space="preserve"> PAGE  \* MERGEFORMAT </w:instrText>
                    </w:r>
                    <w:r>
                      <w:fldChar w:fldCharType="separate"/>
                    </w:r>
                    <w:r>
                      <w:t>84</w:t>
                    </w:r>
                    <w:r>
                      <w:fldChar w:fldCharType="end"/>
                    </w:r>
                  </w:p>
                </w:txbxContent>
              </v:textbox>
            </v:shape>
          </w:pict>
        </mc:Fallback>
      </mc:AlternateContent>
    </w:r>
  </w:p>
  <w:p w14:paraId="04D3BB18">
    <w:pPr>
      <w:widowControl w:val="0"/>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9B9F">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69914A">
                          <w:pPr>
                            <w:pStyle w:val="6"/>
                            <w:tabs>
                              <w:tab w:val="center" w:pos="4140"/>
                              <w:tab w:val="right" w:pos="8300"/>
                              <w:tab w:val="clear" w:pos="4153"/>
                              <w:tab w:val="clear" w:pos="8306"/>
                            </w:tabs>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0F69914A">
                    <w:pPr>
                      <w:pStyle w:val="6"/>
                      <w:tabs>
                        <w:tab w:val="center" w:pos="4140"/>
                        <w:tab w:val="right" w:pos="8300"/>
                        <w:tab w:val="clear" w:pos="4153"/>
                        <w:tab w:val="clear" w:pos="8306"/>
                      </w:tabs>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12A6">
    <w:pPr>
      <w:spacing w:line="174" w:lineRule="auto"/>
      <w:ind w:left="45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0171F">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66B0171F">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B760">
    <w:pPr>
      <w:spacing w:line="174"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5BB0">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3D25BB0">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2ED7">
    <w:pPr>
      <w:spacing w:line="174"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CBAA5">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A2CBAA5">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910C">
    <w:pPr>
      <w:spacing w:line="174"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836E3">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1D836E3">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3F358"/>
    <w:multiLevelType w:val="singleLevel"/>
    <w:tmpl w:val="8E43F358"/>
    <w:lvl w:ilvl="0" w:tentative="0">
      <w:start w:val="3"/>
      <w:numFmt w:val="chineseCounting"/>
      <w:suff w:val="space"/>
      <w:lvlText w:val="第%1部分"/>
      <w:lvlJc w:val="left"/>
      <w:rPr>
        <w:rFonts w:hint="eastAsia"/>
      </w:rPr>
    </w:lvl>
  </w:abstractNum>
  <w:abstractNum w:abstractNumId="1">
    <w:nsid w:val="0B62DA3A"/>
    <w:multiLevelType w:val="singleLevel"/>
    <w:tmpl w:val="0B62DA3A"/>
    <w:lvl w:ilvl="0" w:tentative="0">
      <w:start w:val="2"/>
      <w:numFmt w:val="chineseCounting"/>
      <w:suff w:val="nothing"/>
      <w:lvlText w:val="（%1）"/>
      <w:lvlJc w:val="left"/>
      <w:rPr>
        <w:rFonts w:hint="eastAsia"/>
      </w:rPr>
    </w:lvl>
  </w:abstractNum>
  <w:abstractNum w:abstractNumId="2">
    <w:nsid w:val="7ED58641"/>
    <w:multiLevelType w:val="singleLevel"/>
    <w:tmpl w:val="7ED58641"/>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Yzk5MTk0M2YxZTk3MzZlMmVjYzQyOTBmNzJiMjgifQ=="/>
  </w:docVars>
  <w:rsids>
    <w:rsidRoot w:val="300D091F"/>
    <w:rsid w:val="02290253"/>
    <w:rsid w:val="02306473"/>
    <w:rsid w:val="023D1C29"/>
    <w:rsid w:val="02EF1E8A"/>
    <w:rsid w:val="030D0562"/>
    <w:rsid w:val="03BC7892"/>
    <w:rsid w:val="04896755"/>
    <w:rsid w:val="059D3E1F"/>
    <w:rsid w:val="06732DD2"/>
    <w:rsid w:val="07130058"/>
    <w:rsid w:val="07CF3483"/>
    <w:rsid w:val="08430582"/>
    <w:rsid w:val="08E9737B"/>
    <w:rsid w:val="090E06C2"/>
    <w:rsid w:val="099278CE"/>
    <w:rsid w:val="0A59408D"/>
    <w:rsid w:val="0B226B74"/>
    <w:rsid w:val="0B536D2E"/>
    <w:rsid w:val="0C2A3F33"/>
    <w:rsid w:val="0D3B5CCB"/>
    <w:rsid w:val="0EA224A6"/>
    <w:rsid w:val="0EFB5712"/>
    <w:rsid w:val="0F0E18EA"/>
    <w:rsid w:val="10325546"/>
    <w:rsid w:val="104F3272"/>
    <w:rsid w:val="10A1053B"/>
    <w:rsid w:val="10CA0937"/>
    <w:rsid w:val="11794FEB"/>
    <w:rsid w:val="11927D7E"/>
    <w:rsid w:val="119D51A7"/>
    <w:rsid w:val="11C95F9C"/>
    <w:rsid w:val="12612198"/>
    <w:rsid w:val="128F2D41"/>
    <w:rsid w:val="12D60815"/>
    <w:rsid w:val="134A4EBA"/>
    <w:rsid w:val="13A21507"/>
    <w:rsid w:val="142E20E6"/>
    <w:rsid w:val="158A3C94"/>
    <w:rsid w:val="15EC2259"/>
    <w:rsid w:val="171D2867"/>
    <w:rsid w:val="186662F2"/>
    <w:rsid w:val="1990114D"/>
    <w:rsid w:val="1A09162B"/>
    <w:rsid w:val="1A952EBF"/>
    <w:rsid w:val="1AD60B35"/>
    <w:rsid w:val="1ADD6614"/>
    <w:rsid w:val="1C6012AB"/>
    <w:rsid w:val="1DAA59D2"/>
    <w:rsid w:val="1DCB3969"/>
    <w:rsid w:val="1F066139"/>
    <w:rsid w:val="1F705077"/>
    <w:rsid w:val="1FA72356"/>
    <w:rsid w:val="20687923"/>
    <w:rsid w:val="2085038E"/>
    <w:rsid w:val="21004E0A"/>
    <w:rsid w:val="22DB6F0B"/>
    <w:rsid w:val="23056708"/>
    <w:rsid w:val="23164DB9"/>
    <w:rsid w:val="2346744C"/>
    <w:rsid w:val="235654CA"/>
    <w:rsid w:val="23A70F27"/>
    <w:rsid w:val="24635DDC"/>
    <w:rsid w:val="24AA7567"/>
    <w:rsid w:val="24C745BD"/>
    <w:rsid w:val="25367D53"/>
    <w:rsid w:val="253A4D8F"/>
    <w:rsid w:val="256E4A38"/>
    <w:rsid w:val="25C1259D"/>
    <w:rsid w:val="279F35CF"/>
    <w:rsid w:val="27AC7A9A"/>
    <w:rsid w:val="284A2C7B"/>
    <w:rsid w:val="28884063"/>
    <w:rsid w:val="29387837"/>
    <w:rsid w:val="2C000590"/>
    <w:rsid w:val="2C4D184B"/>
    <w:rsid w:val="2C6170A5"/>
    <w:rsid w:val="2C882884"/>
    <w:rsid w:val="2D241E80"/>
    <w:rsid w:val="2DAA682A"/>
    <w:rsid w:val="2EDD5E88"/>
    <w:rsid w:val="2FB64468"/>
    <w:rsid w:val="2FBE5DD3"/>
    <w:rsid w:val="300D091F"/>
    <w:rsid w:val="32CB34CA"/>
    <w:rsid w:val="32D14858"/>
    <w:rsid w:val="32F57C83"/>
    <w:rsid w:val="33A56299"/>
    <w:rsid w:val="33DE0B86"/>
    <w:rsid w:val="343E65DB"/>
    <w:rsid w:val="344C4197"/>
    <w:rsid w:val="344F4008"/>
    <w:rsid w:val="35AB313F"/>
    <w:rsid w:val="35BA17FF"/>
    <w:rsid w:val="36274EBB"/>
    <w:rsid w:val="37983B97"/>
    <w:rsid w:val="37DB9906"/>
    <w:rsid w:val="37FC5ED4"/>
    <w:rsid w:val="38141C2A"/>
    <w:rsid w:val="38BB18EB"/>
    <w:rsid w:val="38DE20DC"/>
    <w:rsid w:val="39D917E4"/>
    <w:rsid w:val="3A7601BF"/>
    <w:rsid w:val="3AA64BD7"/>
    <w:rsid w:val="3C494A6D"/>
    <w:rsid w:val="3CC176EC"/>
    <w:rsid w:val="3D1D2B74"/>
    <w:rsid w:val="3D76BD41"/>
    <w:rsid w:val="3DA8052B"/>
    <w:rsid w:val="3E590829"/>
    <w:rsid w:val="3EAD617A"/>
    <w:rsid w:val="3EB56DDC"/>
    <w:rsid w:val="3F63605F"/>
    <w:rsid w:val="3FC40346"/>
    <w:rsid w:val="405B10A3"/>
    <w:rsid w:val="406D3E12"/>
    <w:rsid w:val="40842F0A"/>
    <w:rsid w:val="41326E0A"/>
    <w:rsid w:val="4185518C"/>
    <w:rsid w:val="418F71F8"/>
    <w:rsid w:val="421D5DE8"/>
    <w:rsid w:val="423C30A7"/>
    <w:rsid w:val="43B807CD"/>
    <w:rsid w:val="43FD36FF"/>
    <w:rsid w:val="441C65B1"/>
    <w:rsid w:val="44501A81"/>
    <w:rsid w:val="44FF5255"/>
    <w:rsid w:val="455C067C"/>
    <w:rsid w:val="465A686D"/>
    <w:rsid w:val="47172FCE"/>
    <w:rsid w:val="47290A12"/>
    <w:rsid w:val="477912EF"/>
    <w:rsid w:val="47EA3F9B"/>
    <w:rsid w:val="48030BB8"/>
    <w:rsid w:val="48164D90"/>
    <w:rsid w:val="487928AE"/>
    <w:rsid w:val="4A3C7D71"/>
    <w:rsid w:val="4A513E5D"/>
    <w:rsid w:val="4A767D68"/>
    <w:rsid w:val="4BA95F1B"/>
    <w:rsid w:val="4BD64C83"/>
    <w:rsid w:val="4C79769B"/>
    <w:rsid w:val="4CCA6149"/>
    <w:rsid w:val="4D2B3D75"/>
    <w:rsid w:val="4D571511"/>
    <w:rsid w:val="4D6B150A"/>
    <w:rsid w:val="4D826E0A"/>
    <w:rsid w:val="4DCF1B3C"/>
    <w:rsid w:val="4E1C0C26"/>
    <w:rsid w:val="4E434405"/>
    <w:rsid w:val="4F681132"/>
    <w:rsid w:val="512C73D2"/>
    <w:rsid w:val="52516AA2"/>
    <w:rsid w:val="52C74D10"/>
    <w:rsid w:val="54176117"/>
    <w:rsid w:val="541A79B6"/>
    <w:rsid w:val="541F321E"/>
    <w:rsid w:val="58093FC9"/>
    <w:rsid w:val="58E136C6"/>
    <w:rsid w:val="59084281"/>
    <w:rsid w:val="5A4B591B"/>
    <w:rsid w:val="5A7B0A82"/>
    <w:rsid w:val="5A9D4E9D"/>
    <w:rsid w:val="5BD86E8A"/>
    <w:rsid w:val="5C872A07"/>
    <w:rsid w:val="5E7F3237"/>
    <w:rsid w:val="5F814D8D"/>
    <w:rsid w:val="5FB263B7"/>
    <w:rsid w:val="5FBC0383"/>
    <w:rsid w:val="602F724D"/>
    <w:rsid w:val="609E54CA"/>
    <w:rsid w:val="617C3A5E"/>
    <w:rsid w:val="63273568"/>
    <w:rsid w:val="634A73FA"/>
    <w:rsid w:val="637C6C78"/>
    <w:rsid w:val="641E2BAA"/>
    <w:rsid w:val="64DF739B"/>
    <w:rsid w:val="65240694"/>
    <w:rsid w:val="653528A1"/>
    <w:rsid w:val="654725D5"/>
    <w:rsid w:val="65D57BE0"/>
    <w:rsid w:val="65DA6FA5"/>
    <w:rsid w:val="696372B1"/>
    <w:rsid w:val="6B741C4A"/>
    <w:rsid w:val="6BF72F01"/>
    <w:rsid w:val="6C515AE7"/>
    <w:rsid w:val="6C8934D3"/>
    <w:rsid w:val="6D7E46BA"/>
    <w:rsid w:val="6D837F22"/>
    <w:rsid w:val="6D9D111D"/>
    <w:rsid w:val="6E153270"/>
    <w:rsid w:val="6EED1AF7"/>
    <w:rsid w:val="6F173018"/>
    <w:rsid w:val="7063552A"/>
    <w:rsid w:val="728C5ACB"/>
    <w:rsid w:val="72C214EC"/>
    <w:rsid w:val="73793FBB"/>
    <w:rsid w:val="73995C66"/>
    <w:rsid w:val="739E5AB6"/>
    <w:rsid w:val="73EB7799"/>
    <w:rsid w:val="756E14B8"/>
    <w:rsid w:val="75731E4D"/>
    <w:rsid w:val="75864A53"/>
    <w:rsid w:val="759A22AD"/>
    <w:rsid w:val="75D532E5"/>
    <w:rsid w:val="777F2D7E"/>
    <w:rsid w:val="77D663F3"/>
    <w:rsid w:val="78A53AC2"/>
    <w:rsid w:val="79030B7F"/>
    <w:rsid w:val="7BF85F7F"/>
    <w:rsid w:val="7C3F3BAE"/>
    <w:rsid w:val="7D4C0330"/>
    <w:rsid w:val="7E527BC8"/>
    <w:rsid w:val="7ED20D09"/>
    <w:rsid w:val="7F0F7867"/>
    <w:rsid w:val="9EC7BF4F"/>
    <w:rsid w:val="E66E234D"/>
    <w:rsid w:val="F8BF7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宋体" w:hAnsi="宋体" w:eastAsia="宋体" w:cs="宋体"/>
      <w:sz w:val="28"/>
      <w:szCs w:val="28"/>
      <w:lang w:val="en-US" w:eastAsia="en-US" w:bidi="ar-SA"/>
    </w:rPr>
  </w:style>
  <w:style w:type="paragraph" w:styleId="5">
    <w:name w:val="Body Text 2"/>
    <w:basedOn w:val="1"/>
    <w:qFormat/>
    <w:uiPriority w:val="0"/>
    <w:pPr>
      <w:tabs>
        <w:tab w:val="left" w:pos="540"/>
      </w:tabs>
      <w:spacing w:line="360" w:lineRule="auto"/>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spacing w:before="120" w:beforeLines="0" w:after="120" w:afterLines="0"/>
      <w:ind w:left="1080" w:leftChars="500" w:hanging="1080" w:hangingChars="500"/>
    </w:pPr>
    <w:rPr>
      <w:rFonts w:ascii="Cambria" w:hAnsi="Cambria"/>
      <w:sz w:val="24"/>
      <w:szCs w:val="22"/>
    </w:r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Body Text First Indent"/>
    <w:basedOn w:val="4"/>
    <w:next w:val="1"/>
    <w:qFormat/>
    <w:uiPriority w:val="99"/>
    <w:pPr>
      <w:ind w:firstLine="420" w:firstLineChars="1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uiPriority w:val="0"/>
    <w:rPr>
      <w:color w:val="800080"/>
      <w:u w:val="none"/>
    </w:rPr>
  </w:style>
  <w:style w:type="character" w:styleId="16">
    <w:name w:val="Emphasis"/>
    <w:basedOn w:val="12"/>
    <w:qFormat/>
    <w:uiPriority w:val="0"/>
    <w:rPr>
      <w:b/>
      <w:bCs/>
    </w:rPr>
  </w:style>
  <w:style w:type="character" w:styleId="17">
    <w:name w:val="HTML Definition"/>
    <w:basedOn w:val="12"/>
    <w:uiPriority w:val="0"/>
  </w:style>
  <w:style w:type="character" w:styleId="18">
    <w:name w:val="HTML Typewriter"/>
    <w:basedOn w:val="12"/>
    <w:uiPriority w:val="0"/>
    <w:rPr>
      <w:rFonts w:ascii="monospace" w:hAnsi="monospace" w:eastAsia="monospace" w:cs="monospace"/>
      <w:sz w:val="20"/>
    </w:rPr>
  </w:style>
  <w:style w:type="character" w:styleId="19">
    <w:name w:val="HTML Acronym"/>
    <w:basedOn w:val="12"/>
    <w:uiPriority w:val="0"/>
  </w:style>
  <w:style w:type="character" w:styleId="20">
    <w:name w:val="HTML Variable"/>
    <w:basedOn w:val="12"/>
    <w:uiPriority w:val="0"/>
    <w:rPr>
      <w:rFonts w:ascii="Verdana" w:hAnsi="Verdana" w:cs="Verdana"/>
      <w:color w:val="3D4B64"/>
      <w:sz w:val="19"/>
      <w:szCs w:val="19"/>
    </w:rPr>
  </w:style>
  <w:style w:type="character" w:styleId="21">
    <w:name w:val="Hyperlink"/>
    <w:basedOn w:val="12"/>
    <w:qFormat/>
    <w:uiPriority w:val="0"/>
    <w:rPr>
      <w:color w:val="0000FF"/>
      <w:u w:val="none"/>
    </w:rPr>
  </w:style>
  <w:style w:type="character" w:styleId="22">
    <w:name w:val="HTML Code"/>
    <w:basedOn w:val="12"/>
    <w:uiPriority w:val="0"/>
    <w:rPr>
      <w:rFonts w:hint="default" w:ascii="monospace" w:hAnsi="monospace" w:eastAsia="monospace" w:cs="monospace"/>
      <w:sz w:val="20"/>
    </w:rPr>
  </w:style>
  <w:style w:type="character" w:styleId="23">
    <w:name w:val="HTML Cite"/>
    <w:basedOn w:val="12"/>
    <w:uiPriority w:val="0"/>
  </w:style>
  <w:style w:type="character" w:styleId="24">
    <w:name w:val="HTML Keyboard"/>
    <w:basedOn w:val="12"/>
    <w:qFormat/>
    <w:uiPriority w:val="0"/>
    <w:rPr>
      <w:rFonts w:hint="default" w:ascii="monospace" w:hAnsi="monospace" w:eastAsia="monospace" w:cs="monospace"/>
      <w:sz w:val="20"/>
    </w:rPr>
  </w:style>
  <w:style w:type="character" w:styleId="25">
    <w:name w:val="HTML Sample"/>
    <w:basedOn w:val="12"/>
    <w:qFormat/>
    <w:uiPriority w:val="0"/>
    <w:rPr>
      <w:rFonts w:hint="default" w:ascii="monospace" w:hAnsi="monospace" w:eastAsia="monospace" w:cs="monospace"/>
    </w:rPr>
  </w:style>
  <w:style w:type="paragraph" w:customStyle="1" w:styleId="26">
    <w:name w:val="无间隔1"/>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27">
    <w:name w:val="WPSOffice手动目录 1"/>
    <w:qFormat/>
    <w:uiPriority w:val="0"/>
    <w:pPr>
      <w:ind w:leftChars="0"/>
    </w:pPr>
    <w:rPr>
      <w:rFonts w:ascii="Arial" w:hAnsi="Arial" w:eastAsia="Arial" w:cs="Arial"/>
      <w:sz w:val="20"/>
      <w:szCs w:val="20"/>
    </w:rPr>
  </w:style>
  <w:style w:type="paragraph" w:customStyle="1" w:styleId="28">
    <w:name w:val="WPSOffice手动目录 2"/>
    <w:qFormat/>
    <w:uiPriority w:val="0"/>
    <w:pPr>
      <w:ind w:leftChars="200"/>
    </w:pPr>
    <w:rPr>
      <w:rFonts w:ascii="Arial" w:hAnsi="Arial" w:eastAsia="Arial" w:cs="Arial"/>
      <w:sz w:val="20"/>
      <w:szCs w:val="20"/>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Paragraph"/>
    <w:basedOn w:val="1"/>
    <w:qFormat/>
    <w:uiPriority w:val="1"/>
  </w:style>
  <w:style w:type="paragraph" w:customStyle="1" w:styleId="32">
    <w:name w:val="zhang"/>
    <w:qFormat/>
    <w:uiPriority w:val="0"/>
    <w:pPr>
      <w:widowControl/>
      <w:spacing w:before="100" w:beforeAutospacing="1" w:after="100" w:afterAutospacing="1" w:line="240" w:lineRule="auto"/>
      <w:jc w:val="left"/>
    </w:pPr>
    <w:rPr>
      <w:rFonts w:ascii="宋体" w:hAnsi="宋体" w:eastAsia="宋体" w:cs="宋体"/>
      <w:b/>
      <w:bCs/>
      <w:smallCaps/>
      <w:color w:val="000000"/>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0.png"/><Relationship Id="rId33" Type="http://schemas.openxmlformats.org/officeDocument/2006/relationships/image" Target="media/image9.png"/><Relationship Id="rId32" Type="http://schemas.openxmlformats.org/officeDocument/2006/relationships/image" Target="media/image8.png"/><Relationship Id="rId31" Type="http://schemas.openxmlformats.org/officeDocument/2006/relationships/image" Target="media/image7.png"/><Relationship Id="rId30" Type="http://schemas.openxmlformats.org/officeDocument/2006/relationships/image" Target="media/image6.png"/><Relationship Id="rId3" Type="http://schemas.openxmlformats.org/officeDocument/2006/relationships/footnotes" Target="footnotes.xml"/><Relationship Id="rId29" Type="http://schemas.openxmlformats.org/officeDocument/2006/relationships/image" Target="media/image5.png"/><Relationship Id="rId28" Type="http://schemas.openxmlformats.org/officeDocument/2006/relationships/image" Target="media/image4.jpeg"/><Relationship Id="rId27" Type="http://schemas.openxmlformats.org/officeDocument/2006/relationships/image" Target="media/image3.jpeg"/><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3147</Words>
  <Characters>3298</Characters>
  <Lines>0</Lines>
  <Paragraphs>0</Paragraphs>
  <TotalTime>5</TotalTime>
  <ScaleCrop>false</ScaleCrop>
  <LinksUpToDate>false</LinksUpToDate>
  <CharactersWithSpaces>3352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2025-08-02T12:30:00Z</dcterms:created>
  <dc:creator>金虎</dc:creator>
  <cp:lastModifiedBy>木木</cp:lastModifiedBy>
  <cp:lastPrinted>2025-08-20T02:46:00Z</cp:lastPrinted>
  <dcterms:modified xsi:type="dcterms:W3CDTF">2025-09-28T11:48:27Z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57DF8E1D9D8B4B048303E4B959EACE61_11</vt:lpwstr>
  </property>
  <property fmtid="{D5CDD505-2E9C-101B-9397-08002B2CF9AE}" pid="4" name="KSOTemplateDocerSaveRecord">
    <vt:lpwstr>eyJoZGlkIjoiYTljNDYyYTEzZTYxMmQ1OThmYjAwZDY3NGIyNGY1ZjciLCJ1c2VySWQiOiIzMjU5NzA2NTUifQ==</vt:lpwstr>
  </property>
</Properties>
</file>