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21EEBD">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18FAA59E">
      <w:pPr>
        <w:tabs>
          <w:tab w:val="left" w:pos="315"/>
          <w:tab w:val="left" w:pos="8820"/>
        </w:tabs>
        <w:spacing w:line="360" w:lineRule="auto"/>
        <w:ind w:right="267" w:rightChars="127"/>
        <w:jc w:val="center"/>
        <w:rPr>
          <w:rFonts w:ascii="仿宋_GB2312" w:eastAsia="仿宋_GB2312"/>
          <w:b/>
          <w:bCs/>
          <w:sz w:val="48"/>
          <w:highlight w:val="none"/>
        </w:rPr>
      </w:pPr>
    </w:p>
    <w:p w14:paraId="66CF6637">
      <w:pPr>
        <w:tabs>
          <w:tab w:val="left" w:pos="315"/>
          <w:tab w:val="left" w:pos="8820"/>
        </w:tabs>
        <w:spacing w:line="360" w:lineRule="auto"/>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2DED35E3">
      <w:pPr>
        <w:tabs>
          <w:tab w:val="left" w:pos="315"/>
          <w:tab w:val="left" w:pos="8820"/>
        </w:tabs>
        <w:spacing w:line="500" w:lineRule="exact"/>
        <w:ind w:right="267" w:rightChars="127"/>
        <w:jc w:val="center"/>
        <w:rPr>
          <w:rFonts w:ascii="仿宋_GB2312" w:eastAsia="仿宋_GB2312"/>
          <w:sz w:val="44"/>
          <w:highlight w:val="none"/>
        </w:rPr>
      </w:pPr>
    </w:p>
    <w:p w14:paraId="3C627A06">
      <w:pPr>
        <w:tabs>
          <w:tab w:val="left" w:pos="315"/>
          <w:tab w:val="left" w:pos="8820"/>
        </w:tabs>
        <w:ind w:right="267" w:rightChars="127"/>
        <w:rPr>
          <w:rFonts w:ascii="仿宋_GB2312" w:eastAsia="仿宋_GB2312"/>
          <w:sz w:val="44"/>
          <w:highlight w:val="none"/>
        </w:rPr>
      </w:pPr>
    </w:p>
    <w:p w14:paraId="06D5D596">
      <w:pPr>
        <w:tabs>
          <w:tab w:val="left" w:pos="315"/>
          <w:tab w:val="left" w:pos="8820"/>
        </w:tabs>
        <w:spacing w:line="500" w:lineRule="exact"/>
        <w:ind w:right="267" w:rightChars="127"/>
        <w:rPr>
          <w:rFonts w:ascii="仿宋_GB2312" w:eastAsia="仿宋_GB2312"/>
          <w:b/>
          <w:bCs/>
          <w:sz w:val="36"/>
          <w:highlight w:val="none"/>
        </w:rPr>
      </w:pPr>
    </w:p>
    <w:p w14:paraId="469063AE">
      <w:pPr>
        <w:tabs>
          <w:tab w:val="left" w:pos="315"/>
          <w:tab w:val="left" w:pos="8820"/>
        </w:tabs>
        <w:spacing w:line="500" w:lineRule="exact"/>
        <w:ind w:right="267" w:rightChars="127"/>
        <w:rPr>
          <w:rFonts w:ascii="仿宋_GB2312" w:eastAsia="仿宋_GB2312"/>
          <w:b/>
          <w:bCs/>
          <w:sz w:val="36"/>
          <w:highlight w:val="none"/>
        </w:rPr>
      </w:pPr>
    </w:p>
    <w:p w14:paraId="1F1CCE56">
      <w:pPr>
        <w:tabs>
          <w:tab w:val="left" w:pos="315"/>
          <w:tab w:val="left" w:pos="8820"/>
        </w:tabs>
        <w:spacing w:line="500" w:lineRule="exact"/>
        <w:ind w:right="267" w:rightChars="127"/>
        <w:jc w:val="center"/>
        <w:rPr>
          <w:rFonts w:ascii="宋体" w:hAnsi="宋体"/>
          <w:sz w:val="32"/>
          <w:highlight w:val="none"/>
        </w:rPr>
      </w:pPr>
    </w:p>
    <w:p w14:paraId="77E11AA4">
      <w:pPr>
        <w:pStyle w:val="11"/>
        <w:rPr>
          <w:rFonts w:ascii="宋体" w:hAnsi="宋体"/>
          <w:sz w:val="32"/>
          <w:highlight w:val="none"/>
        </w:rPr>
      </w:pPr>
    </w:p>
    <w:p w14:paraId="479DB073">
      <w:pPr>
        <w:pStyle w:val="12"/>
        <w:rPr>
          <w:rFonts w:ascii="宋体" w:hAnsi="宋体"/>
          <w:sz w:val="32"/>
          <w:highlight w:val="none"/>
        </w:rPr>
      </w:pPr>
    </w:p>
    <w:p w14:paraId="25ECA8C5"/>
    <w:p w14:paraId="5946A4B1"/>
    <w:p w14:paraId="58E63542"/>
    <w:p w14:paraId="60937E31">
      <w:pPr>
        <w:pStyle w:val="11"/>
      </w:pPr>
    </w:p>
    <w:p w14:paraId="597686A0">
      <w:pPr>
        <w:tabs>
          <w:tab w:val="left" w:pos="315"/>
          <w:tab w:val="left" w:pos="8820"/>
        </w:tabs>
        <w:spacing w:line="500" w:lineRule="exact"/>
        <w:ind w:right="267" w:rightChars="127"/>
        <w:jc w:val="center"/>
        <w:rPr>
          <w:rFonts w:ascii="微软简标宋" w:eastAsia="黑体"/>
          <w:b/>
          <w:bCs/>
          <w:sz w:val="52"/>
          <w:highlight w:val="none"/>
        </w:rPr>
      </w:pPr>
    </w:p>
    <w:p w14:paraId="599FC625">
      <w:pPr>
        <w:tabs>
          <w:tab w:val="left" w:pos="315"/>
          <w:tab w:val="left" w:pos="8820"/>
        </w:tabs>
        <w:spacing w:line="600" w:lineRule="exact"/>
        <w:ind w:left="1926" w:leftChars="200" w:right="-92" w:rightChars="-44" w:hanging="1506" w:hangingChars="500"/>
        <w:jc w:val="left"/>
        <w:rPr>
          <w:rFonts w:hint="eastAsia" w:ascii="宋体" w:hAnsi="宋体" w:eastAsia="宋体" w:cs="宋体"/>
          <w:b/>
          <w:bCs/>
          <w:color w:val="auto"/>
          <w:sz w:val="30"/>
          <w:szCs w:val="30"/>
          <w:lang w:eastAsia="zh-CN"/>
        </w:rPr>
      </w:pPr>
      <w:r>
        <w:rPr>
          <w:rFonts w:hint="eastAsia" w:ascii="宋体" w:hAnsi="宋体" w:eastAsia="宋体" w:cs="宋体"/>
          <w:b/>
          <w:bCs/>
          <w:color w:val="auto"/>
          <w:sz w:val="30"/>
          <w:szCs w:val="30"/>
          <w:lang w:eastAsia="zh-CN"/>
        </w:rPr>
        <w:t>项目名称:</w:t>
      </w:r>
      <w:r>
        <w:rPr>
          <w:rFonts w:hint="eastAsia" w:ascii="宋体" w:hAnsi="宋体" w:eastAsia="宋体" w:cs="宋体"/>
          <w:b/>
          <w:bCs/>
          <w:color w:val="auto"/>
          <w:sz w:val="30"/>
          <w:szCs w:val="30"/>
          <w:lang w:val="en-US" w:eastAsia="zh-CN"/>
        </w:rPr>
        <w:t>周口市川汇区产业发展和营商环境服务中心营商环境第三方优化提升项目</w:t>
      </w:r>
    </w:p>
    <w:p w14:paraId="18001113">
      <w:pPr>
        <w:tabs>
          <w:tab w:val="left" w:pos="315"/>
          <w:tab w:val="left" w:pos="8820"/>
        </w:tabs>
        <w:spacing w:line="600" w:lineRule="exact"/>
        <w:ind w:left="424" w:leftChars="200" w:right="-92" w:rightChars="-44" w:hanging="4" w:firstLineChars="0"/>
        <w:jc w:val="left"/>
        <w:rPr>
          <w:rFonts w:hint="default" w:ascii="宋体" w:hAnsi="宋体" w:eastAsia="宋体" w:cs="宋体"/>
          <w:b/>
          <w:bCs/>
          <w:color w:val="0C0C0C" w:themeColor="text1" w:themeTint="F2"/>
          <w:sz w:val="30"/>
          <w:szCs w:val="30"/>
          <w:lang w:val="en-US" w:eastAsia="zh-CN"/>
        </w:rPr>
      </w:pPr>
      <w:r>
        <w:rPr>
          <w:rFonts w:hint="eastAsia" w:ascii="宋体" w:hAnsi="宋体" w:eastAsia="宋体" w:cs="宋体"/>
          <w:b/>
          <w:bCs/>
          <w:color w:val="0C0C0C" w:themeColor="text1" w:themeTint="F2"/>
          <w:sz w:val="30"/>
          <w:szCs w:val="30"/>
          <w:lang w:eastAsia="zh-CN"/>
        </w:rPr>
        <w:t>项目编号:</w:t>
      </w:r>
      <w:r>
        <w:rPr>
          <w:rFonts w:hint="eastAsia" w:ascii="宋体" w:hAnsi="宋体" w:cs="宋体"/>
          <w:b/>
          <w:bCs/>
          <w:color w:val="0C0C0C" w:themeColor="text1" w:themeTint="F2"/>
          <w:sz w:val="30"/>
          <w:szCs w:val="30"/>
          <w:lang w:eastAsia="zh-CN"/>
        </w:rPr>
        <w:t>川财磋商采购-2025-</w:t>
      </w:r>
      <w:r>
        <w:rPr>
          <w:rFonts w:hint="eastAsia" w:ascii="宋体" w:hAnsi="宋体" w:cs="宋体"/>
          <w:b/>
          <w:bCs/>
          <w:color w:val="0C0C0C" w:themeColor="text1" w:themeTint="F2"/>
          <w:sz w:val="30"/>
          <w:szCs w:val="30"/>
          <w:lang w:val="en-US" w:eastAsia="zh-CN"/>
        </w:rPr>
        <w:t>12</w:t>
      </w:r>
    </w:p>
    <w:p w14:paraId="4CF81C97">
      <w:pPr>
        <w:tabs>
          <w:tab w:val="left" w:pos="315"/>
          <w:tab w:val="left" w:pos="8820"/>
        </w:tabs>
        <w:spacing w:line="600" w:lineRule="exact"/>
        <w:ind w:left="1895" w:leftChars="0" w:right="-92" w:rightChars="-44" w:hanging="1895" w:hangingChars="590"/>
        <w:jc w:val="left"/>
        <w:rPr>
          <w:rFonts w:hint="eastAsia" w:ascii="宋体" w:hAnsi="宋体" w:eastAsia="宋体" w:cs="宋体"/>
          <w:b/>
          <w:bCs/>
          <w:color w:val="auto"/>
          <w:sz w:val="32"/>
          <w:szCs w:val="32"/>
          <w:lang w:eastAsia="zh-CN"/>
        </w:rPr>
      </w:pPr>
    </w:p>
    <w:p w14:paraId="7F397FBE">
      <w:pPr>
        <w:tabs>
          <w:tab w:val="left" w:pos="315"/>
          <w:tab w:val="left" w:pos="8820"/>
        </w:tabs>
        <w:spacing w:line="600" w:lineRule="exact"/>
        <w:ind w:left="1895" w:leftChars="0" w:right="-92" w:rightChars="-44" w:hanging="1895" w:hangingChars="590"/>
        <w:jc w:val="center"/>
        <w:rPr>
          <w:rFonts w:hint="eastAsia" w:ascii="宋体" w:hAnsi="宋体" w:eastAsia="宋体" w:cs="宋体"/>
          <w:b/>
          <w:bCs/>
          <w:color w:val="auto"/>
          <w:sz w:val="32"/>
          <w:szCs w:val="32"/>
          <w:lang w:eastAsia="zh-CN"/>
        </w:rPr>
      </w:pPr>
      <w:r>
        <w:rPr>
          <w:rFonts w:hint="eastAsia" w:ascii="宋体" w:hAnsi="宋体" w:cs="宋体"/>
          <w:b/>
          <w:bCs/>
          <w:color w:val="auto"/>
          <w:sz w:val="32"/>
          <w:szCs w:val="32"/>
          <w:lang w:val="en-US" w:eastAsia="zh-CN"/>
        </w:rPr>
        <w:t>2025年5月</w:t>
      </w:r>
    </w:p>
    <w:p w14:paraId="450A2A74">
      <w:pPr>
        <w:pStyle w:val="10"/>
        <w:jc w:val="center"/>
        <w:rPr>
          <w:rFonts w:ascii="宋体" w:hAnsi="宋体"/>
          <w:b/>
          <w:sz w:val="32"/>
          <w:highlight w:val="none"/>
        </w:rPr>
      </w:pPr>
    </w:p>
    <w:p w14:paraId="2F13210A">
      <w:pPr>
        <w:rPr>
          <w:rFonts w:ascii="仿宋_GB2312" w:eastAsia="仿宋_GB2312"/>
          <w:b/>
          <w:sz w:val="30"/>
          <w:szCs w:val="30"/>
          <w:highlight w:val="none"/>
        </w:rPr>
        <w:sectPr>
          <w:headerReference r:id="rId3" w:type="default"/>
          <w:pgSz w:w="11907" w:h="16840"/>
          <w:pgMar w:top="2098" w:right="1474" w:bottom="1985" w:left="1588" w:header="851" w:footer="992" w:gutter="0"/>
          <w:pgNumType w:fmt="decimal" w:start="1"/>
          <w:cols w:space="720" w:num="1"/>
          <w:docGrid w:type="lines" w:linePitch="312" w:charSpace="0"/>
        </w:sectPr>
      </w:pPr>
    </w:p>
    <w:p w14:paraId="026A1775">
      <w:pPr>
        <w:rPr>
          <w:rFonts w:ascii="仿宋_GB2312" w:eastAsia="仿宋_GB2312"/>
          <w:b/>
          <w:sz w:val="30"/>
          <w:szCs w:val="30"/>
          <w:highlight w:val="none"/>
        </w:rPr>
      </w:pPr>
    </w:p>
    <w:p w14:paraId="1F26461A">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0433D2EE">
      <w:pPr>
        <w:rPr>
          <w:rFonts w:ascii="宋体" w:hAnsi="宋体" w:cs="宋体"/>
          <w:b/>
          <w:sz w:val="32"/>
          <w:szCs w:val="32"/>
          <w:highlight w:val="none"/>
        </w:rPr>
      </w:pPr>
    </w:p>
    <w:p w14:paraId="60103285">
      <w:pPr>
        <w:spacing w:line="800" w:lineRule="exact"/>
        <w:rPr>
          <w:rFonts w:ascii="宋体" w:hAnsi="宋体" w:cs="宋体"/>
          <w:b/>
          <w:sz w:val="32"/>
          <w:szCs w:val="32"/>
          <w:highlight w:val="none"/>
        </w:rPr>
      </w:pPr>
      <w:r>
        <w:rPr>
          <w:rFonts w:hint="eastAsia" w:ascii="宋体" w:hAnsi="宋体" w:cs="宋体"/>
          <w:b/>
          <w:sz w:val="32"/>
          <w:szCs w:val="32"/>
          <w:highlight w:val="none"/>
        </w:rPr>
        <w:t xml:space="preserve">第一章  竞争性磋商邀请函 </w:t>
      </w:r>
    </w:p>
    <w:p w14:paraId="09CAFFA5">
      <w:pPr>
        <w:spacing w:line="800" w:lineRule="exact"/>
        <w:rPr>
          <w:rFonts w:ascii="宋体" w:hAnsi="宋体" w:cs="宋体"/>
          <w:b/>
          <w:sz w:val="32"/>
          <w:szCs w:val="32"/>
          <w:highlight w:val="none"/>
        </w:rPr>
      </w:pPr>
      <w:r>
        <w:rPr>
          <w:rFonts w:hint="eastAsia" w:ascii="宋体" w:hAnsi="宋体" w:cs="宋体"/>
          <w:b/>
          <w:sz w:val="32"/>
          <w:szCs w:val="32"/>
          <w:highlight w:val="none"/>
        </w:rPr>
        <w:t>第二章  供应商须知</w:t>
      </w:r>
    </w:p>
    <w:p w14:paraId="5C8E20EF">
      <w:pPr>
        <w:spacing w:line="800" w:lineRule="exact"/>
        <w:rPr>
          <w:rFonts w:ascii="宋体" w:hAnsi="宋体" w:cs="宋体"/>
          <w:b/>
          <w:sz w:val="32"/>
          <w:szCs w:val="32"/>
          <w:highlight w:val="none"/>
        </w:rPr>
      </w:pPr>
      <w:r>
        <w:rPr>
          <w:rFonts w:hint="eastAsia" w:ascii="宋体" w:hAnsi="宋体" w:cs="宋体"/>
          <w:b/>
          <w:sz w:val="32"/>
          <w:szCs w:val="32"/>
          <w:highlight w:val="none"/>
        </w:rPr>
        <w:t>第三章  采购项目内容及要求</w:t>
      </w:r>
    </w:p>
    <w:p w14:paraId="65109BBD">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w:t>
      </w:r>
    </w:p>
    <w:p w14:paraId="0721AC2E">
      <w:pPr>
        <w:spacing w:line="800" w:lineRule="exact"/>
        <w:rPr>
          <w:rFonts w:ascii="宋体" w:hAnsi="宋体" w:cs="宋体"/>
          <w:b/>
          <w:sz w:val="32"/>
          <w:szCs w:val="32"/>
          <w:highlight w:val="none"/>
        </w:rPr>
      </w:pPr>
      <w:r>
        <w:rPr>
          <w:rFonts w:hint="eastAsia" w:ascii="宋体" w:hAnsi="宋体" w:cs="宋体"/>
          <w:b/>
          <w:sz w:val="32"/>
          <w:szCs w:val="32"/>
          <w:highlight w:val="none"/>
        </w:rPr>
        <w:t>第五章  合同主要条款 合同签订指引、供应商履约验收指引</w:t>
      </w:r>
    </w:p>
    <w:p w14:paraId="6B076AC4">
      <w:pPr>
        <w:spacing w:line="800" w:lineRule="exact"/>
        <w:ind w:firstLine="2249" w:firstLineChars="700"/>
        <w:rPr>
          <w:rFonts w:ascii="宋体" w:hAnsi="宋体" w:cs="宋体"/>
          <w:b/>
          <w:sz w:val="32"/>
          <w:szCs w:val="32"/>
          <w:highlight w:val="none"/>
        </w:rPr>
      </w:pPr>
    </w:p>
    <w:p w14:paraId="75CD38C5">
      <w:pPr>
        <w:spacing w:line="800" w:lineRule="exact"/>
        <w:ind w:firstLine="2249" w:firstLineChars="700"/>
        <w:rPr>
          <w:rFonts w:ascii="宋体" w:hAnsi="宋体" w:cs="宋体"/>
          <w:b/>
          <w:sz w:val="32"/>
          <w:szCs w:val="32"/>
          <w:highlight w:val="none"/>
        </w:rPr>
      </w:pPr>
    </w:p>
    <w:p w14:paraId="3B6B2A75">
      <w:pPr>
        <w:spacing w:line="800" w:lineRule="exact"/>
        <w:ind w:firstLine="2249" w:firstLineChars="700"/>
        <w:rPr>
          <w:rFonts w:ascii="宋体" w:hAnsi="宋体" w:cs="宋体"/>
          <w:b/>
          <w:sz w:val="32"/>
          <w:szCs w:val="32"/>
          <w:highlight w:val="none"/>
        </w:rPr>
      </w:pPr>
    </w:p>
    <w:p w14:paraId="1C19A8EB">
      <w:pPr>
        <w:jc w:val="center"/>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291FBFF3">
      <w:pPr>
        <w:pStyle w:val="39"/>
        <w:rPr>
          <w:highlight w:val="none"/>
        </w:rPr>
      </w:pPr>
    </w:p>
    <w:p w14:paraId="5A1E880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项目概况</w:t>
      </w:r>
    </w:p>
    <w:p w14:paraId="7673F066">
      <w:pPr>
        <w:spacing w:line="360" w:lineRule="auto"/>
        <w:ind w:firstLine="480" w:firstLineChars="200"/>
        <w:jc w:val="left"/>
        <w:rPr>
          <w:rFonts w:asciiTheme="minorEastAsia" w:hAnsiTheme="minorEastAsia" w:eastAsiaTheme="minorEastAsia" w:cstheme="minorEastAsia"/>
          <w:sz w:val="24"/>
          <w:highlight w:val="none"/>
        </w:rPr>
      </w:pPr>
      <w:r>
        <w:rPr>
          <w:rFonts w:hint="eastAsia" w:ascii="宋体" w:hAnsi="宋体" w:cs="宋体"/>
          <w:sz w:val="24"/>
          <w:highlight w:val="none"/>
          <w:lang w:val="en-US" w:eastAsia="zh-CN"/>
        </w:rPr>
        <w:t>周口市川汇区产业发展和营商环境服务中心营商环境第三方优化提升项目</w:t>
      </w:r>
      <w:r>
        <w:rPr>
          <w:rFonts w:hint="eastAsia" w:ascii="宋体" w:hAnsi="宋体" w:cs="宋体"/>
          <w:sz w:val="24"/>
          <w:highlight w:val="none"/>
        </w:rPr>
        <w:t>的潜在投标人应在周口市公共资源交易中心网（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）获取招标文件，并于</w:t>
      </w:r>
      <w:r>
        <w:rPr>
          <w:rFonts w:hint="eastAsia" w:ascii="宋体" w:hAnsi="宋体" w:cs="宋体"/>
          <w:sz w:val="24"/>
          <w:highlight w:val="none"/>
          <w:lang w:val="en-US" w:eastAsia="zh-CN"/>
        </w:rPr>
        <w:t xml:space="preserve">  2025 </w:t>
      </w:r>
      <w:r>
        <w:rPr>
          <w:rFonts w:hint="eastAsia" w:ascii="宋体" w:hAnsi="宋体" w:cs="宋体"/>
          <w:sz w:val="24"/>
          <w:highlight w:val="none"/>
        </w:rPr>
        <w:t>年</w:t>
      </w:r>
      <w:r>
        <w:rPr>
          <w:rFonts w:hint="eastAsia" w:ascii="宋体" w:hAnsi="宋体" w:cs="宋体"/>
          <w:sz w:val="24"/>
          <w:highlight w:val="none"/>
          <w:lang w:val="en-US" w:eastAsia="zh-CN"/>
        </w:rPr>
        <w:t xml:space="preserve"> 6  </w:t>
      </w:r>
      <w:r>
        <w:rPr>
          <w:rFonts w:hint="eastAsia" w:ascii="宋体" w:hAnsi="宋体" w:cs="宋体"/>
          <w:sz w:val="24"/>
          <w:highlight w:val="none"/>
        </w:rPr>
        <w:t>月</w:t>
      </w:r>
      <w:r>
        <w:rPr>
          <w:rFonts w:hint="eastAsia" w:ascii="宋体" w:hAnsi="宋体" w:cs="宋体"/>
          <w:sz w:val="24"/>
          <w:highlight w:val="none"/>
          <w:lang w:val="en-US" w:eastAsia="zh-CN"/>
        </w:rPr>
        <w:t xml:space="preserve"> 10 </w:t>
      </w:r>
      <w:r>
        <w:rPr>
          <w:rFonts w:hint="eastAsia" w:ascii="宋体" w:hAnsi="宋体" w:cs="宋体"/>
          <w:sz w:val="24"/>
          <w:highlight w:val="none"/>
        </w:rPr>
        <w:t>日</w:t>
      </w:r>
      <w:r>
        <w:rPr>
          <w:rFonts w:hint="eastAsia" w:ascii="宋体" w:hAnsi="宋体" w:cs="宋体"/>
          <w:sz w:val="24"/>
          <w:highlight w:val="none"/>
          <w:lang w:val="en-US" w:eastAsia="zh-CN"/>
        </w:rPr>
        <w:t xml:space="preserve">10  </w:t>
      </w:r>
      <w:r>
        <w:rPr>
          <w:rFonts w:hint="eastAsia" w:ascii="宋体" w:hAnsi="宋体" w:cs="宋体"/>
          <w:sz w:val="24"/>
          <w:highlight w:val="none"/>
        </w:rPr>
        <w:t>点</w:t>
      </w:r>
      <w:r>
        <w:rPr>
          <w:rFonts w:hint="eastAsia" w:ascii="宋体" w:hAnsi="宋体" w:cs="宋体"/>
          <w:sz w:val="24"/>
          <w:highlight w:val="none"/>
          <w:lang w:val="en-US" w:eastAsia="zh-CN"/>
        </w:rPr>
        <w:t xml:space="preserve">00  </w:t>
      </w:r>
      <w:r>
        <w:rPr>
          <w:rFonts w:hint="eastAsia" w:ascii="宋体" w:hAnsi="宋体" w:cs="宋体"/>
          <w:sz w:val="24"/>
          <w:highlight w:val="none"/>
        </w:rPr>
        <w:t>分（北京时间）前递交投标文件。</w:t>
      </w:r>
    </w:p>
    <w:p w14:paraId="3E6E798F">
      <w:pPr>
        <w:pStyle w:val="3"/>
        <w:autoSpaceDE w:val="0"/>
        <w:autoSpaceDN w:val="0"/>
        <w:spacing w:line="360" w:lineRule="auto"/>
        <w:jc w:val="left"/>
        <w:rPr>
          <w:rFonts w:asciiTheme="minorEastAsia" w:hAnsiTheme="minorEastAsia" w:eastAsiaTheme="minorEastAsia" w:cstheme="minorEastAsia"/>
          <w:sz w:val="24"/>
          <w:highlight w:val="none"/>
        </w:rPr>
      </w:pPr>
      <w:bookmarkStart w:id="0" w:name="_Toc35393798"/>
      <w:bookmarkStart w:id="1" w:name="_Toc28359089"/>
      <w:bookmarkStart w:id="2" w:name="_Toc35393629"/>
      <w:bookmarkStart w:id="3" w:name="_Toc28359012"/>
      <w:r>
        <w:rPr>
          <w:rFonts w:hint="eastAsia" w:asciiTheme="minorEastAsia" w:hAnsiTheme="minorEastAsia" w:eastAsiaTheme="minorEastAsia" w:cstheme="minorEastAsia"/>
          <w:sz w:val="24"/>
          <w:highlight w:val="none"/>
        </w:rPr>
        <w:t>一、项目基本情况</w:t>
      </w:r>
      <w:bookmarkEnd w:id="0"/>
      <w:bookmarkEnd w:id="1"/>
      <w:bookmarkEnd w:id="2"/>
      <w:bookmarkEnd w:id="3"/>
    </w:p>
    <w:p w14:paraId="49E48B15">
      <w:pPr>
        <w:autoSpaceDE w:val="0"/>
        <w:autoSpaceDN w:val="0"/>
        <w:spacing w:line="360" w:lineRule="auto"/>
        <w:ind w:firstLine="480" w:firstLineChars="200"/>
        <w:rPr>
          <w:rFonts w:hint="default" w:asciiTheme="minorEastAsia" w:hAnsiTheme="minorEastAsia" w:eastAsiaTheme="minorEastAsia" w:cstheme="minorEastAsia"/>
          <w:color w:val="0C0C0C" w:themeColor="text1" w:themeTint="F2"/>
          <w:sz w:val="24"/>
          <w:highlight w:val="none"/>
          <w:lang w:val="en-US" w:eastAsia="zh-CN"/>
        </w:rPr>
      </w:pPr>
      <w:r>
        <w:rPr>
          <w:rFonts w:hint="eastAsia" w:asciiTheme="minorEastAsia" w:hAnsiTheme="minorEastAsia" w:eastAsiaTheme="minorEastAsia" w:cstheme="minorEastAsia"/>
          <w:color w:val="0C0C0C" w:themeColor="text1" w:themeTint="F2"/>
          <w:sz w:val="24"/>
          <w:highlight w:val="none"/>
        </w:rPr>
        <w:t>项目编号：</w:t>
      </w:r>
      <w:r>
        <w:rPr>
          <w:rFonts w:hint="eastAsia" w:asciiTheme="minorEastAsia" w:hAnsiTheme="minorEastAsia" w:eastAsiaTheme="minorEastAsia" w:cstheme="minorEastAsia"/>
          <w:color w:val="0C0C0C" w:themeColor="text1" w:themeTint="F2"/>
          <w:sz w:val="24"/>
          <w:highlight w:val="none"/>
          <w:lang w:eastAsia="zh-CN"/>
        </w:rPr>
        <w:t>川财磋商采购-2025-</w:t>
      </w:r>
      <w:r>
        <w:rPr>
          <w:rFonts w:hint="eastAsia" w:asciiTheme="minorEastAsia" w:hAnsiTheme="minorEastAsia" w:eastAsiaTheme="minorEastAsia" w:cstheme="minorEastAsia"/>
          <w:color w:val="0C0C0C" w:themeColor="text1" w:themeTint="F2"/>
          <w:sz w:val="24"/>
          <w:highlight w:val="none"/>
          <w:lang w:val="en-US" w:eastAsia="zh-CN"/>
        </w:rPr>
        <w:t>12</w:t>
      </w:r>
    </w:p>
    <w:p w14:paraId="7F8D0382">
      <w:pPr>
        <w:autoSpaceDE w:val="0"/>
        <w:autoSpaceDN w:val="0"/>
        <w:spacing w:line="360" w:lineRule="auto"/>
        <w:ind w:left="1680" w:leftChars="200" w:hanging="1260" w:hangingChars="525"/>
        <w:rPr>
          <w:rFonts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项目名称：</w:t>
      </w:r>
      <w:r>
        <w:rPr>
          <w:rFonts w:hint="eastAsia" w:asciiTheme="minorEastAsia" w:hAnsiTheme="minorEastAsia" w:eastAsiaTheme="minorEastAsia" w:cstheme="minorEastAsia"/>
          <w:sz w:val="24"/>
          <w:highlight w:val="none"/>
          <w:lang w:val="en-US" w:eastAsia="zh-CN"/>
        </w:rPr>
        <w:t>周口市川汇区产业发展和营商环境服务中心营商环境第三方优化提升项目</w:t>
      </w:r>
    </w:p>
    <w:p w14:paraId="32E07B50">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采购方式：竞争性磋商</w:t>
      </w:r>
    </w:p>
    <w:p w14:paraId="3CB029F4">
      <w:pPr>
        <w:autoSpaceDE w:val="0"/>
        <w:autoSpaceDN w:val="0"/>
        <w:spacing w:line="360" w:lineRule="auto"/>
        <w:ind w:firstLine="480" w:firstLineChars="200"/>
        <w:rPr>
          <w:rFonts w:hint="eastAsia"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rPr>
        <w:t>预算金额：</w:t>
      </w:r>
      <w:r>
        <w:rPr>
          <w:rFonts w:hint="eastAsia" w:asciiTheme="minorEastAsia" w:hAnsiTheme="minorEastAsia" w:eastAsiaTheme="minorEastAsia" w:cstheme="minorEastAsia"/>
          <w:sz w:val="24"/>
          <w:highlight w:val="none"/>
          <w:lang w:val="en-US" w:eastAsia="zh-CN"/>
        </w:rPr>
        <w:t>1400000.00</w:t>
      </w:r>
      <w:r>
        <w:rPr>
          <w:rFonts w:hint="eastAsia" w:asciiTheme="minorEastAsia" w:hAnsiTheme="minorEastAsia" w:eastAsiaTheme="minorEastAsia" w:cstheme="minorEastAsia"/>
          <w:sz w:val="24"/>
          <w:highlight w:val="none"/>
          <w:lang w:eastAsia="zh-CN"/>
        </w:rPr>
        <w:t>元</w:t>
      </w:r>
    </w:p>
    <w:p w14:paraId="55250DCE">
      <w:pPr>
        <w:autoSpaceDE w:val="0"/>
        <w:autoSpaceDN w:val="0"/>
        <w:spacing w:line="360" w:lineRule="auto"/>
        <w:ind w:firstLine="480" w:firstLineChars="200"/>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rPr>
        <w:t>最高限价：</w:t>
      </w:r>
      <w:r>
        <w:rPr>
          <w:rFonts w:hint="eastAsia" w:asciiTheme="minorEastAsia" w:hAnsiTheme="minorEastAsia" w:eastAsiaTheme="minorEastAsia" w:cstheme="minorEastAsia"/>
          <w:sz w:val="24"/>
          <w:highlight w:val="none"/>
          <w:lang w:val="en-US" w:eastAsia="zh-CN"/>
        </w:rPr>
        <w:t>1400000.00</w:t>
      </w:r>
      <w:r>
        <w:rPr>
          <w:rFonts w:hint="eastAsia" w:asciiTheme="minorEastAsia" w:hAnsiTheme="minorEastAsia" w:eastAsiaTheme="minorEastAsia" w:cstheme="minorEastAsia"/>
          <w:sz w:val="24"/>
          <w:highlight w:val="none"/>
          <w:lang w:eastAsia="zh-CN"/>
        </w:rPr>
        <w:t>元</w:t>
      </w:r>
    </w:p>
    <w:p w14:paraId="39192EAA">
      <w:pPr>
        <w:pStyle w:val="27"/>
        <w:snapToGrid w:val="0"/>
        <w:spacing w:before="0" w:beforeAutospacing="0" w:after="0" w:afterAutospacing="0" w:line="360" w:lineRule="auto"/>
        <w:ind w:firstLine="480"/>
        <w:jc w:val="both"/>
        <w:rPr>
          <w:rFonts w:cs="宋体"/>
          <w:color w:val="000000"/>
          <w:highlight w:val="none"/>
        </w:rPr>
      </w:pPr>
      <w:r>
        <w:rPr>
          <w:rFonts w:hint="eastAsia" w:cs="宋体"/>
          <w:color w:val="000000"/>
          <w:highlight w:val="none"/>
        </w:rPr>
        <w:t>包划分：</w:t>
      </w:r>
      <w:r>
        <w:rPr>
          <w:rFonts w:hint="eastAsia" w:cs="宋体"/>
          <w:color w:val="000000"/>
          <w:highlight w:val="none"/>
          <w:lang w:val="en-US" w:eastAsia="zh-CN"/>
        </w:rPr>
        <w:t>1</w:t>
      </w:r>
      <w:r>
        <w:rPr>
          <w:rFonts w:hint="eastAsia" w:cs="宋体"/>
          <w:color w:val="000000"/>
          <w:highlight w:val="none"/>
        </w:rPr>
        <w:t>个包</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1"/>
        <w:gridCol w:w="5177"/>
        <w:gridCol w:w="2793"/>
      </w:tblGrid>
      <w:tr w14:paraId="3F3C5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1" w:type="dxa"/>
            <w:vAlign w:val="center"/>
          </w:tcPr>
          <w:p w14:paraId="2E445BF5">
            <w:pPr>
              <w:pStyle w:val="27"/>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包号</w:t>
            </w:r>
          </w:p>
        </w:tc>
        <w:tc>
          <w:tcPr>
            <w:tcW w:w="5177" w:type="dxa"/>
            <w:vAlign w:val="center"/>
          </w:tcPr>
          <w:p w14:paraId="6A08CFAF">
            <w:pPr>
              <w:pStyle w:val="27"/>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包名称</w:t>
            </w:r>
          </w:p>
        </w:tc>
        <w:tc>
          <w:tcPr>
            <w:tcW w:w="2793" w:type="dxa"/>
            <w:vAlign w:val="center"/>
          </w:tcPr>
          <w:p w14:paraId="5DA35618">
            <w:pPr>
              <w:pStyle w:val="27"/>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包最高限价</w:t>
            </w:r>
            <w:r>
              <w:rPr>
                <w:rFonts w:hint="eastAsia" w:cs="宋体" w:asciiTheme="minorEastAsia" w:hAnsiTheme="minorEastAsia" w:eastAsiaTheme="minorEastAsia"/>
                <w:kern w:val="2"/>
                <w:sz w:val="24"/>
                <w:szCs w:val="24"/>
                <w:highlight w:val="none"/>
                <w:lang w:eastAsia="zh-CN"/>
              </w:rPr>
              <w:t>（</w:t>
            </w:r>
            <w:r>
              <w:rPr>
                <w:rFonts w:hint="eastAsia" w:cs="宋体" w:asciiTheme="minorEastAsia" w:hAnsiTheme="minorEastAsia" w:eastAsiaTheme="minorEastAsia"/>
                <w:kern w:val="2"/>
                <w:sz w:val="24"/>
                <w:szCs w:val="24"/>
                <w:highlight w:val="none"/>
              </w:rPr>
              <w:t>元</w:t>
            </w:r>
            <w:r>
              <w:rPr>
                <w:rFonts w:hint="eastAsia" w:cs="宋体" w:asciiTheme="minorEastAsia" w:hAnsiTheme="minorEastAsia" w:eastAsiaTheme="minorEastAsia"/>
                <w:kern w:val="2"/>
                <w:sz w:val="24"/>
                <w:szCs w:val="24"/>
                <w:highlight w:val="none"/>
                <w:lang w:eastAsia="zh-CN"/>
              </w:rPr>
              <w:t>）</w:t>
            </w:r>
          </w:p>
        </w:tc>
      </w:tr>
      <w:tr w14:paraId="5C5B4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091" w:type="dxa"/>
            <w:vAlign w:val="center"/>
          </w:tcPr>
          <w:p w14:paraId="7E7193EB">
            <w:pPr>
              <w:pStyle w:val="27"/>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1</w:t>
            </w:r>
          </w:p>
        </w:tc>
        <w:tc>
          <w:tcPr>
            <w:tcW w:w="5177" w:type="dxa"/>
            <w:vAlign w:val="center"/>
          </w:tcPr>
          <w:p w14:paraId="05855409">
            <w:pPr>
              <w:adjustRightInd w:val="0"/>
              <w:snapToGrid w:val="0"/>
              <w:spacing w:line="360" w:lineRule="auto"/>
              <w:jc w:val="center"/>
              <w:rPr>
                <w:sz w:val="24"/>
                <w:szCs w:val="24"/>
                <w:highlight w:val="none"/>
              </w:rPr>
            </w:pPr>
            <w:r>
              <w:rPr>
                <w:rFonts w:hint="eastAsia"/>
                <w:sz w:val="24"/>
                <w:szCs w:val="24"/>
                <w:highlight w:val="none"/>
                <w:lang w:val="en-US" w:eastAsia="zh-CN"/>
              </w:rPr>
              <w:t>周口市川汇区产业发展和营商环境服务中心营商环境第三方优化提升项目</w:t>
            </w:r>
          </w:p>
        </w:tc>
        <w:tc>
          <w:tcPr>
            <w:tcW w:w="2793" w:type="dxa"/>
            <w:vAlign w:val="center"/>
          </w:tcPr>
          <w:p w14:paraId="7100BD79">
            <w:pPr>
              <w:adjustRightInd w:val="0"/>
              <w:snapToGrid w:val="0"/>
              <w:spacing w:line="360" w:lineRule="auto"/>
              <w:jc w:val="center"/>
              <w:rPr>
                <w:rFonts w:hint="default" w:eastAsia="宋体"/>
                <w:sz w:val="24"/>
                <w:szCs w:val="24"/>
                <w:highlight w:val="none"/>
                <w:lang w:val="en-US" w:eastAsia="zh-CN"/>
              </w:rPr>
            </w:pPr>
            <w:r>
              <w:rPr>
                <w:rFonts w:hint="eastAsia" w:asciiTheme="minorEastAsia" w:hAnsiTheme="minorEastAsia" w:eastAsiaTheme="minorEastAsia" w:cstheme="minorEastAsia"/>
                <w:sz w:val="24"/>
                <w:highlight w:val="none"/>
                <w:lang w:val="en-US" w:eastAsia="zh-CN"/>
              </w:rPr>
              <w:t>1400000.00</w:t>
            </w:r>
          </w:p>
        </w:tc>
      </w:tr>
    </w:tbl>
    <w:p w14:paraId="2CE39BDC">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w:t>
      </w:r>
      <w:r>
        <w:rPr>
          <w:rFonts w:hint="eastAsia" w:asciiTheme="minorEastAsia" w:hAnsiTheme="minorEastAsia" w:eastAsiaTheme="minorEastAsia" w:cstheme="minorEastAsia"/>
          <w:color w:val="0C0C0C" w:themeColor="text1" w:themeTint="F2"/>
          <w:sz w:val="24"/>
          <w:highlight w:val="none"/>
        </w:rPr>
        <w:t>需求：</w:t>
      </w:r>
      <w:r>
        <w:rPr>
          <w:rFonts w:hint="eastAsia" w:asciiTheme="minorEastAsia" w:hAnsiTheme="minorEastAsia" w:eastAsiaTheme="minorEastAsia" w:cstheme="minorEastAsia"/>
          <w:color w:val="0C0C0C" w:themeColor="text1" w:themeTint="F2"/>
          <w:sz w:val="24"/>
          <w:highlight w:val="none"/>
          <w:lang w:val="en-US" w:eastAsia="zh-CN"/>
        </w:rPr>
        <w:t>其他信息技术服务</w:t>
      </w:r>
      <w:r>
        <w:rPr>
          <w:rFonts w:hint="eastAsia" w:asciiTheme="minorEastAsia" w:hAnsiTheme="minorEastAsia" w:eastAsiaTheme="minorEastAsia" w:cstheme="minorEastAsia"/>
          <w:color w:val="0C0C0C" w:themeColor="text1" w:themeTint="F2"/>
          <w:sz w:val="24"/>
          <w:highlight w:val="none"/>
        </w:rPr>
        <w:t>（包括但</w:t>
      </w:r>
      <w:r>
        <w:rPr>
          <w:rFonts w:hint="eastAsia" w:asciiTheme="minorEastAsia" w:hAnsiTheme="minorEastAsia" w:eastAsiaTheme="minorEastAsia" w:cstheme="minorEastAsia"/>
          <w:sz w:val="24"/>
          <w:highlight w:val="none"/>
        </w:rPr>
        <w:t>不限于标的的名称、数量、简要技术需求或服务要求等）</w:t>
      </w:r>
    </w:p>
    <w:p w14:paraId="18D97139">
      <w:pPr>
        <w:autoSpaceDE w:val="0"/>
        <w:autoSpaceDN w:val="0"/>
        <w:spacing w:line="360" w:lineRule="auto"/>
        <w:ind w:firstLine="480" w:firstLineChars="200"/>
        <w:rPr>
          <w:rFonts w:hint="default" w:asciiTheme="minorEastAsia" w:hAnsiTheme="minorEastAsia" w:eastAsiaTheme="minorEastAsia" w:cstheme="minorEastAsia"/>
          <w:sz w:val="24"/>
          <w:highlight w:val="none"/>
          <w:lang w:val="en-US"/>
        </w:rPr>
      </w:pPr>
      <w:r>
        <w:rPr>
          <w:rFonts w:hint="eastAsia" w:asciiTheme="minorEastAsia" w:hAnsiTheme="minorEastAsia" w:eastAsiaTheme="minorEastAsia" w:cstheme="minorEastAsia"/>
          <w:sz w:val="24"/>
          <w:highlight w:val="none"/>
        </w:rPr>
        <w:t>合同履行期限：</w:t>
      </w:r>
      <w:r>
        <w:rPr>
          <w:rFonts w:hint="eastAsia" w:asciiTheme="minorEastAsia" w:hAnsiTheme="minorEastAsia" w:eastAsiaTheme="minorEastAsia" w:cstheme="minorEastAsia"/>
          <w:sz w:val="24"/>
          <w:szCs w:val="24"/>
          <w:highlight w:val="none"/>
          <w:lang w:val="en-US" w:eastAsia="zh-CN"/>
        </w:rPr>
        <w:t>1年</w:t>
      </w:r>
    </w:p>
    <w:p w14:paraId="4E4740DB">
      <w:pPr>
        <w:spacing w:line="360" w:lineRule="auto"/>
        <w:ind w:firstLine="480" w:firstLineChars="200"/>
        <w:jc w:val="left"/>
        <w:rPr>
          <w:rFonts w:ascii="宋体" w:hAnsi="宋体" w:cs="宋体"/>
          <w:sz w:val="24"/>
          <w:highlight w:val="none"/>
        </w:rPr>
      </w:pPr>
      <w:bookmarkStart w:id="4" w:name="_Toc28359013"/>
      <w:bookmarkStart w:id="5" w:name="_Toc35393630"/>
      <w:bookmarkStart w:id="6" w:name="_Toc35393799"/>
      <w:bookmarkStart w:id="7" w:name="_Toc28359090"/>
      <w:r>
        <w:rPr>
          <w:rFonts w:hint="eastAsia" w:ascii="宋体" w:hAnsi="宋体" w:cs="宋体"/>
          <w:sz w:val="24"/>
          <w:highlight w:val="none"/>
        </w:rPr>
        <w:t>是否接受进口产品：否</w:t>
      </w:r>
    </w:p>
    <w:p w14:paraId="2602C1A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本项目是否接受联合体投标：否</w:t>
      </w:r>
    </w:p>
    <w:p w14:paraId="53A190A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highlight w:val="none"/>
          <w:lang w:val="en-US" w:eastAsia="zh-CN"/>
        </w:rPr>
      </w:pPr>
      <w:r>
        <w:rPr>
          <w:rFonts w:hint="eastAsia" w:ascii="宋体" w:hAnsi="宋体" w:cs="宋体"/>
          <w:sz w:val="24"/>
          <w:highlight w:val="none"/>
        </w:rPr>
        <w:t>本项目是否为只面向中小企业采购：否</w:t>
      </w:r>
      <w:r>
        <w:rPr>
          <w:rFonts w:hint="eastAsia" w:ascii="宋体" w:hAnsi="宋体" w:eastAsia="宋体" w:cs="宋体"/>
          <w:i w:val="0"/>
          <w:iCs w:val="0"/>
          <w:color w:val="auto"/>
          <w:sz w:val="24"/>
          <w:szCs w:val="24"/>
          <w:highlight w:val="none"/>
          <w:lang w:val="en-US" w:eastAsia="zh-CN"/>
        </w:rPr>
        <w:t>。</w:t>
      </w:r>
    </w:p>
    <w:p w14:paraId="4F6A46BE">
      <w:pPr>
        <w:pStyle w:val="3"/>
        <w:autoSpaceDE w:val="0"/>
        <w:autoSpaceDN w:val="0"/>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二、申请人的资格要求：</w:t>
      </w:r>
      <w:bookmarkEnd w:id="4"/>
      <w:bookmarkEnd w:id="5"/>
      <w:bookmarkEnd w:id="6"/>
      <w:bookmarkEnd w:id="7"/>
    </w:p>
    <w:p w14:paraId="76A4E2AC">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1.满足《中华人民共和国政府采购法》第二十二条规定；</w:t>
      </w:r>
    </w:p>
    <w:p w14:paraId="773874CA">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1C4267D6">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7D195F12">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54B9938D">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19D50FD7">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58BFCA2D">
      <w:pPr>
        <w:adjustRightInd w:val="0"/>
        <w:snapToGrid w:val="0"/>
        <w:spacing w:line="360" w:lineRule="auto"/>
        <w:ind w:firstLine="480" w:firstLineChars="200"/>
        <w:rPr>
          <w:highlight w:val="none"/>
        </w:rPr>
      </w:pPr>
      <w:r>
        <w:rPr>
          <w:rFonts w:hint="eastAsia"/>
          <w:sz w:val="24"/>
          <w:highlight w:val="none"/>
        </w:rPr>
        <w:t xml:space="preserve">（6）法律、行政法规规定的其他条件。 </w:t>
      </w:r>
    </w:p>
    <w:p w14:paraId="299EAFE6">
      <w:pPr>
        <w:autoSpaceDE w:val="0"/>
        <w:autoSpaceDN w:val="0"/>
        <w:spacing w:line="360" w:lineRule="auto"/>
        <w:ind w:firstLine="540"/>
        <w:rPr>
          <w:rFonts w:asciiTheme="minorEastAsia" w:hAnsiTheme="minorEastAsia" w:eastAsiaTheme="minorEastAsia" w:cstheme="minorEastAsia"/>
          <w:sz w:val="24"/>
          <w:highlight w:val="none"/>
        </w:rPr>
      </w:pPr>
      <w:bookmarkStart w:id="8" w:name="_Toc28359091"/>
      <w:bookmarkStart w:id="9" w:name="_Toc28359014"/>
      <w:r>
        <w:rPr>
          <w:rFonts w:hint="eastAsia" w:asciiTheme="minorEastAsia" w:hAnsiTheme="minorEastAsia" w:eastAsiaTheme="minorEastAsia" w:cstheme="minorEastAsia"/>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AADABC8">
      <w:pPr>
        <w:spacing w:line="36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3.本项目的特定资格要求：</w:t>
      </w:r>
    </w:p>
    <w:p w14:paraId="1A394E09">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根据《关于在政府采购活动中查询及使用信用记录有关问题的通知》(财库[2016]125号)和豫财购【2016】15号的规定，对列入“信用中国”网站（</w:t>
      </w:r>
      <w:r>
        <w:rPr>
          <w:rFonts w:hint="eastAsia" w:ascii="宋体" w:hAnsi="宋体" w:cs="宋体"/>
          <w:sz w:val="24"/>
          <w:highlight w:val="none"/>
        </w:rPr>
        <w:fldChar w:fldCharType="begin"/>
      </w:r>
      <w:r>
        <w:rPr>
          <w:rFonts w:hint="eastAsia" w:ascii="宋体" w:hAnsi="宋体" w:cs="宋体"/>
          <w:sz w:val="24"/>
          <w:highlight w:val="none"/>
        </w:rPr>
        <w:instrText xml:space="preserve">HYPERLINK "http://www.creditchina.gov.cn/"</w:instrText>
      </w:r>
      <w:r>
        <w:rPr>
          <w:rFonts w:hint="eastAsia" w:ascii="宋体" w:hAnsi="宋体" w:cs="宋体"/>
          <w:sz w:val="24"/>
          <w:highlight w:val="none"/>
        </w:rPr>
        <w:fldChar w:fldCharType="separate"/>
      </w:r>
      <w:r>
        <w:rPr>
          <w:rFonts w:hint="eastAsia" w:ascii="宋体" w:hAnsi="宋体" w:cs="宋体"/>
          <w:sz w:val="24"/>
          <w:highlight w:val="none"/>
        </w:rPr>
        <w:t>www.creditchina.gov.cn</w:t>
      </w:r>
      <w:r>
        <w:rPr>
          <w:rFonts w:hint="eastAsia" w:ascii="宋体" w:hAnsi="宋体" w:cs="宋体"/>
          <w:sz w:val="24"/>
          <w:highlight w:val="none"/>
        </w:rPr>
        <w:fldChar w:fldCharType="end"/>
      </w:r>
      <w:r>
        <w:rPr>
          <w:rFonts w:hint="eastAsia" w:ascii="宋体" w:hAnsi="宋体" w:cs="宋体"/>
          <w:sz w:val="24"/>
          <w:highlight w:val="none"/>
        </w:rPr>
        <w:t>）的“失信被执行人”、</w:t>
      </w:r>
      <w:r>
        <w:rPr>
          <w:rFonts w:hint="eastAsia" w:ascii="宋体" w:hAnsi="宋体" w:cs="宋体"/>
          <w:sz w:val="24"/>
          <w:highlight w:val="none"/>
          <w:lang w:eastAsia="zh-CN"/>
        </w:rPr>
        <w:t>“</w:t>
      </w:r>
      <w:r>
        <w:rPr>
          <w:rFonts w:hint="eastAsia" w:ascii="宋体" w:hAnsi="宋体" w:cs="宋体"/>
          <w:sz w:val="24"/>
          <w:highlight w:val="none"/>
        </w:rPr>
        <w:t>政府采购严重违法失信行为记录名单</w:t>
      </w:r>
      <w:r>
        <w:rPr>
          <w:rFonts w:hint="eastAsia" w:ascii="宋体" w:hAnsi="宋体" w:cs="宋体"/>
          <w:sz w:val="24"/>
          <w:highlight w:val="none"/>
          <w:lang w:eastAsia="zh-CN"/>
        </w:rPr>
        <w:t>”、“</w:t>
      </w:r>
      <w:r>
        <w:rPr>
          <w:rFonts w:hint="eastAsia" w:ascii="宋体" w:hAnsi="宋体" w:cs="宋体"/>
          <w:sz w:val="24"/>
          <w:highlight w:val="none"/>
          <w:lang w:val="en-US" w:eastAsia="zh-CN"/>
        </w:rPr>
        <w:t>重大税收违法失信主体</w:t>
      </w:r>
      <w:r>
        <w:rPr>
          <w:rFonts w:hint="eastAsia" w:ascii="宋体" w:hAnsi="宋体" w:cs="宋体"/>
          <w:sz w:val="24"/>
          <w:highlight w:val="none"/>
        </w:rPr>
        <w:t>”</w:t>
      </w:r>
      <w:r>
        <w:rPr>
          <w:rFonts w:hint="eastAsia" w:ascii="宋体" w:hAnsi="宋体" w:cs="宋体"/>
          <w:color w:val="auto"/>
          <w:sz w:val="24"/>
          <w:highlight w:val="none"/>
          <w:lang w:eastAsia="zh-CN"/>
        </w:rPr>
        <w:t>的供应商和法定代表人</w:t>
      </w:r>
      <w:r>
        <w:rPr>
          <w:rFonts w:hint="eastAsia" w:ascii="宋体" w:hAnsi="宋体" w:cs="宋体"/>
          <w:color w:val="auto"/>
          <w:sz w:val="24"/>
          <w:highlight w:val="none"/>
        </w:rPr>
        <w:t>和“</w:t>
      </w:r>
      <w:r>
        <w:rPr>
          <w:rFonts w:hint="eastAsia" w:ascii="宋体" w:hAnsi="宋体" w:cs="宋体"/>
          <w:sz w:val="24"/>
          <w:highlight w:val="none"/>
        </w:rPr>
        <w:t>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ascii="宋体" w:hAnsi="宋体" w:cs="宋体"/>
          <w:sz w:val="24"/>
          <w:highlight w:val="none"/>
        </w:rPr>
        <w:t>www.ccgp.gov.cn</w:t>
      </w:r>
      <w:r>
        <w:rPr>
          <w:rFonts w:hint="eastAsia" w:ascii="宋体" w:hAnsi="宋体" w:cs="宋体"/>
          <w:sz w:val="24"/>
          <w:highlight w:val="none"/>
        </w:rPr>
        <w:fldChar w:fldCharType="end"/>
      </w:r>
      <w:r>
        <w:rPr>
          <w:rFonts w:hint="eastAsia" w:ascii="宋体" w:hAnsi="宋体" w:cs="宋体"/>
          <w:sz w:val="24"/>
          <w:highlight w:val="none"/>
        </w:rPr>
        <w:t>)的“政府采购严重违法失信行为记录名单”的供应商，将拒绝其参加政府采购活动；在标书中附网页查询</w:t>
      </w:r>
      <w:r>
        <w:rPr>
          <w:rFonts w:hint="eastAsia" w:ascii="宋体" w:hAnsi="宋体" w:cs="宋体"/>
          <w:sz w:val="24"/>
          <w:highlight w:val="none"/>
          <w:lang w:eastAsia="zh-CN"/>
        </w:rPr>
        <w:t>截图</w:t>
      </w:r>
      <w:r>
        <w:rPr>
          <w:rFonts w:hint="eastAsia" w:ascii="宋体" w:hAnsi="宋体" w:cs="宋体"/>
          <w:sz w:val="24"/>
          <w:highlight w:val="none"/>
        </w:rPr>
        <w:t>，查询日期为公告发布之日起至投标截止之日止。</w:t>
      </w:r>
    </w:p>
    <w:p w14:paraId="24573C6F">
      <w:pPr>
        <w:pStyle w:val="29"/>
        <w:spacing w:line="360" w:lineRule="auto"/>
        <w:ind w:left="0" w:leftChars="0" w:firstLine="480" w:firstLineChars="200"/>
        <w:rPr>
          <w:rFonts w:hint="eastAsia" w:ascii="宋体" w:hAnsi="宋体" w:cs="宋体"/>
          <w:sz w:val="24"/>
          <w:highlight w:val="none"/>
        </w:rPr>
      </w:pPr>
      <w:r>
        <w:rPr>
          <w:rFonts w:hint="eastAsia" w:asciiTheme="minorEastAsia" w:hAnsiTheme="minorEastAsia" w:eastAsiaTheme="minorEastAsia" w:cstheme="minorEastAsia"/>
          <w:bCs/>
          <w:kern w:val="2"/>
          <w:sz w:val="24"/>
          <w:szCs w:val="24"/>
          <w:lang w:val="en-US" w:eastAsia="zh-CN" w:bidi="ar-SA"/>
        </w:rPr>
        <w:t>4.本次项目不接受联合体投标。</w:t>
      </w:r>
    </w:p>
    <w:p w14:paraId="64189896">
      <w:pPr>
        <w:pStyle w:val="3"/>
        <w:autoSpaceDE w:val="0"/>
        <w:autoSpaceDN w:val="0"/>
        <w:spacing w:line="360" w:lineRule="auto"/>
        <w:jc w:val="left"/>
        <w:rPr>
          <w:rFonts w:asciiTheme="minorEastAsia" w:hAnsiTheme="minorEastAsia" w:eastAsiaTheme="minorEastAsia" w:cstheme="minorEastAsia"/>
          <w:sz w:val="24"/>
          <w:highlight w:val="none"/>
        </w:rPr>
      </w:pPr>
      <w:bookmarkStart w:id="10" w:name="_Toc35393800"/>
      <w:bookmarkStart w:id="11" w:name="_Toc35393631"/>
      <w:r>
        <w:rPr>
          <w:rFonts w:hint="eastAsia" w:asciiTheme="minorEastAsia" w:hAnsiTheme="minorEastAsia" w:eastAsiaTheme="minorEastAsia" w:cstheme="minorEastAsia"/>
          <w:sz w:val="24"/>
          <w:highlight w:val="none"/>
        </w:rPr>
        <w:t>三、获取采购文件</w:t>
      </w:r>
      <w:bookmarkEnd w:id="8"/>
      <w:bookmarkEnd w:id="9"/>
      <w:bookmarkEnd w:id="10"/>
      <w:bookmarkEnd w:id="11"/>
    </w:p>
    <w:p w14:paraId="19C59323">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rPr>
        <w:t>　</w:t>
      </w:r>
      <w:r>
        <w:rPr>
          <w:rFonts w:hint="eastAsia" w:asciiTheme="minorEastAsia" w:hAnsiTheme="minorEastAsia" w:eastAsiaTheme="minorEastAsia" w:cstheme="minorEastAsia"/>
          <w:sz w:val="24"/>
          <w:highlight w:val="none"/>
          <w:u w:val="single"/>
          <w:lang w:val="en-US" w:eastAsia="zh-CN"/>
        </w:rPr>
        <w:t>2025</w:t>
      </w:r>
      <w:r>
        <w:rPr>
          <w:rFonts w:hint="eastAsia" w:asciiTheme="minorEastAsia" w:hAnsiTheme="minorEastAsia" w:eastAsiaTheme="minorEastAsia" w:cstheme="minorEastAsia"/>
          <w:sz w:val="24"/>
          <w:highlight w:val="none"/>
          <w:u w:val="single"/>
        </w:rPr>
        <w:t xml:space="preserve"> 年 </w:t>
      </w:r>
      <w:r>
        <w:rPr>
          <w:rFonts w:hint="eastAsia" w:asciiTheme="minorEastAsia" w:hAnsiTheme="minorEastAsia" w:eastAsiaTheme="minorEastAsia" w:cstheme="minorEastAsia"/>
          <w:sz w:val="24"/>
          <w:highlight w:val="none"/>
          <w:u w:val="single"/>
          <w:lang w:val="en-US" w:eastAsia="zh-CN"/>
        </w:rPr>
        <w:t>5</w:t>
      </w:r>
      <w:r>
        <w:rPr>
          <w:rFonts w:hint="eastAsia" w:asciiTheme="minorEastAsia" w:hAnsiTheme="minorEastAsia" w:eastAsiaTheme="minorEastAsia" w:cstheme="minorEastAsia"/>
          <w:sz w:val="24"/>
          <w:highlight w:val="none"/>
          <w:u w:val="single"/>
        </w:rPr>
        <w:t xml:space="preserve">月 </w:t>
      </w:r>
      <w:r>
        <w:rPr>
          <w:rFonts w:hint="eastAsia" w:asciiTheme="minorEastAsia" w:hAnsiTheme="minorEastAsia" w:eastAsiaTheme="minorEastAsia" w:cstheme="minorEastAsia"/>
          <w:sz w:val="24"/>
          <w:highlight w:val="none"/>
          <w:u w:val="single"/>
          <w:lang w:val="en-US" w:eastAsia="zh-CN"/>
        </w:rPr>
        <w:t>28</w:t>
      </w:r>
      <w:r>
        <w:rPr>
          <w:rFonts w:hint="eastAsia" w:asciiTheme="minorEastAsia" w:hAnsiTheme="minorEastAsia" w:eastAsiaTheme="minorEastAsia" w:cstheme="minorEastAsia"/>
          <w:sz w:val="24"/>
          <w:highlight w:val="none"/>
          <w:u w:val="single"/>
        </w:rPr>
        <w:t xml:space="preserve"> 日</w:t>
      </w:r>
      <w:r>
        <w:rPr>
          <w:rFonts w:hint="eastAsia" w:asciiTheme="minorEastAsia" w:hAnsiTheme="minorEastAsia" w:eastAsiaTheme="minorEastAsia" w:cstheme="minorEastAsia"/>
          <w:sz w:val="24"/>
          <w:highlight w:val="none"/>
        </w:rPr>
        <w:t>至</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u w:val="single"/>
          <w:lang w:val="en-US" w:eastAsia="zh-CN"/>
        </w:rPr>
        <w:t>2025</w:t>
      </w:r>
      <w:r>
        <w:rPr>
          <w:rFonts w:hint="eastAsia" w:asciiTheme="minorEastAsia" w:hAnsiTheme="minorEastAsia" w:eastAsiaTheme="minorEastAsia" w:cstheme="minorEastAsia"/>
          <w:sz w:val="24"/>
          <w:highlight w:val="none"/>
          <w:u w:val="single"/>
        </w:rPr>
        <w:t xml:space="preserve"> 年 </w:t>
      </w:r>
      <w:r>
        <w:rPr>
          <w:rFonts w:hint="eastAsia" w:asciiTheme="minorEastAsia" w:hAnsiTheme="minorEastAsia" w:eastAsiaTheme="minorEastAsia" w:cstheme="minorEastAsia"/>
          <w:sz w:val="24"/>
          <w:highlight w:val="none"/>
          <w:u w:val="single"/>
          <w:lang w:val="en-US" w:eastAsia="zh-CN"/>
        </w:rPr>
        <w:t>6</w:t>
      </w:r>
      <w:r>
        <w:rPr>
          <w:rFonts w:hint="eastAsia" w:asciiTheme="minorEastAsia" w:hAnsiTheme="minorEastAsia" w:eastAsiaTheme="minorEastAsia" w:cstheme="minorEastAsia"/>
          <w:sz w:val="24"/>
          <w:highlight w:val="none"/>
          <w:u w:val="single"/>
        </w:rPr>
        <w:t xml:space="preserve"> 月 </w:t>
      </w:r>
      <w:r>
        <w:rPr>
          <w:rFonts w:hint="eastAsia" w:asciiTheme="minorEastAsia" w:hAnsiTheme="minorEastAsia" w:eastAsiaTheme="minorEastAsia" w:cstheme="minorEastAsia"/>
          <w:sz w:val="24"/>
          <w:highlight w:val="none"/>
          <w:u w:val="single"/>
          <w:lang w:val="en-US" w:eastAsia="zh-CN"/>
        </w:rPr>
        <w:t>5</w:t>
      </w:r>
      <w:r>
        <w:rPr>
          <w:rFonts w:hint="eastAsia" w:asciiTheme="minorEastAsia" w:hAnsiTheme="minorEastAsia" w:eastAsiaTheme="minorEastAsia" w:cstheme="minorEastAsia"/>
          <w:sz w:val="24"/>
          <w:highlight w:val="none"/>
          <w:u w:val="single"/>
        </w:rPr>
        <w:t xml:space="preserve"> 日</w:t>
      </w:r>
      <w:r>
        <w:rPr>
          <w:rFonts w:hint="eastAsia" w:asciiTheme="minorEastAsia" w:hAnsiTheme="minorEastAsia" w:eastAsiaTheme="minorEastAsia" w:cstheme="minorEastAsia"/>
          <w:sz w:val="24"/>
          <w:highlight w:val="none"/>
        </w:rPr>
        <w:t>（北京时间，法定节假日除外 ）</w:t>
      </w:r>
    </w:p>
    <w:p w14:paraId="35E49BFD">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地点：周口市公共资源交易中心网（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w:t>
      </w:r>
    </w:p>
    <w:p w14:paraId="239117E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方式：供应商请在网站自主注册后下载采购文件（zkzf格式）及资料，需办理CA数字证书后方可提交响应文件，具体办理事宜请查阅周口市公共资源交易中心网站。</w:t>
      </w:r>
    </w:p>
    <w:p w14:paraId="4852F0D7">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售价：0</w:t>
      </w:r>
    </w:p>
    <w:p w14:paraId="201E3C1F">
      <w:pPr>
        <w:pStyle w:val="3"/>
        <w:autoSpaceDE w:val="0"/>
        <w:autoSpaceDN w:val="0"/>
        <w:spacing w:line="360" w:lineRule="auto"/>
        <w:jc w:val="left"/>
        <w:rPr>
          <w:rFonts w:asciiTheme="minorEastAsia" w:hAnsiTheme="minorEastAsia" w:eastAsiaTheme="minorEastAsia" w:cstheme="minorEastAsia"/>
          <w:sz w:val="24"/>
          <w:highlight w:val="none"/>
        </w:rPr>
      </w:pPr>
      <w:bookmarkStart w:id="12" w:name="_Toc28359015"/>
      <w:bookmarkStart w:id="13" w:name="_Toc28359092"/>
      <w:bookmarkStart w:id="14" w:name="_Toc35393632"/>
      <w:bookmarkStart w:id="15" w:name="_Toc35393801"/>
      <w:r>
        <w:rPr>
          <w:rFonts w:hint="eastAsia" w:asciiTheme="minorEastAsia" w:hAnsiTheme="minorEastAsia" w:eastAsiaTheme="minorEastAsia" w:cstheme="minorEastAsia"/>
          <w:sz w:val="24"/>
          <w:highlight w:val="none"/>
        </w:rPr>
        <w:t>四、响应文件提交</w:t>
      </w:r>
      <w:bookmarkEnd w:id="12"/>
      <w:bookmarkEnd w:id="13"/>
      <w:bookmarkEnd w:id="14"/>
      <w:bookmarkEnd w:id="15"/>
    </w:p>
    <w:p w14:paraId="03E58B27">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截止时间：</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u w:val="single"/>
          <w:lang w:val="en-US" w:eastAsia="zh-CN"/>
        </w:rPr>
        <w:t>2025</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bCs/>
          <w:sz w:val="24"/>
          <w:highlight w:val="none"/>
          <w:u w:val="single"/>
        </w:rPr>
        <w:t xml:space="preserve">年 </w:t>
      </w:r>
      <w:r>
        <w:rPr>
          <w:rFonts w:hint="eastAsia" w:asciiTheme="minorEastAsia" w:hAnsiTheme="minorEastAsia" w:eastAsiaTheme="minorEastAsia" w:cstheme="minorEastAsia"/>
          <w:bCs/>
          <w:sz w:val="24"/>
          <w:highlight w:val="none"/>
          <w:u w:val="single"/>
          <w:lang w:val="en-US" w:eastAsia="zh-CN"/>
        </w:rPr>
        <w:t>6</w:t>
      </w:r>
      <w:r>
        <w:rPr>
          <w:rFonts w:hint="eastAsia" w:asciiTheme="minorEastAsia" w:hAnsiTheme="minorEastAsia" w:eastAsiaTheme="minorEastAsia" w:cstheme="minorEastAsia"/>
          <w:bCs/>
          <w:sz w:val="24"/>
          <w:highlight w:val="none"/>
          <w:u w:val="single"/>
        </w:rPr>
        <w:t xml:space="preserve"> 月 </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 xml:space="preserve"> 日  </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 xml:space="preserve">  点  </w:t>
      </w:r>
      <w:r>
        <w:rPr>
          <w:rFonts w:hint="eastAsia" w:asciiTheme="minorEastAsia" w:hAnsiTheme="minorEastAsia" w:eastAsiaTheme="minorEastAsia" w:cstheme="minorEastAsia"/>
          <w:bCs/>
          <w:sz w:val="24"/>
          <w:highlight w:val="none"/>
          <w:u w:val="single"/>
          <w:lang w:val="en-US" w:eastAsia="zh-CN"/>
        </w:rPr>
        <w:t>00</w:t>
      </w:r>
      <w:r>
        <w:rPr>
          <w:rFonts w:hint="eastAsia" w:asciiTheme="minorEastAsia" w:hAnsiTheme="minorEastAsia" w:eastAsiaTheme="minorEastAsia" w:cstheme="minorEastAsia"/>
          <w:bCs/>
          <w:sz w:val="24"/>
          <w:highlight w:val="none"/>
          <w:u w:val="single"/>
        </w:rPr>
        <w:t xml:space="preserve">  分</w:t>
      </w:r>
      <w:r>
        <w:rPr>
          <w:rFonts w:hint="eastAsia" w:asciiTheme="minorEastAsia" w:hAnsiTheme="minorEastAsia" w:eastAsiaTheme="minorEastAsia" w:cstheme="minorEastAsia"/>
          <w:bCs/>
          <w:sz w:val="24"/>
          <w:highlight w:val="none"/>
        </w:rPr>
        <w:t>（北京时间）</w:t>
      </w:r>
    </w:p>
    <w:p w14:paraId="745BDAE6">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地点：加密电子响应文件须在投标截止时间前通过</w:t>
      </w:r>
      <w:r>
        <w:rPr>
          <w:rFonts w:hint="eastAsia" w:asciiTheme="minorEastAsia" w:hAnsiTheme="minorEastAsia" w:eastAsiaTheme="minorEastAsia" w:cstheme="minorEastAsia"/>
          <w:spacing w:val="-6"/>
          <w:sz w:val="24"/>
          <w:highlight w:val="none"/>
        </w:rPr>
        <w:t>周口市公共资源交易中心网</w:t>
      </w:r>
      <w:r>
        <w:rPr>
          <w:rFonts w:hint="eastAsia" w:asciiTheme="minorEastAsia" w:hAnsiTheme="minorEastAsia" w:eastAsiaTheme="minorEastAsia" w:cstheme="minorEastAsia"/>
          <w:sz w:val="24"/>
          <w:highlight w:val="none"/>
        </w:rPr>
        <w:t>（网址</w:t>
      </w:r>
      <w:r>
        <w:rPr>
          <w:rFonts w:hint="eastAsia" w:asciiTheme="minorEastAsia" w:hAnsiTheme="minorEastAsia" w:eastAsiaTheme="minorEastAsia" w:cstheme="minorEastAsia"/>
          <w:color w:val="000000"/>
          <w:sz w:val="24"/>
          <w:highlight w:val="none"/>
          <w:lang w:eastAsia="zh-CN"/>
        </w:rPr>
        <w:t>http://jyzx.zhoukou.gov.cn/</w:t>
      </w:r>
      <w:r>
        <w:rPr>
          <w:rFonts w:hint="eastAsia" w:asciiTheme="minorEastAsia" w:hAnsiTheme="minorEastAsia" w:eastAsiaTheme="minorEastAsia" w:cstheme="minorEastAsia"/>
          <w:sz w:val="24"/>
          <w:highlight w:val="none"/>
        </w:rPr>
        <w:t>）。</w:t>
      </w:r>
    </w:p>
    <w:p w14:paraId="2007254E">
      <w:pPr>
        <w:pStyle w:val="3"/>
        <w:autoSpaceDE w:val="0"/>
        <w:autoSpaceDN w:val="0"/>
        <w:spacing w:line="360" w:lineRule="auto"/>
        <w:jc w:val="left"/>
        <w:rPr>
          <w:rFonts w:asciiTheme="minorEastAsia" w:hAnsiTheme="minorEastAsia" w:eastAsiaTheme="minorEastAsia" w:cstheme="minorEastAsia"/>
          <w:sz w:val="24"/>
          <w:highlight w:val="none"/>
        </w:rPr>
      </w:pPr>
      <w:bookmarkStart w:id="16" w:name="_Toc28359016"/>
      <w:bookmarkStart w:id="17" w:name="_Toc28359093"/>
      <w:bookmarkStart w:id="18" w:name="_Toc35393633"/>
      <w:bookmarkStart w:id="19" w:name="_Toc35393802"/>
      <w:r>
        <w:rPr>
          <w:rFonts w:hint="eastAsia" w:asciiTheme="minorEastAsia" w:hAnsiTheme="minorEastAsia" w:eastAsiaTheme="minorEastAsia" w:cstheme="minorEastAsia"/>
          <w:sz w:val="24"/>
          <w:highlight w:val="none"/>
        </w:rPr>
        <w:t>五、开启（竞争性磋商方式必须填写）</w:t>
      </w:r>
      <w:bookmarkEnd w:id="16"/>
      <w:bookmarkEnd w:id="17"/>
      <w:bookmarkEnd w:id="18"/>
      <w:bookmarkEnd w:id="19"/>
    </w:p>
    <w:p w14:paraId="4AA4175B">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u w:val="single"/>
          <w:lang w:val="en-US" w:eastAsia="zh-CN"/>
        </w:rPr>
        <w:t>2025</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bCs/>
          <w:sz w:val="24"/>
          <w:highlight w:val="none"/>
          <w:u w:val="single"/>
        </w:rPr>
        <w:t xml:space="preserve">年 </w:t>
      </w:r>
      <w:r>
        <w:rPr>
          <w:rFonts w:hint="eastAsia" w:asciiTheme="minorEastAsia" w:hAnsiTheme="minorEastAsia" w:eastAsiaTheme="minorEastAsia" w:cstheme="minorEastAsia"/>
          <w:bCs/>
          <w:sz w:val="24"/>
          <w:highlight w:val="none"/>
          <w:u w:val="single"/>
          <w:lang w:val="en-US" w:eastAsia="zh-CN"/>
        </w:rPr>
        <w:t>6</w:t>
      </w:r>
      <w:r>
        <w:rPr>
          <w:rFonts w:hint="eastAsia" w:asciiTheme="minorEastAsia" w:hAnsiTheme="minorEastAsia" w:eastAsiaTheme="minorEastAsia" w:cstheme="minorEastAsia"/>
          <w:bCs/>
          <w:sz w:val="24"/>
          <w:highlight w:val="none"/>
          <w:u w:val="single"/>
        </w:rPr>
        <w:t xml:space="preserve"> 月 </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 xml:space="preserve"> 日  </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 xml:space="preserve">  点 </w:t>
      </w:r>
      <w:r>
        <w:rPr>
          <w:rFonts w:hint="eastAsia" w:asciiTheme="minorEastAsia" w:hAnsiTheme="minorEastAsia" w:eastAsiaTheme="minorEastAsia" w:cstheme="minorEastAsia"/>
          <w:bCs/>
          <w:sz w:val="24"/>
          <w:highlight w:val="none"/>
          <w:u w:val="single"/>
          <w:lang w:val="en-US" w:eastAsia="zh-CN"/>
        </w:rPr>
        <w:t>00</w:t>
      </w:r>
      <w:r>
        <w:rPr>
          <w:rFonts w:hint="eastAsia" w:asciiTheme="minorEastAsia" w:hAnsiTheme="minorEastAsia" w:eastAsiaTheme="minorEastAsia" w:cstheme="minorEastAsia"/>
          <w:bCs/>
          <w:sz w:val="24"/>
          <w:highlight w:val="none"/>
          <w:u w:val="single"/>
        </w:rPr>
        <w:t xml:space="preserve">   分</w:t>
      </w:r>
      <w:r>
        <w:rPr>
          <w:rFonts w:hint="eastAsia" w:asciiTheme="minorEastAsia" w:hAnsiTheme="minorEastAsia" w:eastAsiaTheme="minorEastAsia" w:cstheme="minorEastAsia"/>
          <w:bCs/>
          <w:sz w:val="24"/>
          <w:highlight w:val="none"/>
        </w:rPr>
        <w:t>（北京时间）</w:t>
      </w:r>
    </w:p>
    <w:p w14:paraId="5604C6C2">
      <w:pPr>
        <w:autoSpaceDE w:val="0"/>
        <w:autoSpaceDN w:val="0"/>
        <w:spacing w:line="360" w:lineRule="auto"/>
        <w:ind w:firstLine="480" w:firstLineChars="200"/>
        <w:jc w:val="left"/>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w:t>
      </w:r>
      <w:r>
        <w:rPr>
          <w:rFonts w:hint="eastAsia" w:ascii="宋体" w:hAnsi="宋体" w:cs="宋体"/>
          <w:sz w:val="24"/>
          <w:highlight w:val="none"/>
        </w:rPr>
        <w:t>周口市公共资源交易中心开标室</w:t>
      </w:r>
    </w:p>
    <w:p w14:paraId="2B64756C">
      <w:pPr>
        <w:pStyle w:val="3"/>
        <w:autoSpaceDE w:val="0"/>
        <w:autoSpaceDN w:val="0"/>
        <w:spacing w:line="360" w:lineRule="auto"/>
        <w:jc w:val="left"/>
        <w:rPr>
          <w:rFonts w:asciiTheme="minorEastAsia" w:hAnsiTheme="minorEastAsia" w:eastAsiaTheme="minorEastAsia" w:cstheme="minorEastAsia"/>
          <w:sz w:val="24"/>
          <w:highlight w:val="none"/>
        </w:rPr>
      </w:pPr>
      <w:bookmarkStart w:id="20" w:name="_Toc28359094"/>
      <w:bookmarkStart w:id="21" w:name="_Toc35393803"/>
      <w:bookmarkStart w:id="22" w:name="_Toc28359017"/>
      <w:bookmarkStart w:id="23" w:name="_Toc35393634"/>
      <w:r>
        <w:rPr>
          <w:rFonts w:hint="eastAsia" w:asciiTheme="minorEastAsia" w:hAnsiTheme="minorEastAsia" w:eastAsiaTheme="minorEastAsia" w:cstheme="minorEastAsia"/>
          <w:sz w:val="24"/>
          <w:highlight w:val="none"/>
        </w:rPr>
        <w:t>六、公告期限</w:t>
      </w:r>
      <w:bookmarkEnd w:id="20"/>
      <w:bookmarkEnd w:id="21"/>
      <w:bookmarkEnd w:id="22"/>
      <w:bookmarkEnd w:id="23"/>
    </w:p>
    <w:p w14:paraId="4CDC3F94">
      <w:pPr>
        <w:autoSpaceDE w:val="0"/>
        <w:autoSpaceDN w:val="0"/>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自本公告发布之日起</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个工作日。</w:t>
      </w:r>
    </w:p>
    <w:p w14:paraId="36BC1B26">
      <w:pPr>
        <w:pStyle w:val="3"/>
        <w:autoSpaceDE w:val="0"/>
        <w:autoSpaceDN w:val="0"/>
        <w:spacing w:line="360" w:lineRule="auto"/>
        <w:jc w:val="left"/>
        <w:rPr>
          <w:rFonts w:asciiTheme="minorEastAsia" w:hAnsiTheme="minorEastAsia" w:eastAsiaTheme="minorEastAsia" w:cstheme="minorEastAsia"/>
          <w:sz w:val="24"/>
          <w:highlight w:val="none"/>
        </w:rPr>
      </w:pPr>
      <w:bookmarkStart w:id="24" w:name="_Toc35393635"/>
      <w:bookmarkStart w:id="25" w:name="_Toc35393804"/>
      <w:r>
        <w:rPr>
          <w:rFonts w:hint="eastAsia" w:asciiTheme="minorEastAsia" w:hAnsiTheme="minorEastAsia" w:eastAsiaTheme="minorEastAsia" w:cstheme="minorEastAsia"/>
          <w:sz w:val="24"/>
          <w:highlight w:val="none"/>
        </w:rPr>
        <w:t>七、其他补充事宜</w:t>
      </w:r>
      <w:bookmarkEnd w:id="24"/>
      <w:bookmarkEnd w:id="25"/>
    </w:p>
    <w:p w14:paraId="3E760F6A">
      <w:pPr>
        <w:pStyle w:val="3"/>
        <w:autoSpaceDE w:val="0"/>
        <w:autoSpaceDN w:val="0"/>
        <w:spacing w:line="360" w:lineRule="auto"/>
        <w:jc w:val="left"/>
        <w:rPr>
          <w:rFonts w:asciiTheme="minorEastAsia" w:hAnsiTheme="minorEastAsia" w:eastAsiaTheme="minorEastAsia" w:cstheme="minorEastAsia"/>
          <w:sz w:val="24"/>
          <w:highlight w:val="none"/>
        </w:rPr>
      </w:pPr>
      <w:bookmarkStart w:id="26" w:name="_Toc35393805"/>
      <w:bookmarkStart w:id="27" w:name="_Toc28359095"/>
      <w:bookmarkStart w:id="28" w:name="_Toc28359018"/>
      <w:bookmarkStart w:id="29" w:name="_Toc35393636"/>
      <w:r>
        <w:rPr>
          <w:rFonts w:hint="eastAsia" w:asciiTheme="minorEastAsia" w:hAnsiTheme="minorEastAsia" w:eastAsiaTheme="minorEastAsia" w:cstheme="minorEastAsia"/>
          <w:sz w:val="24"/>
          <w:highlight w:val="none"/>
        </w:rPr>
        <w:t>八、凡对本次采购提出询问，请按以下方式联系。</w:t>
      </w:r>
      <w:bookmarkEnd w:id="26"/>
      <w:bookmarkEnd w:id="27"/>
      <w:bookmarkEnd w:id="28"/>
      <w:bookmarkEnd w:id="29"/>
    </w:p>
    <w:p w14:paraId="75BA6AFA">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6FC49029">
      <w:pPr>
        <w:spacing w:line="360" w:lineRule="auto"/>
        <w:ind w:firstLine="480" w:firstLineChars="200"/>
        <w:jc w:val="left"/>
        <w:rPr>
          <w:rFonts w:ascii="宋体" w:hAnsi="宋体" w:cs="宋体"/>
          <w:sz w:val="24"/>
        </w:rPr>
      </w:pPr>
      <w:r>
        <w:rPr>
          <w:rFonts w:hint="eastAsia" w:ascii="宋体" w:hAnsi="宋体" w:cs="宋体"/>
          <w:sz w:val="24"/>
        </w:rPr>
        <w:t>名 称：</w:t>
      </w:r>
      <w:r>
        <w:rPr>
          <w:rFonts w:hint="eastAsia" w:ascii="宋体" w:hAnsi="宋体" w:cs="宋体"/>
          <w:sz w:val="24"/>
          <w:lang w:val="en-US" w:eastAsia="zh-CN"/>
        </w:rPr>
        <w:t>周口市川汇区产业发展和营商环境服务中心</w:t>
      </w:r>
      <w:r>
        <w:rPr>
          <w:rFonts w:hint="eastAsia" w:ascii="宋体" w:hAnsi="宋体" w:cs="宋体"/>
          <w:color w:val="auto"/>
          <w:spacing w:val="0"/>
          <w:position w:val="0"/>
          <w:sz w:val="24"/>
          <w:highlight w:val="none"/>
          <w:shd w:val="clear" w:color="auto" w:fill="auto"/>
          <w:lang w:val="en-US" w:eastAsia="zh-CN"/>
        </w:rPr>
        <w:t>　</w:t>
      </w:r>
      <w:r>
        <w:rPr>
          <w:rFonts w:hint="eastAsia" w:ascii="宋体" w:hAnsi="宋体" w:cs="宋体"/>
          <w:sz w:val="24"/>
        </w:rPr>
        <w:t>　　　　　　　　　　　</w:t>
      </w:r>
    </w:p>
    <w:p w14:paraId="47F9435C">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w:t>
      </w:r>
      <w:r>
        <w:rPr>
          <w:rFonts w:hint="eastAsia" w:ascii="宋体" w:hAnsi="宋体" w:eastAsia="宋体" w:cs="宋体"/>
          <w:color w:val="auto"/>
          <w:spacing w:val="0"/>
          <w:position w:val="0"/>
          <w:sz w:val="24"/>
          <w:shd w:val="clear" w:fill="auto"/>
          <w:lang w:val="en-US" w:eastAsia="zh-CN"/>
        </w:rPr>
        <w:t>周口市</w:t>
      </w:r>
      <w:r>
        <w:rPr>
          <w:rFonts w:hint="eastAsia" w:asciiTheme="minorEastAsia" w:hAnsiTheme="minorEastAsia" w:eastAsiaTheme="minorEastAsia" w:cstheme="minorEastAsia"/>
          <w:sz w:val="24"/>
          <w:highlight w:val="none"/>
          <w:lang w:val="en-US" w:eastAsia="zh-CN"/>
        </w:rPr>
        <w:t>川汇区</w:t>
      </w:r>
      <w:r>
        <w:rPr>
          <w:rFonts w:ascii="宋体" w:hAnsi="宋体" w:eastAsia="宋体" w:cs="宋体"/>
          <w:color w:val="auto"/>
          <w:spacing w:val="0"/>
          <w:position w:val="0"/>
          <w:sz w:val="24"/>
          <w:shd w:val="clear" w:fill="auto"/>
        </w:rPr>
        <w:t>　　　　　　　　　　</w:t>
      </w:r>
    </w:p>
    <w:p w14:paraId="48A1CC16">
      <w:pPr>
        <w:spacing w:line="360" w:lineRule="auto"/>
        <w:ind w:firstLine="480" w:firstLineChars="200"/>
        <w:jc w:val="left"/>
        <w:rPr>
          <w:rFonts w:ascii="宋体" w:hAnsi="宋体" w:cs="宋体"/>
          <w:sz w:val="24"/>
        </w:rPr>
      </w:pPr>
      <w:r>
        <w:rPr>
          <w:rFonts w:ascii="宋体" w:hAnsi="宋体" w:eastAsia="宋体" w:cs="宋体"/>
          <w:color w:val="auto"/>
          <w:spacing w:val="0"/>
          <w:position w:val="0"/>
          <w:sz w:val="24"/>
          <w:highlight w:val="none"/>
          <w:shd w:val="clear" w:fill="auto"/>
        </w:rPr>
        <w:t>项目联系人：</w:t>
      </w:r>
      <w:r>
        <w:rPr>
          <w:rFonts w:hint="eastAsia" w:ascii="宋体" w:hAnsi="宋体" w:cs="宋体"/>
          <w:color w:val="auto"/>
          <w:spacing w:val="0"/>
          <w:position w:val="0"/>
          <w:sz w:val="24"/>
          <w:highlight w:val="none"/>
          <w:shd w:val="clear" w:fill="auto"/>
          <w:lang w:val="en-US" w:eastAsia="zh-CN"/>
        </w:rPr>
        <w:t>赵威</w:t>
      </w:r>
      <w:r>
        <w:rPr>
          <w:rFonts w:ascii="宋体" w:hAnsi="宋体" w:eastAsia="宋体" w:cs="宋体"/>
          <w:color w:val="auto"/>
          <w:spacing w:val="0"/>
          <w:position w:val="0"/>
          <w:sz w:val="24"/>
          <w:highlight w:val="none"/>
          <w:shd w:val="clear" w:fill="auto"/>
        </w:rPr>
        <w:t xml:space="preserve">    </w:t>
      </w:r>
      <w:r>
        <w:rPr>
          <w:rFonts w:hint="eastAsia" w:ascii="宋体" w:hAnsi="宋体" w:eastAsia="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联系方式：</w:t>
      </w:r>
      <w:r>
        <w:rPr>
          <w:rFonts w:hint="eastAsia" w:ascii="宋体" w:hAnsi="宋体" w:cs="宋体"/>
          <w:color w:val="auto"/>
          <w:spacing w:val="0"/>
          <w:position w:val="0"/>
          <w:sz w:val="24"/>
          <w:highlight w:val="none"/>
          <w:shd w:val="clear" w:fill="auto"/>
          <w:lang w:val="en-US" w:eastAsia="zh-CN"/>
        </w:rPr>
        <w:t>17797796373</w:t>
      </w:r>
      <w:r>
        <w:rPr>
          <w:rFonts w:ascii="宋体" w:hAnsi="宋体" w:eastAsia="宋体" w:cs="宋体"/>
          <w:sz w:val="24"/>
          <w:highlight w:val="none"/>
        </w:rPr>
        <w:t>　</w:t>
      </w:r>
      <w:r>
        <w:rPr>
          <w:rFonts w:hint="eastAsia" w:ascii="宋体" w:hAnsi="宋体" w:cs="宋体"/>
          <w:sz w:val="24"/>
        </w:rPr>
        <w:t xml:space="preserve">　　　　　　　　　 </w:t>
      </w:r>
      <w:bookmarkStart w:id="30" w:name="_Toc28359009"/>
      <w:bookmarkStart w:id="31" w:name="_Toc28359086"/>
    </w:p>
    <w:p w14:paraId="7F05E474">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0"/>
      <w:bookmarkEnd w:id="31"/>
    </w:p>
    <w:p w14:paraId="0E90A8A8">
      <w:pPr>
        <w:spacing w:line="360" w:lineRule="auto"/>
        <w:ind w:firstLine="480" w:firstLineChars="200"/>
        <w:jc w:val="left"/>
        <w:rPr>
          <w:rFonts w:ascii="宋体" w:hAnsi="宋体" w:cs="宋体"/>
          <w:sz w:val="24"/>
        </w:rPr>
      </w:pPr>
      <w:r>
        <w:rPr>
          <w:rFonts w:hint="eastAsia" w:ascii="宋体" w:hAnsi="宋体" w:cs="宋体"/>
          <w:sz w:val="24"/>
        </w:rPr>
        <w:t>名 称：周口市公共资源交易中心政府采购中心　　　　　　　　　　　　</w:t>
      </w:r>
    </w:p>
    <w:p w14:paraId="182618C8">
      <w:pPr>
        <w:spacing w:line="360" w:lineRule="auto"/>
        <w:ind w:firstLine="480" w:firstLineChars="200"/>
        <w:jc w:val="left"/>
        <w:rPr>
          <w:rFonts w:ascii="宋体" w:hAnsi="宋体" w:cs="宋体"/>
          <w:sz w:val="24"/>
        </w:rPr>
      </w:pPr>
      <w:r>
        <w:rPr>
          <w:rFonts w:hint="eastAsia" w:ascii="宋体" w:hAnsi="宋体" w:cs="宋体"/>
          <w:sz w:val="24"/>
        </w:rPr>
        <w:t>地　址：周口市光明路与政通路交叉口向北100米路东</w:t>
      </w:r>
    </w:p>
    <w:p w14:paraId="4B640E59">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eastAsia="zh-CN"/>
        </w:rPr>
        <w:t>王园园</w:t>
      </w:r>
      <w:r>
        <w:rPr>
          <w:rFonts w:hint="eastAsia" w:ascii="宋体" w:hAnsi="宋体" w:cs="宋体"/>
          <w:sz w:val="24"/>
        </w:rPr>
        <w:t xml:space="preserve">       联系方式：</w:t>
      </w:r>
      <w:bookmarkStart w:id="32" w:name="_Toc28359010"/>
      <w:bookmarkStart w:id="33" w:name="_Toc28359087"/>
      <w:r>
        <w:rPr>
          <w:rFonts w:hint="eastAsia" w:ascii="宋体" w:hAnsi="宋体" w:cs="宋体"/>
          <w:sz w:val="24"/>
          <w:lang w:val="en-US" w:eastAsia="zh-CN"/>
        </w:rPr>
        <w:t>0394-8106517、19913281180</w:t>
      </w:r>
      <w:bookmarkStart w:id="38" w:name="_GoBack"/>
      <w:bookmarkEnd w:id="38"/>
      <w:r>
        <w:rPr>
          <w:rFonts w:hint="eastAsia" w:ascii="宋体" w:hAnsi="宋体" w:cs="宋体"/>
          <w:sz w:val="24"/>
        </w:rPr>
        <w:t>　　　　　　　　</w:t>
      </w:r>
    </w:p>
    <w:bookmarkEnd w:id="32"/>
    <w:bookmarkEnd w:id="33"/>
    <w:p w14:paraId="4CD257F5">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175"/>
        <w:textAlignment w:val="auto"/>
        <w:rPr>
          <w:rFonts w:hint="eastAsia" w:asciiTheme="minorEastAsia" w:hAnsiTheme="minorEastAsia" w:eastAsiaTheme="minorEastAsia" w:cstheme="minorEastAsia"/>
          <w:b w:val="0"/>
          <w:i w:val="0"/>
          <w:iCs w:val="0"/>
          <w:sz w:val="24"/>
          <w:szCs w:val="24"/>
        </w:rPr>
      </w:pPr>
      <w:r>
        <w:rPr>
          <w:rFonts w:hint="eastAsia" w:ascii="宋体" w:hAnsi="宋体" w:cs="宋体"/>
          <w:sz w:val="24"/>
        </w:rPr>
        <w:t>3.监督单位：</w:t>
      </w:r>
      <w:r>
        <w:rPr>
          <w:rFonts w:hint="eastAsia" w:asciiTheme="minorEastAsia" w:hAnsiTheme="minorEastAsia" w:eastAsiaTheme="minorEastAsia" w:cstheme="minorEastAsia"/>
          <w:b w:val="0"/>
          <w:i w:val="0"/>
          <w:iCs w:val="0"/>
          <w:sz w:val="24"/>
          <w:szCs w:val="24"/>
          <w:lang w:eastAsia="zh-CN"/>
        </w:rPr>
        <w:t>川汇区财政局政府采购管理办公室</w:t>
      </w:r>
    </w:p>
    <w:p w14:paraId="65E70E5E">
      <w:pPr>
        <w:pStyle w:val="41"/>
        <w:ind w:firstLine="480" w:firstLineChars="200"/>
        <w:rPr>
          <w:rFonts w:hint="eastAsia" w:ascii="宋体" w:hAnsi="宋体" w:eastAsia="宋体" w:cs="宋体"/>
          <w:color w:val="auto"/>
          <w:spacing w:val="0"/>
          <w:position w:val="0"/>
          <w:sz w:val="24"/>
          <w:shd w:val="clear" w:fill="auto"/>
        </w:rPr>
      </w:pPr>
      <w:r>
        <w:rPr>
          <w:rFonts w:hint="eastAsia" w:asciiTheme="minorEastAsia" w:hAnsiTheme="minorEastAsia" w:eastAsiaTheme="minorEastAsia" w:cstheme="minorEastAsia"/>
          <w:b w:val="0"/>
          <w:i w:val="0"/>
          <w:iCs w:val="0"/>
          <w:sz w:val="24"/>
          <w:szCs w:val="24"/>
        </w:rPr>
        <w:t>联系方式：0394-8231120</w:t>
      </w:r>
      <w:r>
        <w:rPr>
          <w:rFonts w:hint="eastAsia" w:ascii="宋体" w:hAnsi="宋体" w:eastAsia="宋体" w:cs="宋体"/>
          <w:color w:val="auto"/>
          <w:spacing w:val="0"/>
          <w:position w:val="0"/>
          <w:sz w:val="24"/>
          <w:shd w:val="clear" w:fill="auto"/>
        </w:rPr>
        <w:t xml:space="preserve">  </w:t>
      </w:r>
    </w:p>
    <w:p w14:paraId="159268E0">
      <w:pPr>
        <w:pStyle w:val="41"/>
        <w:ind w:firstLine="630" w:firstLineChars="300"/>
      </w:pPr>
    </w:p>
    <w:p w14:paraId="7FAD1289">
      <w:pPr>
        <w:pStyle w:val="41"/>
        <w:ind w:firstLine="630" w:firstLineChars="300"/>
        <w:rPr>
          <w:highlight w:val="none"/>
        </w:rPr>
      </w:pPr>
    </w:p>
    <w:p w14:paraId="32DCD84C">
      <w:pPr>
        <w:pStyle w:val="41"/>
        <w:rPr>
          <w:highlight w:val="none"/>
        </w:rPr>
      </w:pPr>
    </w:p>
    <w:p w14:paraId="59FCCA32">
      <w:pPr>
        <w:pStyle w:val="11"/>
        <w:adjustRightInd w:val="0"/>
        <w:snapToGrid w:val="0"/>
        <w:spacing w:line="360" w:lineRule="auto"/>
        <w:ind w:left="0" w:leftChars="0" w:firstLine="3129" w:firstLineChars="1304"/>
        <w:rPr>
          <w:rFonts w:ascii="宋体" w:hAnsi="宋体" w:cs="宋体"/>
          <w:sz w:val="24"/>
          <w:highlight w:val="none"/>
        </w:rPr>
      </w:pPr>
      <w:r>
        <w:rPr>
          <w:rFonts w:hint="eastAsia" w:ascii="宋体" w:hAnsi="宋体" w:cs="宋体"/>
          <w:sz w:val="24"/>
          <w:highlight w:val="none"/>
        </w:rPr>
        <w:t>周口市公共资源交易中心政府采购中心</w:t>
      </w:r>
    </w:p>
    <w:p w14:paraId="0BB0BB7C">
      <w:pPr>
        <w:pStyle w:val="23"/>
        <w:adjustRightInd w:val="0"/>
        <w:spacing w:line="360" w:lineRule="auto"/>
        <w:ind w:left="0" w:leftChars="0" w:firstLine="4324" w:firstLineChars="1802"/>
        <w:rPr>
          <w:rFonts w:ascii="宋体" w:hAnsi="宋体" w:cs="宋体"/>
          <w:color w:val="000000" w:themeColor="text1"/>
          <w:highlight w:val="none"/>
        </w:rPr>
      </w:pPr>
      <w:r>
        <w:rPr>
          <w:rFonts w:hint="eastAsia" w:ascii="宋体" w:hAnsi="宋体" w:cs="宋体"/>
          <w:color w:val="000000" w:themeColor="text1"/>
          <w:sz w:val="24"/>
          <w:szCs w:val="24"/>
          <w:highlight w:val="none"/>
          <w:lang w:val="en-US" w:eastAsia="zh-CN"/>
        </w:rPr>
        <w:t>2025年5月</w:t>
      </w:r>
      <w:r>
        <w:rPr>
          <w:rFonts w:hint="eastAsia" w:ascii="宋体" w:hAnsi="宋体" w:cs="宋体"/>
          <w:color w:val="000000" w:themeColor="text1"/>
          <w:sz w:val="24"/>
          <w:szCs w:val="24"/>
          <w:highlight w:val="none"/>
        </w:rPr>
        <w:t>　</w:t>
      </w:r>
    </w:p>
    <w:p w14:paraId="04D37CC4">
      <w:pPr>
        <w:pStyle w:val="29"/>
        <w:adjustRightInd w:val="0"/>
        <w:snapToGrid w:val="0"/>
        <w:spacing w:line="360" w:lineRule="auto"/>
        <w:ind w:firstLine="0" w:firstLineChars="0"/>
        <w:rPr>
          <w:highlight w:val="none"/>
        </w:rPr>
      </w:pPr>
    </w:p>
    <w:p w14:paraId="7C104136">
      <w:pPr>
        <w:pStyle w:val="29"/>
        <w:ind w:firstLine="0" w:firstLineChars="0"/>
        <w:rPr>
          <w:highlight w:val="none"/>
        </w:rPr>
      </w:pPr>
    </w:p>
    <w:p w14:paraId="71CB259F">
      <w:pPr>
        <w:jc w:val="center"/>
        <w:rPr>
          <w:rFonts w:ascii="宋体" w:hAnsi="宋体" w:cs="宋体"/>
          <w:b/>
          <w:sz w:val="32"/>
          <w:szCs w:val="32"/>
          <w:highlight w:val="none"/>
        </w:rPr>
      </w:pPr>
      <w:r>
        <w:rPr>
          <w:rFonts w:ascii="宋体" w:hAnsi="宋体" w:cs="宋体"/>
          <w:b/>
          <w:sz w:val="32"/>
          <w:szCs w:val="32"/>
          <w:highlight w:val="none"/>
        </w:rPr>
        <w:br w:type="page"/>
      </w:r>
      <w:r>
        <w:rPr>
          <w:rFonts w:hint="eastAsia" w:ascii="宋体" w:hAnsi="宋体" w:cs="宋体"/>
          <w:b/>
          <w:sz w:val="32"/>
          <w:szCs w:val="32"/>
          <w:highlight w:val="none"/>
        </w:rPr>
        <w:t>第二章    供应商须知</w:t>
      </w:r>
    </w:p>
    <w:tbl>
      <w:tblPr>
        <w:tblStyle w:val="30"/>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16251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19D67241">
            <w:pPr>
              <w:jc w:val="center"/>
              <w:rPr>
                <w:rFonts w:ascii="宋体" w:hAnsi="宋体"/>
                <w:sz w:val="24"/>
                <w:szCs w:val="24"/>
                <w:highlight w:val="none"/>
              </w:rPr>
            </w:pPr>
            <w:r>
              <w:rPr>
                <w:rFonts w:hint="eastAsia" w:ascii="宋体" w:hAnsi="宋体" w:cs="楷体_GB2312"/>
                <w:sz w:val="28"/>
                <w:szCs w:val="28"/>
                <w:highlight w:val="none"/>
              </w:rPr>
              <w:t>供应商须知前附表</w:t>
            </w:r>
          </w:p>
        </w:tc>
      </w:tr>
      <w:tr w14:paraId="241F2B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43AA6E5">
            <w:pPr>
              <w:spacing w:before="156" w:beforeLines="50"/>
              <w:jc w:val="center"/>
              <w:rPr>
                <w:rFonts w:ascii="宋体" w:hAnsi="宋体" w:cs="宋体"/>
                <w:sz w:val="24"/>
                <w:szCs w:val="24"/>
                <w:highlight w:val="none"/>
              </w:rPr>
            </w:pPr>
            <w:r>
              <w:rPr>
                <w:rFonts w:hint="eastAsia" w:ascii="宋体" w:hAnsi="宋体" w:cs="宋体"/>
                <w:sz w:val="24"/>
                <w:szCs w:val="24"/>
                <w:highlight w:val="none"/>
              </w:rPr>
              <w:t>序号</w:t>
            </w:r>
          </w:p>
        </w:tc>
        <w:tc>
          <w:tcPr>
            <w:tcW w:w="1995" w:type="dxa"/>
            <w:vAlign w:val="center"/>
          </w:tcPr>
          <w:p w14:paraId="016F04D2">
            <w:pPr>
              <w:spacing w:before="156" w:beforeLines="50"/>
              <w:jc w:val="center"/>
              <w:rPr>
                <w:rFonts w:ascii="宋体" w:hAnsi="宋体" w:cs="宋体"/>
                <w:sz w:val="24"/>
                <w:szCs w:val="24"/>
                <w:highlight w:val="none"/>
              </w:rPr>
            </w:pPr>
            <w:r>
              <w:rPr>
                <w:rFonts w:hint="eastAsia" w:ascii="宋体" w:hAnsi="宋体" w:cs="宋体"/>
                <w:sz w:val="24"/>
                <w:szCs w:val="24"/>
                <w:highlight w:val="none"/>
              </w:rPr>
              <w:t>条款</w:t>
            </w:r>
          </w:p>
        </w:tc>
        <w:tc>
          <w:tcPr>
            <w:tcW w:w="6615" w:type="dxa"/>
            <w:vAlign w:val="center"/>
          </w:tcPr>
          <w:p w14:paraId="330E3558">
            <w:pPr>
              <w:rPr>
                <w:rFonts w:ascii="宋体" w:hAnsi="宋体" w:cs="宋体"/>
                <w:sz w:val="24"/>
                <w:szCs w:val="24"/>
                <w:highlight w:val="none"/>
              </w:rPr>
            </w:pPr>
            <w:r>
              <w:rPr>
                <w:rFonts w:hint="eastAsia" w:ascii="宋体" w:hAnsi="宋体" w:cs="宋体"/>
                <w:sz w:val="24"/>
                <w:szCs w:val="24"/>
                <w:highlight w:val="none"/>
              </w:rPr>
              <w:t>内  容</w:t>
            </w:r>
          </w:p>
        </w:tc>
      </w:tr>
      <w:tr w14:paraId="436218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0E01C4C3">
            <w:pPr>
              <w:numPr>
                <w:ilvl w:val="0"/>
                <w:numId w:val="1"/>
              </w:numPr>
              <w:spacing w:before="156" w:beforeLines="50"/>
              <w:jc w:val="center"/>
              <w:rPr>
                <w:rFonts w:ascii="宋体" w:hAnsi="宋体" w:cs="宋体"/>
                <w:sz w:val="24"/>
                <w:szCs w:val="24"/>
                <w:highlight w:val="none"/>
              </w:rPr>
            </w:pPr>
          </w:p>
        </w:tc>
        <w:tc>
          <w:tcPr>
            <w:tcW w:w="1995" w:type="dxa"/>
            <w:vAlign w:val="center"/>
          </w:tcPr>
          <w:p w14:paraId="1BF9853E">
            <w:pPr>
              <w:jc w:val="center"/>
              <w:rPr>
                <w:rFonts w:ascii="宋体" w:hAnsi="宋体" w:cs="宋体"/>
                <w:color w:val="0C0C0C" w:themeColor="text1" w:themeTint="F2"/>
                <w:sz w:val="24"/>
                <w:szCs w:val="24"/>
                <w:highlight w:val="none"/>
              </w:rPr>
            </w:pPr>
            <w:r>
              <w:rPr>
                <w:rFonts w:hint="eastAsia" w:ascii="宋体" w:hAnsi="宋体" w:cs="宋体"/>
                <w:color w:val="0C0C0C" w:themeColor="text1" w:themeTint="F2"/>
                <w:sz w:val="24"/>
                <w:szCs w:val="24"/>
                <w:highlight w:val="none"/>
              </w:rPr>
              <w:t>项目概况</w:t>
            </w:r>
          </w:p>
        </w:tc>
        <w:tc>
          <w:tcPr>
            <w:tcW w:w="6615" w:type="dxa"/>
            <w:vAlign w:val="center"/>
          </w:tcPr>
          <w:p w14:paraId="689E8F47">
            <w:pPr>
              <w:rPr>
                <w:rFonts w:hint="eastAsia" w:ascii="宋体" w:hAnsi="宋体" w:eastAsia="宋体" w:cs="宋体"/>
                <w:color w:val="0C0C0C" w:themeColor="text1" w:themeTint="F2"/>
                <w:sz w:val="24"/>
                <w:szCs w:val="24"/>
                <w:highlight w:val="none"/>
                <w:lang w:eastAsia="zh-CN"/>
              </w:rPr>
            </w:pPr>
            <w:r>
              <w:rPr>
                <w:rFonts w:hint="eastAsia" w:ascii="宋体" w:hAnsi="宋体" w:cs="宋体"/>
                <w:color w:val="0C0C0C" w:themeColor="text1" w:themeTint="F2"/>
                <w:sz w:val="24"/>
                <w:szCs w:val="24"/>
                <w:highlight w:val="none"/>
              </w:rPr>
              <w:t>项目名称：</w:t>
            </w:r>
            <w:r>
              <w:rPr>
                <w:rFonts w:hint="eastAsia" w:ascii="宋体" w:hAnsi="宋体" w:cs="宋体"/>
                <w:color w:val="0C0C0C" w:themeColor="text1" w:themeTint="F2"/>
                <w:sz w:val="24"/>
                <w:szCs w:val="24"/>
                <w:highlight w:val="none"/>
                <w:lang w:val="en-US" w:eastAsia="zh-CN"/>
              </w:rPr>
              <w:t>周口市川汇区产业发展和营商环境服务中心营商环境第三方优化提升项目</w:t>
            </w:r>
          </w:p>
          <w:p w14:paraId="5AB06AC2">
            <w:pPr>
              <w:rPr>
                <w:rFonts w:hint="default" w:ascii="宋体" w:hAnsi="宋体" w:eastAsia="宋体" w:cs="宋体"/>
                <w:color w:val="0C0C0C" w:themeColor="text1" w:themeTint="F2"/>
                <w:sz w:val="24"/>
                <w:szCs w:val="24"/>
                <w:highlight w:val="none"/>
                <w:lang w:val="en-US" w:eastAsia="zh-CN"/>
              </w:rPr>
            </w:pPr>
            <w:r>
              <w:rPr>
                <w:rFonts w:hint="eastAsia" w:ascii="宋体" w:hAnsi="宋体" w:cs="宋体"/>
                <w:color w:val="0C0C0C" w:themeColor="text1" w:themeTint="F2"/>
                <w:sz w:val="24"/>
                <w:szCs w:val="24"/>
                <w:highlight w:val="none"/>
              </w:rPr>
              <w:t>采购内容：</w:t>
            </w:r>
            <w:r>
              <w:rPr>
                <w:rFonts w:hint="eastAsia" w:ascii="宋体" w:hAnsi="宋体" w:cs="宋体"/>
                <w:color w:val="0C0C0C" w:themeColor="text1" w:themeTint="F2"/>
                <w:sz w:val="24"/>
                <w:szCs w:val="24"/>
                <w:highlight w:val="none"/>
                <w:lang w:val="en-US" w:eastAsia="zh-CN"/>
              </w:rPr>
              <w:t>其他信息技术服务</w:t>
            </w:r>
          </w:p>
          <w:p w14:paraId="5F5E0913">
            <w:pPr>
              <w:rPr>
                <w:rFonts w:hint="eastAsia" w:ascii="宋体" w:hAnsi="宋体" w:eastAsia="宋体" w:cs="宋体"/>
                <w:color w:val="0C0C0C" w:themeColor="text1" w:themeTint="F2"/>
                <w:sz w:val="24"/>
                <w:szCs w:val="24"/>
                <w:highlight w:val="none"/>
                <w:lang w:eastAsia="zh-CN"/>
              </w:rPr>
            </w:pPr>
            <w:r>
              <w:rPr>
                <w:rFonts w:hint="eastAsia" w:ascii="宋体" w:hAnsi="宋体" w:cs="宋体"/>
                <w:color w:val="0C0C0C" w:themeColor="text1" w:themeTint="F2"/>
                <w:sz w:val="24"/>
                <w:szCs w:val="24"/>
                <w:highlight w:val="none"/>
              </w:rPr>
              <w:t>采购人：</w:t>
            </w:r>
            <w:r>
              <w:rPr>
                <w:rFonts w:hint="eastAsia" w:ascii="宋体" w:hAnsi="宋体" w:cs="宋体"/>
                <w:color w:val="0C0C0C" w:themeColor="text1" w:themeTint="F2"/>
                <w:sz w:val="24"/>
                <w:szCs w:val="24"/>
                <w:highlight w:val="none"/>
                <w:lang w:val="en-US" w:eastAsia="zh-CN"/>
              </w:rPr>
              <w:t>周口市川汇区产业发展和营商环境服务中心　</w:t>
            </w:r>
            <w:r>
              <w:rPr>
                <w:rFonts w:hint="eastAsia" w:ascii="宋体" w:hAnsi="宋体" w:cs="宋体"/>
                <w:color w:val="0C0C0C" w:themeColor="text1" w:themeTint="F2"/>
                <w:sz w:val="24"/>
                <w:szCs w:val="24"/>
                <w:highlight w:val="none"/>
                <w:lang w:eastAsia="zh-CN"/>
              </w:rPr>
              <w:t>　　　</w:t>
            </w:r>
          </w:p>
          <w:p w14:paraId="69EBCCD9">
            <w:pPr>
              <w:rPr>
                <w:rFonts w:ascii="宋体" w:hAnsi="宋体" w:cs="宋体"/>
                <w:color w:val="0C0C0C" w:themeColor="text1" w:themeTint="F2"/>
                <w:sz w:val="24"/>
                <w:szCs w:val="24"/>
                <w:highlight w:val="none"/>
              </w:rPr>
            </w:pPr>
            <w:r>
              <w:rPr>
                <w:rFonts w:hint="eastAsia" w:ascii="宋体" w:hAnsi="宋体" w:cs="宋体"/>
                <w:color w:val="0C0C0C" w:themeColor="text1" w:themeTint="F2"/>
                <w:sz w:val="24"/>
                <w:szCs w:val="24"/>
                <w:highlight w:val="none"/>
              </w:rPr>
              <w:t>采购代理机构：周口市公共资源交易中心政府采购中心</w:t>
            </w:r>
          </w:p>
        </w:tc>
      </w:tr>
      <w:tr w14:paraId="1BC6BD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16365561">
            <w:pPr>
              <w:numPr>
                <w:ilvl w:val="0"/>
                <w:numId w:val="1"/>
              </w:numPr>
              <w:spacing w:before="156" w:beforeLines="50"/>
              <w:jc w:val="center"/>
              <w:rPr>
                <w:rFonts w:ascii="宋体" w:hAnsi="宋体" w:cs="宋体"/>
                <w:sz w:val="24"/>
                <w:szCs w:val="24"/>
                <w:highlight w:val="none"/>
              </w:rPr>
            </w:pPr>
          </w:p>
        </w:tc>
        <w:tc>
          <w:tcPr>
            <w:tcW w:w="1995" w:type="dxa"/>
            <w:vAlign w:val="center"/>
          </w:tcPr>
          <w:p w14:paraId="203B7DD3">
            <w:pPr>
              <w:spacing w:before="156" w:beforeLines="50"/>
              <w:ind w:left="-4" w:leftChars="-4" w:hanging="4" w:hangingChars="2"/>
              <w:jc w:val="center"/>
              <w:rPr>
                <w:rFonts w:ascii="宋体" w:hAnsi="宋体" w:cs="宋体"/>
                <w:sz w:val="24"/>
                <w:szCs w:val="24"/>
                <w:highlight w:val="none"/>
              </w:rPr>
            </w:pPr>
            <w:r>
              <w:rPr>
                <w:rFonts w:hint="eastAsia" w:ascii="宋体" w:hAnsi="宋体" w:cs="宋体"/>
                <w:sz w:val="24"/>
                <w:szCs w:val="24"/>
                <w:highlight w:val="none"/>
              </w:rPr>
              <w:t>对供应商的资格要求</w:t>
            </w:r>
          </w:p>
        </w:tc>
        <w:tc>
          <w:tcPr>
            <w:tcW w:w="6615" w:type="dxa"/>
            <w:vAlign w:val="center"/>
          </w:tcPr>
          <w:p w14:paraId="5912418D">
            <w:pPr>
              <w:spacing w:before="156" w:beforeLines="50"/>
              <w:ind w:left="-4" w:leftChars="-4" w:hanging="4" w:hangingChars="2"/>
              <w:rPr>
                <w:rFonts w:ascii="宋体" w:hAnsi="宋体" w:cs="宋体"/>
                <w:sz w:val="24"/>
                <w:szCs w:val="24"/>
                <w:highlight w:val="none"/>
              </w:rPr>
            </w:pPr>
            <w:r>
              <w:rPr>
                <w:rFonts w:hint="eastAsia" w:ascii="宋体" w:hAnsi="宋体" w:cs="宋体"/>
                <w:sz w:val="24"/>
                <w:szCs w:val="24"/>
                <w:highlight w:val="none"/>
              </w:rPr>
              <w:t>见竞争性磋商邀请函</w:t>
            </w:r>
          </w:p>
        </w:tc>
      </w:tr>
      <w:tr w14:paraId="7F8627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BF9A5F7">
            <w:pPr>
              <w:numPr>
                <w:ilvl w:val="0"/>
                <w:numId w:val="1"/>
              </w:numPr>
              <w:spacing w:before="156" w:beforeLines="50"/>
              <w:jc w:val="center"/>
              <w:rPr>
                <w:rFonts w:ascii="宋体" w:hAnsi="宋体" w:cs="宋体"/>
                <w:sz w:val="24"/>
                <w:szCs w:val="24"/>
                <w:highlight w:val="none"/>
              </w:rPr>
            </w:pPr>
          </w:p>
        </w:tc>
        <w:tc>
          <w:tcPr>
            <w:tcW w:w="1995" w:type="dxa"/>
            <w:vAlign w:val="center"/>
          </w:tcPr>
          <w:p w14:paraId="35C10C8B">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报价费用</w:t>
            </w:r>
          </w:p>
        </w:tc>
        <w:tc>
          <w:tcPr>
            <w:tcW w:w="6615" w:type="dxa"/>
            <w:vAlign w:val="center"/>
          </w:tcPr>
          <w:p w14:paraId="131BDF58">
            <w:pPr>
              <w:rPr>
                <w:rFonts w:ascii="宋体" w:hAnsi="宋体" w:cs="宋体"/>
                <w:sz w:val="24"/>
                <w:szCs w:val="24"/>
                <w:highlight w:val="none"/>
              </w:rPr>
            </w:pPr>
            <w:r>
              <w:rPr>
                <w:rFonts w:hint="eastAsia" w:ascii="宋体" w:hAnsi="宋体" w:cs="宋体"/>
                <w:sz w:val="24"/>
                <w:szCs w:val="24"/>
                <w:highlight w:val="none"/>
              </w:rPr>
              <w:t>无论报价和磋商的过程和结果如何，供应商自行</w:t>
            </w:r>
            <w:r>
              <w:rPr>
                <w:rFonts w:hint="eastAsia" w:ascii="宋体" w:hAnsi="宋体" w:cs="宋体"/>
                <w:sz w:val="24"/>
                <w:szCs w:val="24"/>
                <w:highlight w:val="none"/>
                <w:lang w:val="en-US" w:eastAsia="zh-CN"/>
              </w:rPr>
              <w:t>承诺</w:t>
            </w:r>
            <w:r>
              <w:rPr>
                <w:rFonts w:hint="eastAsia" w:ascii="宋体" w:hAnsi="宋体" w:cs="宋体"/>
                <w:sz w:val="24"/>
                <w:szCs w:val="24"/>
                <w:highlight w:val="none"/>
              </w:rPr>
              <w:t>承担所有与参加报价及磋商有关活动的全部费用。</w:t>
            </w:r>
          </w:p>
        </w:tc>
      </w:tr>
      <w:tr w14:paraId="1C3D88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167A614B">
            <w:pPr>
              <w:numPr>
                <w:ilvl w:val="0"/>
                <w:numId w:val="1"/>
              </w:numPr>
              <w:spacing w:before="156" w:beforeLines="50"/>
              <w:rPr>
                <w:rFonts w:ascii="宋体" w:hAnsi="宋体" w:cs="宋体"/>
                <w:sz w:val="24"/>
                <w:szCs w:val="24"/>
                <w:highlight w:val="none"/>
              </w:rPr>
            </w:pPr>
          </w:p>
        </w:tc>
        <w:tc>
          <w:tcPr>
            <w:tcW w:w="1995" w:type="dxa"/>
            <w:vAlign w:val="center"/>
          </w:tcPr>
          <w:p w14:paraId="2D48080A">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响应文件语言</w:t>
            </w:r>
          </w:p>
        </w:tc>
        <w:tc>
          <w:tcPr>
            <w:tcW w:w="6615" w:type="dxa"/>
            <w:vAlign w:val="center"/>
          </w:tcPr>
          <w:p w14:paraId="1779DB22">
            <w:pPr>
              <w:snapToGrid w:val="0"/>
              <w:rPr>
                <w:rFonts w:ascii="宋体" w:hAnsi="宋体" w:cs="宋体"/>
                <w:sz w:val="24"/>
                <w:szCs w:val="24"/>
                <w:highlight w:val="none"/>
              </w:rPr>
            </w:pPr>
            <w:r>
              <w:rPr>
                <w:rFonts w:hint="eastAsia" w:ascii="宋体" w:hAnsi="宋体" w:cs="宋体"/>
                <w:sz w:val="24"/>
                <w:szCs w:val="24"/>
                <w:highlight w:val="none"/>
              </w:rPr>
              <w:t>中文</w:t>
            </w:r>
          </w:p>
        </w:tc>
      </w:tr>
      <w:tr w14:paraId="592DA0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92EC679">
            <w:pPr>
              <w:numPr>
                <w:ilvl w:val="0"/>
                <w:numId w:val="1"/>
              </w:numPr>
              <w:spacing w:before="156" w:beforeLines="50"/>
              <w:rPr>
                <w:rFonts w:ascii="宋体" w:hAnsi="宋体" w:cs="宋体"/>
                <w:sz w:val="24"/>
                <w:szCs w:val="24"/>
                <w:highlight w:val="none"/>
              </w:rPr>
            </w:pPr>
          </w:p>
        </w:tc>
        <w:tc>
          <w:tcPr>
            <w:tcW w:w="1995" w:type="dxa"/>
            <w:vAlign w:val="center"/>
          </w:tcPr>
          <w:p w14:paraId="6439ACA0">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报价货币</w:t>
            </w:r>
          </w:p>
        </w:tc>
        <w:tc>
          <w:tcPr>
            <w:tcW w:w="6615" w:type="dxa"/>
            <w:vAlign w:val="center"/>
          </w:tcPr>
          <w:p w14:paraId="7DFE97C2">
            <w:pPr>
              <w:rPr>
                <w:rFonts w:ascii="宋体" w:hAnsi="宋体" w:cs="宋体"/>
                <w:sz w:val="24"/>
                <w:szCs w:val="24"/>
                <w:highlight w:val="none"/>
              </w:rPr>
            </w:pPr>
            <w:r>
              <w:rPr>
                <w:rFonts w:hint="eastAsia" w:ascii="宋体" w:hAnsi="宋体" w:cs="宋体"/>
                <w:sz w:val="24"/>
                <w:szCs w:val="24"/>
                <w:highlight w:val="none"/>
              </w:rPr>
              <w:t>人民币</w:t>
            </w:r>
          </w:p>
        </w:tc>
      </w:tr>
      <w:tr w14:paraId="4C36A1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3CE20B07">
            <w:pPr>
              <w:numPr>
                <w:ilvl w:val="0"/>
                <w:numId w:val="1"/>
              </w:numPr>
              <w:spacing w:before="156" w:beforeLines="50"/>
              <w:jc w:val="center"/>
              <w:rPr>
                <w:rFonts w:ascii="宋体" w:hAnsi="宋体" w:cs="宋体"/>
                <w:sz w:val="24"/>
                <w:szCs w:val="24"/>
                <w:highlight w:val="none"/>
              </w:rPr>
            </w:pPr>
          </w:p>
        </w:tc>
        <w:tc>
          <w:tcPr>
            <w:tcW w:w="1995" w:type="dxa"/>
            <w:vAlign w:val="center"/>
          </w:tcPr>
          <w:p w14:paraId="5F9D85E4">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报价范围及说明</w:t>
            </w:r>
          </w:p>
        </w:tc>
        <w:tc>
          <w:tcPr>
            <w:tcW w:w="6615" w:type="dxa"/>
            <w:vAlign w:val="center"/>
          </w:tcPr>
          <w:p w14:paraId="1CB5745B">
            <w:pPr>
              <w:rPr>
                <w:rFonts w:ascii="宋体" w:hAnsi="宋体" w:cs="宋体"/>
                <w:sz w:val="24"/>
                <w:szCs w:val="24"/>
                <w:highlight w:val="none"/>
              </w:rPr>
            </w:pPr>
            <w:r>
              <w:rPr>
                <w:rFonts w:hint="eastAsia" w:ascii="宋体" w:hAnsi="宋体" w:cs="宋体"/>
                <w:color w:val="000000"/>
                <w:sz w:val="24"/>
                <w:szCs w:val="24"/>
                <w:highlight w:val="none"/>
              </w:rPr>
              <w:t>报价包括本项目所招标的服务、保险、税费、验收</w:t>
            </w:r>
            <w:r>
              <w:rPr>
                <w:rFonts w:hint="eastAsia" w:ascii="宋体" w:hAnsi="宋体" w:cs="宋体"/>
                <w:sz w:val="24"/>
                <w:szCs w:val="24"/>
                <w:highlight w:val="none"/>
              </w:rPr>
              <w:t>等（采购项目技术规格、参数及要求）</w:t>
            </w:r>
          </w:p>
        </w:tc>
      </w:tr>
      <w:tr w14:paraId="2299EC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DBB4AE0">
            <w:pPr>
              <w:numPr>
                <w:ilvl w:val="0"/>
                <w:numId w:val="1"/>
              </w:numPr>
              <w:spacing w:before="156" w:beforeLines="50"/>
              <w:jc w:val="center"/>
              <w:rPr>
                <w:rFonts w:ascii="宋体" w:hAnsi="宋体" w:cs="宋体"/>
                <w:sz w:val="24"/>
                <w:szCs w:val="24"/>
                <w:highlight w:val="none"/>
              </w:rPr>
            </w:pPr>
          </w:p>
        </w:tc>
        <w:tc>
          <w:tcPr>
            <w:tcW w:w="1995" w:type="dxa"/>
            <w:vAlign w:val="center"/>
          </w:tcPr>
          <w:p w14:paraId="5870B148">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响应文件有效期</w:t>
            </w:r>
          </w:p>
        </w:tc>
        <w:tc>
          <w:tcPr>
            <w:tcW w:w="6615" w:type="dxa"/>
            <w:vAlign w:val="center"/>
          </w:tcPr>
          <w:p w14:paraId="63E3595B">
            <w:pPr>
              <w:rPr>
                <w:rFonts w:ascii="宋体" w:hAnsi="宋体" w:cs="宋体"/>
                <w:sz w:val="24"/>
                <w:szCs w:val="24"/>
                <w:highlight w:val="none"/>
              </w:rPr>
            </w:pPr>
            <w:r>
              <w:rPr>
                <w:rFonts w:hint="eastAsia" w:ascii="宋体" w:hAnsi="宋体" w:cs="宋体"/>
                <w:sz w:val="24"/>
                <w:szCs w:val="24"/>
                <w:highlight w:val="none"/>
              </w:rPr>
              <w:t>响应文件递交截止期后60日内有效</w:t>
            </w:r>
          </w:p>
        </w:tc>
      </w:tr>
      <w:tr w14:paraId="79FE9C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A957658">
            <w:pPr>
              <w:numPr>
                <w:ilvl w:val="0"/>
                <w:numId w:val="1"/>
              </w:numPr>
              <w:spacing w:before="156" w:beforeLines="50"/>
              <w:jc w:val="center"/>
              <w:rPr>
                <w:rFonts w:ascii="宋体" w:hAnsi="宋体" w:cs="宋体"/>
                <w:sz w:val="24"/>
                <w:szCs w:val="24"/>
                <w:highlight w:val="none"/>
              </w:rPr>
            </w:pPr>
          </w:p>
        </w:tc>
        <w:tc>
          <w:tcPr>
            <w:tcW w:w="1995" w:type="dxa"/>
            <w:vAlign w:val="center"/>
          </w:tcPr>
          <w:p w14:paraId="53F18C83">
            <w:pPr>
              <w:tabs>
                <w:tab w:val="left" w:pos="8640"/>
              </w:tabs>
              <w:spacing w:before="156" w:beforeLines="50"/>
              <w:ind w:left="-2" w:leftChars="-1"/>
              <w:jc w:val="center"/>
              <w:rPr>
                <w:rFonts w:ascii="宋体" w:hAnsi="宋体" w:cs="宋体"/>
                <w:sz w:val="24"/>
                <w:szCs w:val="24"/>
                <w:highlight w:val="none"/>
              </w:rPr>
            </w:pPr>
            <w:r>
              <w:rPr>
                <w:rFonts w:hint="eastAsia" w:ascii="宋体" w:hAnsi="宋体" w:cs="宋体"/>
                <w:sz w:val="24"/>
                <w:szCs w:val="24"/>
                <w:highlight w:val="none"/>
              </w:rPr>
              <w:t>响应文件的组成</w:t>
            </w:r>
          </w:p>
        </w:tc>
        <w:tc>
          <w:tcPr>
            <w:tcW w:w="6615" w:type="dxa"/>
            <w:vAlign w:val="center"/>
          </w:tcPr>
          <w:p w14:paraId="0C87DF6A">
            <w:pPr>
              <w:rPr>
                <w:rFonts w:ascii="宋体" w:hAnsi="宋体" w:cs="宋体"/>
                <w:sz w:val="24"/>
                <w:szCs w:val="24"/>
                <w:highlight w:val="none"/>
              </w:rPr>
            </w:pPr>
            <w:r>
              <w:rPr>
                <w:rFonts w:hint="eastAsia" w:ascii="宋体" w:hAnsi="宋体" w:cs="宋体"/>
                <w:sz w:val="24"/>
                <w:szCs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31C1DD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99BCE7B">
            <w:pPr>
              <w:numPr>
                <w:ilvl w:val="0"/>
                <w:numId w:val="1"/>
              </w:numPr>
              <w:spacing w:before="156" w:beforeLines="50"/>
              <w:jc w:val="center"/>
              <w:rPr>
                <w:rFonts w:ascii="宋体" w:hAnsi="宋体" w:cs="宋体"/>
                <w:sz w:val="24"/>
                <w:szCs w:val="24"/>
                <w:highlight w:val="none"/>
              </w:rPr>
            </w:pPr>
          </w:p>
        </w:tc>
        <w:tc>
          <w:tcPr>
            <w:tcW w:w="1995" w:type="dxa"/>
            <w:vAlign w:val="center"/>
          </w:tcPr>
          <w:p w14:paraId="7AB27098">
            <w:pPr>
              <w:tabs>
                <w:tab w:val="left" w:pos="8640"/>
              </w:tabs>
              <w:spacing w:before="156" w:beforeLines="50"/>
              <w:ind w:left="-2" w:leftChars="-1"/>
              <w:jc w:val="center"/>
              <w:rPr>
                <w:rFonts w:ascii="宋体" w:hAnsi="宋体" w:cs="宋体"/>
                <w:sz w:val="24"/>
                <w:szCs w:val="24"/>
                <w:highlight w:val="none"/>
              </w:rPr>
            </w:pPr>
            <w:r>
              <w:rPr>
                <w:rFonts w:hint="eastAsia" w:ascii="宋体" w:hAnsi="宋体" w:cs="宋体"/>
                <w:sz w:val="24"/>
                <w:szCs w:val="24"/>
                <w:highlight w:val="none"/>
              </w:rPr>
              <w:t>响应文件封面要求</w:t>
            </w:r>
          </w:p>
        </w:tc>
        <w:tc>
          <w:tcPr>
            <w:tcW w:w="6615" w:type="dxa"/>
            <w:vAlign w:val="center"/>
          </w:tcPr>
          <w:p w14:paraId="5783969A">
            <w:pPr>
              <w:tabs>
                <w:tab w:val="left" w:pos="8640"/>
              </w:tabs>
              <w:rPr>
                <w:rFonts w:ascii="宋体" w:hAnsi="宋体" w:cs="宋体"/>
                <w:sz w:val="24"/>
                <w:szCs w:val="24"/>
                <w:highlight w:val="none"/>
              </w:rPr>
            </w:pPr>
            <w:r>
              <w:rPr>
                <w:rFonts w:hint="eastAsia" w:ascii="宋体" w:hAnsi="宋体" w:cs="宋体"/>
                <w:sz w:val="24"/>
                <w:szCs w:val="24"/>
                <w:highlight w:val="none"/>
              </w:rPr>
              <w:t>无</w:t>
            </w:r>
          </w:p>
        </w:tc>
      </w:tr>
      <w:tr w14:paraId="23176E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B75242C">
            <w:pPr>
              <w:numPr>
                <w:ilvl w:val="0"/>
                <w:numId w:val="1"/>
              </w:numPr>
              <w:spacing w:before="156" w:beforeLines="50"/>
              <w:jc w:val="center"/>
              <w:rPr>
                <w:rFonts w:ascii="宋体" w:hAnsi="宋体" w:cs="宋体"/>
                <w:sz w:val="24"/>
                <w:szCs w:val="24"/>
                <w:highlight w:val="none"/>
              </w:rPr>
            </w:pPr>
          </w:p>
        </w:tc>
        <w:tc>
          <w:tcPr>
            <w:tcW w:w="1995" w:type="dxa"/>
            <w:vAlign w:val="center"/>
          </w:tcPr>
          <w:p w14:paraId="74013EB8">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响应文件份数要求</w:t>
            </w:r>
          </w:p>
        </w:tc>
        <w:tc>
          <w:tcPr>
            <w:tcW w:w="6615" w:type="dxa"/>
            <w:vAlign w:val="center"/>
          </w:tcPr>
          <w:p w14:paraId="0C4B5A1A">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加密的电子投标文件须在投标截止时间前成功上传</w:t>
            </w:r>
          </w:p>
        </w:tc>
      </w:tr>
      <w:tr w14:paraId="7D4C2E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B3F91CF">
            <w:pPr>
              <w:numPr>
                <w:ilvl w:val="0"/>
                <w:numId w:val="1"/>
              </w:numPr>
              <w:spacing w:before="156" w:beforeLines="50"/>
              <w:jc w:val="center"/>
              <w:rPr>
                <w:rFonts w:ascii="宋体" w:hAnsi="宋体" w:cs="宋体"/>
                <w:sz w:val="24"/>
                <w:szCs w:val="24"/>
                <w:highlight w:val="none"/>
              </w:rPr>
            </w:pPr>
          </w:p>
        </w:tc>
        <w:tc>
          <w:tcPr>
            <w:tcW w:w="1995" w:type="dxa"/>
            <w:vAlign w:val="center"/>
          </w:tcPr>
          <w:p w14:paraId="61DBBCAD">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响应文件装订和密封要求</w:t>
            </w:r>
          </w:p>
        </w:tc>
        <w:tc>
          <w:tcPr>
            <w:tcW w:w="6615" w:type="dxa"/>
            <w:vAlign w:val="center"/>
          </w:tcPr>
          <w:p w14:paraId="35C7E96A">
            <w:pPr>
              <w:rPr>
                <w:rFonts w:ascii="宋体" w:hAnsi="宋体" w:cs="宋体"/>
                <w:sz w:val="24"/>
                <w:szCs w:val="24"/>
                <w:highlight w:val="none"/>
              </w:rPr>
            </w:pPr>
            <w:r>
              <w:rPr>
                <w:rFonts w:hint="eastAsia" w:ascii="宋体" w:hAnsi="宋体" w:cs="宋体"/>
                <w:sz w:val="24"/>
                <w:szCs w:val="24"/>
                <w:highlight w:val="none"/>
              </w:rPr>
              <w:t>无</w:t>
            </w:r>
          </w:p>
        </w:tc>
      </w:tr>
      <w:tr w14:paraId="251701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9C86DB1">
            <w:pPr>
              <w:numPr>
                <w:ilvl w:val="0"/>
                <w:numId w:val="1"/>
              </w:numPr>
              <w:spacing w:before="156" w:beforeLines="50"/>
              <w:jc w:val="center"/>
              <w:rPr>
                <w:rFonts w:ascii="宋体" w:hAnsi="宋体" w:cs="宋体"/>
                <w:sz w:val="24"/>
                <w:szCs w:val="24"/>
                <w:highlight w:val="none"/>
              </w:rPr>
            </w:pPr>
          </w:p>
        </w:tc>
        <w:tc>
          <w:tcPr>
            <w:tcW w:w="1995" w:type="dxa"/>
            <w:vAlign w:val="center"/>
          </w:tcPr>
          <w:p w14:paraId="2DB91394">
            <w:pPr>
              <w:spacing w:before="156" w:beforeLines="50"/>
              <w:jc w:val="center"/>
              <w:rPr>
                <w:rFonts w:ascii="宋体" w:hAnsi="宋体" w:cs="宋体"/>
                <w:sz w:val="24"/>
                <w:szCs w:val="24"/>
                <w:highlight w:val="none"/>
              </w:rPr>
            </w:pPr>
            <w:r>
              <w:rPr>
                <w:rFonts w:hint="eastAsia" w:ascii="宋体" w:hAnsi="宋体" w:cs="宋体"/>
                <w:sz w:val="24"/>
                <w:szCs w:val="24"/>
                <w:highlight w:val="none"/>
              </w:rPr>
              <w:t>竞争性磋商文件的澄清</w:t>
            </w:r>
          </w:p>
        </w:tc>
        <w:tc>
          <w:tcPr>
            <w:tcW w:w="6615" w:type="dxa"/>
            <w:vAlign w:val="center"/>
          </w:tcPr>
          <w:p w14:paraId="3EB1D45A">
            <w:pPr>
              <w:rPr>
                <w:rFonts w:ascii="宋体" w:hAnsi="宋体" w:cs="宋体"/>
                <w:sz w:val="24"/>
                <w:szCs w:val="24"/>
                <w:highlight w:val="none"/>
              </w:rPr>
            </w:pPr>
            <w:r>
              <w:rPr>
                <w:rFonts w:hint="eastAsia" w:ascii="宋体" w:hAnsi="宋体" w:cs="宋体"/>
                <w:sz w:val="24"/>
                <w:szCs w:val="24"/>
                <w:highlight w:val="none"/>
              </w:rPr>
              <w:t>对竞争性磋商文件进行的澄清，以网上公告的方式通知供应商。澄清或修改的内容可能影响响应文件编制的，采购人、采购代理机构应当在提交响应文件截止时间至少5日前。</w:t>
            </w:r>
          </w:p>
        </w:tc>
      </w:tr>
      <w:tr w14:paraId="2B0D43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455CF5D">
            <w:pPr>
              <w:numPr>
                <w:ilvl w:val="0"/>
                <w:numId w:val="1"/>
              </w:numPr>
              <w:spacing w:before="156" w:beforeLines="50"/>
              <w:jc w:val="center"/>
              <w:rPr>
                <w:rFonts w:ascii="宋体" w:hAnsi="宋体" w:cs="宋体"/>
                <w:sz w:val="24"/>
                <w:szCs w:val="24"/>
                <w:highlight w:val="none"/>
              </w:rPr>
            </w:pPr>
          </w:p>
        </w:tc>
        <w:tc>
          <w:tcPr>
            <w:tcW w:w="1995" w:type="dxa"/>
            <w:vAlign w:val="center"/>
          </w:tcPr>
          <w:p w14:paraId="45BB0279">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响应文件递交截止时间</w:t>
            </w:r>
          </w:p>
        </w:tc>
        <w:tc>
          <w:tcPr>
            <w:tcW w:w="6615" w:type="dxa"/>
            <w:vAlign w:val="center"/>
          </w:tcPr>
          <w:p w14:paraId="15943D8D">
            <w:pPr>
              <w:ind w:firstLine="240" w:firstLineChars="100"/>
              <w:rPr>
                <w:rFonts w:ascii="宋体" w:hAnsi="宋体" w:cs="宋体"/>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bCs/>
                <w:sz w:val="24"/>
                <w:szCs w:val="24"/>
                <w:highlight w:val="none"/>
                <w:u w:val="single"/>
              </w:rPr>
              <w:t>年  月  日    点    分</w:t>
            </w:r>
            <w:r>
              <w:rPr>
                <w:rFonts w:hint="eastAsia" w:ascii="宋体" w:hAnsi="宋体" w:cs="宋体"/>
                <w:sz w:val="24"/>
                <w:szCs w:val="24"/>
                <w:highlight w:val="none"/>
              </w:rPr>
              <w:t xml:space="preserve">（见磋商公告） </w:t>
            </w:r>
          </w:p>
        </w:tc>
      </w:tr>
      <w:tr w14:paraId="6F139B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2A73C02">
            <w:pPr>
              <w:numPr>
                <w:ilvl w:val="0"/>
                <w:numId w:val="1"/>
              </w:numPr>
              <w:spacing w:before="156" w:beforeLines="50"/>
              <w:jc w:val="center"/>
              <w:rPr>
                <w:rFonts w:ascii="宋体" w:hAnsi="宋体" w:cs="宋体"/>
                <w:sz w:val="24"/>
                <w:szCs w:val="24"/>
                <w:highlight w:val="none"/>
              </w:rPr>
            </w:pPr>
          </w:p>
        </w:tc>
        <w:tc>
          <w:tcPr>
            <w:tcW w:w="1995" w:type="dxa"/>
            <w:vAlign w:val="center"/>
          </w:tcPr>
          <w:p w14:paraId="3C82863F">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响应文件递交地点</w:t>
            </w:r>
          </w:p>
        </w:tc>
        <w:tc>
          <w:tcPr>
            <w:tcW w:w="6615" w:type="dxa"/>
            <w:vAlign w:val="center"/>
          </w:tcPr>
          <w:p w14:paraId="0CAAC47B">
            <w:pPr>
              <w:rPr>
                <w:rFonts w:ascii="宋体" w:hAnsi="宋体"/>
                <w:sz w:val="24"/>
                <w:szCs w:val="24"/>
                <w:highlight w:val="none"/>
              </w:rPr>
            </w:pPr>
            <w:r>
              <w:rPr>
                <w:rFonts w:hint="eastAsia" w:ascii="宋体" w:hAnsi="宋体"/>
                <w:sz w:val="24"/>
                <w:szCs w:val="24"/>
                <w:highlight w:val="none"/>
              </w:rPr>
              <w:t>周口市公共资源交易中心网</w:t>
            </w:r>
          </w:p>
          <w:p w14:paraId="6E39ACD8">
            <w:pPr>
              <w:rPr>
                <w:rFonts w:ascii="宋体" w:hAnsi="宋体" w:cs="宋体" w:eastAsiaTheme="minorEastAsia"/>
                <w:sz w:val="24"/>
                <w:szCs w:val="24"/>
                <w:highlight w:val="none"/>
              </w:rPr>
            </w:pPr>
            <w:r>
              <w:rPr>
                <w:rFonts w:hint="eastAsia" w:ascii="宋体" w:hAnsi="宋体"/>
                <w:sz w:val="24"/>
                <w:szCs w:val="24"/>
                <w:highlight w:val="none"/>
              </w:rPr>
              <w:t>网址：周口市公共资源电子交易服务平台会员系统（网址</w:t>
            </w:r>
            <w:r>
              <w:rPr>
                <w:rFonts w:hint="eastAsia" w:asciiTheme="minorEastAsia" w:hAnsiTheme="minorEastAsia" w:eastAsiaTheme="minorEastAsia"/>
                <w:color w:val="000000"/>
                <w:sz w:val="24"/>
                <w:szCs w:val="24"/>
                <w:highlight w:val="none"/>
                <w:lang w:eastAsia="zh-CN"/>
              </w:rPr>
              <w:t>http://jyzx.zhoukou.gov.cn/</w:t>
            </w:r>
            <w:r>
              <w:rPr>
                <w:rFonts w:hint="eastAsia" w:asciiTheme="minorEastAsia" w:hAnsiTheme="minorEastAsia" w:eastAsiaTheme="minorEastAsia"/>
                <w:color w:val="000000"/>
                <w:sz w:val="24"/>
                <w:szCs w:val="24"/>
                <w:highlight w:val="none"/>
              </w:rPr>
              <w:t>）</w:t>
            </w:r>
          </w:p>
          <w:p w14:paraId="62D4AB47">
            <w:pPr>
              <w:spacing w:line="560" w:lineRule="exact"/>
              <w:rPr>
                <w:rFonts w:ascii="宋体" w:hAnsi="宋体" w:cs="宋体"/>
                <w:sz w:val="24"/>
                <w:szCs w:val="24"/>
                <w:highlight w:val="none"/>
              </w:rPr>
            </w:pPr>
            <w:r>
              <w:rPr>
                <w:rFonts w:hint="eastAsia" w:ascii="宋体" w:hAnsi="宋体" w:cs="宋体"/>
                <w:sz w:val="24"/>
                <w:szCs w:val="24"/>
                <w:highlight w:val="none"/>
              </w:rPr>
              <w:t>（本项目实行网上远程开标无须到现场提交响应文件）</w:t>
            </w:r>
          </w:p>
        </w:tc>
      </w:tr>
      <w:tr w14:paraId="65EF57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D4476DB">
            <w:pPr>
              <w:numPr>
                <w:ilvl w:val="0"/>
                <w:numId w:val="1"/>
              </w:numPr>
              <w:spacing w:before="156" w:beforeLines="50"/>
              <w:jc w:val="center"/>
              <w:rPr>
                <w:rFonts w:ascii="宋体" w:hAnsi="宋体" w:cs="宋体"/>
                <w:sz w:val="24"/>
                <w:szCs w:val="24"/>
                <w:highlight w:val="none"/>
              </w:rPr>
            </w:pPr>
          </w:p>
        </w:tc>
        <w:tc>
          <w:tcPr>
            <w:tcW w:w="1995" w:type="dxa"/>
            <w:vAlign w:val="center"/>
          </w:tcPr>
          <w:p w14:paraId="2A2F5EAE">
            <w:pPr>
              <w:spacing w:before="156" w:beforeLines="50"/>
              <w:jc w:val="center"/>
              <w:rPr>
                <w:rFonts w:ascii="宋体" w:hAnsi="宋体" w:cs="宋体"/>
                <w:sz w:val="24"/>
                <w:szCs w:val="24"/>
                <w:highlight w:val="none"/>
              </w:rPr>
            </w:pPr>
            <w:r>
              <w:rPr>
                <w:rFonts w:hint="eastAsia" w:ascii="宋体" w:hAnsi="宋体" w:cs="宋体"/>
                <w:sz w:val="24"/>
                <w:szCs w:val="24"/>
                <w:highlight w:val="none"/>
              </w:rPr>
              <w:t>磋商时间</w:t>
            </w:r>
          </w:p>
        </w:tc>
        <w:tc>
          <w:tcPr>
            <w:tcW w:w="6615" w:type="dxa"/>
            <w:vAlign w:val="center"/>
          </w:tcPr>
          <w:p w14:paraId="4ECC0195">
            <w:pPr>
              <w:tabs>
                <w:tab w:val="left" w:pos="8640"/>
              </w:tabs>
              <w:ind w:left="-2" w:leftChars="-1" w:firstLine="240" w:firstLineChars="100"/>
              <w:rPr>
                <w:rFonts w:ascii="宋体" w:hAnsi="宋体" w:cs="宋体"/>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bCs/>
                <w:sz w:val="24"/>
                <w:szCs w:val="24"/>
                <w:highlight w:val="none"/>
                <w:u w:val="single"/>
              </w:rPr>
              <w:t>年  月  日    点    分</w:t>
            </w:r>
            <w:r>
              <w:rPr>
                <w:rFonts w:hint="eastAsia" w:ascii="宋体" w:hAnsi="宋体" w:cs="宋体"/>
                <w:sz w:val="24"/>
                <w:szCs w:val="24"/>
                <w:highlight w:val="none"/>
              </w:rPr>
              <w:t xml:space="preserve"> 见磋商公告</w:t>
            </w:r>
          </w:p>
        </w:tc>
      </w:tr>
      <w:tr w14:paraId="4107FC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1A45389">
            <w:pPr>
              <w:numPr>
                <w:ilvl w:val="0"/>
                <w:numId w:val="1"/>
              </w:numPr>
              <w:spacing w:before="156" w:beforeLines="50"/>
              <w:jc w:val="center"/>
              <w:rPr>
                <w:rFonts w:ascii="宋体" w:hAnsi="宋体" w:cs="宋体"/>
                <w:sz w:val="24"/>
                <w:szCs w:val="24"/>
                <w:highlight w:val="none"/>
              </w:rPr>
            </w:pPr>
          </w:p>
        </w:tc>
        <w:tc>
          <w:tcPr>
            <w:tcW w:w="1995" w:type="dxa"/>
            <w:vAlign w:val="center"/>
          </w:tcPr>
          <w:p w14:paraId="40DC517B">
            <w:pPr>
              <w:spacing w:before="156" w:beforeLines="50"/>
              <w:jc w:val="center"/>
              <w:rPr>
                <w:rFonts w:ascii="宋体" w:hAnsi="宋体" w:cs="宋体"/>
                <w:sz w:val="24"/>
                <w:szCs w:val="24"/>
                <w:highlight w:val="none"/>
              </w:rPr>
            </w:pPr>
            <w:r>
              <w:rPr>
                <w:rFonts w:hint="eastAsia" w:ascii="宋体" w:hAnsi="宋体" w:cs="宋体"/>
                <w:sz w:val="24"/>
                <w:szCs w:val="24"/>
                <w:highlight w:val="none"/>
              </w:rPr>
              <w:t>磋商程序和内容</w:t>
            </w:r>
          </w:p>
        </w:tc>
        <w:tc>
          <w:tcPr>
            <w:tcW w:w="6615" w:type="dxa"/>
            <w:vAlign w:val="center"/>
          </w:tcPr>
          <w:p w14:paraId="2EF0904E">
            <w:pPr>
              <w:tabs>
                <w:tab w:val="left" w:pos="8640"/>
              </w:tabs>
              <w:rPr>
                <w:rFonts w:ascii="宋体" w:hAnsi="宋体" w:cs="宋体"/>
                <w:sz w:val="24"/>
                <w:szCs w:val="24"/>
                <w:highlight w:val="none"/>
              </w:rPr>
            </w:pPr>
            <w:r>
              <w:rPr>
                <w:rFonts w:hint="eastAsia" w:ascii="宋体" w:hAnsi="宋体" w:cs="宋体"/>
                <w:sz w:val="24"/>
                <w:szCs w:val="24"/>
                <w:highlight w:val="none"/>
              </w:rPr>
              <w:t>详见磋商文件第二章</w:t>
            </w:r>
          </w:p>
        </w:tc>
      </w:tr>
      <w:tr w14:paraId="29A1FE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5A22B08">
            <w:pPr>
              <w:numPr>
                <w:ilvl w:val="0"/>
                <w:numId w:val="1"/>
              </w:numPr>
              <w:spacing w:before="156" w:beforeLines="50"/>
              <w:jc w:val="center"/>
              <w:rPr>
                <w:rFonts w:ascii="宋体" w:hAnsi="宋体" w:cs="宋体"/>
                <w:sz w:val="24"/>
                <w:szCs w:val="24"/>
                <w:highlight w:val="none"/>
              </w:rPr>
            </w:pPr>
          </w:p>
        </w:tc>
        <w:tc>
          <w:tcPr>
            <w:tcW w:w="1995" w:type="dxa"/>
            <w:vAlign w:val="center"/>
          </w:tcPr>
          <w:p w14:paraId="25867B60">
            <w:pPr>
              <w:spacing w:before="156" w:beforeLines="50"/>
              <w:jc w:val="center"/>
              <w:rPr>
                <w:rFonts w:ascii="宋体" w:hAnsi="宋体" w:cs="宋体"/>
                <w:sz w:val="24"/>
                <w:szCs w:val="24"/>
                <w:highlight w:val="none"/>
              </w:rPr>
            </w:pPr>
            <w:r>
              <w:rPr>
                <w:rFonts w:hint="eastAsia" w:ascii="宋体" w:hAnsi="宋体" w:cs="宋体"/>
                <w:sz w:val="24"/>
                <w:szCs w:val="24"/>
                <w:highlight w:val="none"/>
              </w:rPr>
              <w:t>授予合同</w:t>
            </w:r>
          </w:p>
        </w:tc>
        <w:tc>
          <w:tcPr>
            <w:tcW w:w="6615" w:type="dxa"/>
            <w:vAlign w:val="center"/>
          </w:tcPr>
          <w:p w14:paraId="6D28DD45">
            <w:pPr>
              <w:tabs>
                <w:tab w:val="left" w:pos="8640"/>
              </w:tabs>
              <w:jc w:val="left"/>
              <w:rPr>
                <w:rFonts w:ascii="宋体" w:hAnsi="宋体" w:cs="宋体"/>
                <w:sz w:val="24"/>
                <w:szCs w:val="24"/>
                <w:highlight w:val="none"/>
              </w:rPr>
            </w:pPr>
            <w:r>
              <w:rPr>
                <w:rFonts w:hint="eastAsia" w:ascii="宋体" w:hAnsi="宋体" w:cs="宋体"/>
                <w:sz w:val="24"/>
                <w:szCs w:val="24"/>
                <w:highlight w:val="none"/>
              </w:rPr>
              <w:t>采购人根据磋商小组的推荐意见，确定成交供应商。采购代理机构向成交供应商发出成交通知书。</w:t>
            </w:r>
          </w:p>
        </w:tc>
      </w:tr>
      <w:tr w14:paraId="4B7818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D341B05">
            <w:pPr>
              <w:numPr>
                <w:ilvl w:val="0"/>
                <w:numId w:val="1"/>
              </w:numPr>
              <w:spacing w:before="156" w:beforeLines="50"/>
              <w:jc w:val="center"/>
              <w:rPr>
                <w:rFonts w:ascii="宋体" w:hAnsi="宋体" w:cs="宋体"/>
                <w:sz w:val="24"/>
                <w:szCs w:val="24"/>
                <w:highlight w:val="none"/>
              </w:rPr>
            </w:pPr>
          </w:p>
        </w:tc>
        <w:tc>
          <w:tcPr>
            <w:tcW w:w="1995" w:type="dxa"/>
            <w:vAlign w:val="center"/>
          </w:tcPr>
          <w:p w14:paraId="66F7D1B1">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签订合同</w:t>
            </w:r>
          </w:p>
        </w:tc>
        <w:tc>
          <w:tcPr>
            <w:tcW w:w="6615" w:type="dxa"/>
            <w:vAlign w:val="center"/>
          </w:tcPr>
          <w:p w14:paraId="76EF5BDD">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1）接到成交通知书</w:t>
            </w:r>
            <w:r>
              <w:rPr>
                <w:rFonts w:hint="eastAsia" w:ascii="宋体" w:hAnsi="宋体" w:cs="宋体"/>
                <w:sz w:val="24"/>
                <w:szCs w:val="24"/>
                <w:highlight w:val="none"/>
                <w:lang w:val="en-US" w:eastAsia="zh-CN"/>
              </w:rPr>
              <w:t>1</w:t>
            </w:r>
            <w:r>
              <w:rPr>
                <w:rFonts w:hint="eastAsia" w:ascii="宋体" w:hAnsi="宋体" w:cs="宋体"/>
                <w:sz w:val="24"/>
                <w:szCs w:val="24"/>
                <w:highlight w:val="none"/>
              </w:rPr>
              <w:t>天内，成交供应商应与采购人签订采购合同。</w:t>
            </w:r>
          </w:p>
          <w:p w14:paraId="69314865">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2）本磋商文件、响应文件及磋商、评审过程中有关澄清、承诺文件的内容，将作为签订合同的主要内容。</w:t>
            </w:r>
          </w:p>
        </w:tc>
      </w:tr>
      <w:tr w14:paraId="5839C7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35" w:type="dxa"/>
            <w:vAlign w:val="center"/>
          </w:tcPr>
          <w:p w14:paraId="76017C67">
            <w:pPr>
              <w:numPr>
                <w:ilvl w:val="0"/>
                <w:numId w:val="1"/>
              </w:numPr>
              <w:spacing w:before="156" w:beforeLines="50"/>
              <w:jc w:val="center"/>
              <w:rPr>
                <w:rFonts w:ascii="宋体" w:hAnsi="宋体" w:cs="宋体"/>
                <w:sz w:val="24"/>
                <w:szCs w:val="24"/>
                <w:highlight w:val="none"/>
              </w:rPr>
            </w:pPr>
          </w:p>
        </w:tc>
        <w:tc>
          <w:tcPr>
            <w:tcW w:w="1995" w:type="dxa"/>
            <w:vAlign w:val="center"/>
          </w:tcPr>
          <w:p w14:paraId="63D0FD18">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投标保证金</w:t>
            </w:r>
          </w:p>
        </w:tc>
        <w:tc>
          <w:tcPr>
            <w:tcW w:w="6615" w:type="dxa"/>
            <w:vAlign w:val="center"/>
          </w:tcPr>
          <w:p w14:paraId="27E89F72">
            <w:pPr>
              <w:rPr>
                <w:rFonts w:hint="eastAsia"/>
                <w:sz w:val="24"/>
                <w:szCs w:val="24"/>
                <w:highlight w:val="none"/>
              </w:rPr>
            </w:pPr>
            <w:r>
              <w:rPr>
                <w:rFonts w:hint="eastAsia" w:ascii="宋体" w:hAnsi="宋体" w:cs="宋体"/>
                <w:sz w:val="24"/>
                <w:szCs w:val="24"/>
                <w:highlight w:val="none"/>
              </w:rPr>
              <w:t>不需要缴纳投标保证金</w:t>
            </w:r>
            <w:r>
              <w:rPr>
                <w:rFonts w:hint="eastAsia"/>
                <w:sz w:val="24"/>
                <w:szCs w:val="24"/>
                <w:highlight w:val="none"/>
              </w:rPr>
              <w:t>。</w:t>
            </w:r>
          </w:p>
        </w:tc>
      </w:tr>
      <w:tr w14:paraId="1BDBF8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1748F2B">
            <w:pPr>
              <w:numPr>
                <w:ilvl w:val="0"/>
                <w:numId w:val="1"/>
              </w:numPr>
              <w:spacing w:before="156" w:beforeLines="50"/>
              <w:jc w:val="center"/>
              <w:rPr>
                <w:rFonts w:ascii="宋体" w:hAnsi="宋体" w:cs="宋体"/>
                <w:sz w:val="24"/>
                <w:szCs w:val="24"/>
                <w:highlight w:val="none"/>
              </w:rPr>
            </w:pPr>
          </w:p>
        </w:tc>
        <w:tc>
          <w:tcPr>
            <w:tcW w:w="1995" w:type="dxa"/>
            <w:vAlign w:val="center"/>
          </w:tcPr>
          <w:p w14:paraId="12EDB266">
            <w:pPr>
              <w:jc w:val="center"/>
              <w:rPr>
                <w:rFonts w:ascii="宋体" w:hAnsi="宋体" w:cs="宋体"/>
                <w:color w:val="auto"/>
                <w:sz w:val="24"/>
                <w:szCs w:val="24"/>
                <w:highlight w:val="none"/>
              </w:rPr>
            </w:pPr>
            <w:r>
              <w:rPr>
                <w:rFonts w:hint="eastAsia" w:ascii="宋体" w:hAnsi="宋体" w:cs="宋体"/>
                <w:color w:val="auto"/>
                <w:sz w:val="24"/>
                <w:szCs w:val="24"/>
                <w:highlight w:val="none"/>
              </w:rPr>
              <w:t>服务期限</w:t>
            </w:r>
          </w:p>
        </w:tc>
        <w:tc>
          <w:tcPr>
            <w:tcW w:w="6615" w:type="dxa"/>
            <w:vAlign w:val="center"/>
          </w:tcPr>
          <w:p w14:paraId="5E7F55E1">
            <w:pPr>
              <w:jc w:val="left"/>
              <w:rPr>
                <w:rFonts w:hint="default" w:ascii="宋体" w:hAnsi="宋体" w:cs="宋体"/>
                <w:color w:val="auto"/>
                <w:sz w:val="24"/>
                <w:szCs w:val="24"/>
                <w:highlight w:val="none"/>
                <w:lang w:val="en-US"/>
              </w:rPr>
            </w:pPr>
            <w:r>
              <w:rPr>
                <w:rFonts w:hint="eastAsia" w:asciiTheme="minorEastAsia" w:hAnsiTheme="minorEastAsia" w:cstheme="minorEastAsia"/>
                <w:sz w:val="24"/>
                <w:szCs w:val="24"/>
                <w:highlight w:val="none"/>
                <w:lang w:val="en-US" w:eastAsia="zh-CN"/>
              </w:rPr>
              <w:t>1年</w:t>
            </w:r>
          </w:p>
        </w:tc>
      </w:tr>
      <w:tr w14:paraId="74387A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198686E8">
            <w:pPr>
              <w:numPr>
                <w:ilvl w:val="0"/>
                <w:numId w:val="1"/>
              </w:numPr>
              <w:spacing w:before="156" w:beforeLines="50"/>
              <w:jc w:val="center"/>
              <w:rPr>
                <w:rFonts w:ascii="宋体" w:hAnsi="宋体" w:cs="宋体"/>
                <w:sz w:val="24"/>
                <w:szCs w:val="24"/>
                <w:highlight w:val="none"/>
              </w:rPr>
            </w:pPr>
          </w:p>
        </w:tc>
        <w:tc>
          <w:tcPr>
            <w:tcW w:w="1995" w:type="dxa"/>
            <w:vAlign w:val="center"/>
          </w:tcPr>
          <w:p w14:paraId="00012104">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付款方式</w:t>
            </w:r>
          </w:p>
        </w:tc>
        <w:tc>
          <w:tcPr>
            <w:tcW w:w="6615" w:type="dxa"/>
            <w:vAlign w:val="center"/>
          </w:tcPr>
          <w:p w14:paraId="392ABD13">
            <w:pPr>
              <w:spacing w:line="360" w:lineRule="auto"/>
              <w:rPr>
                <w:rFonts w:hint="default" w:eastAsia="宋体"/>
                <w:sz w:val="24"/>
                <w:szCs w:val="24"/>
                <w:highlight w:val="none"/>
                <w:lang w:val="en-US" w:eastAsia="zh-CN"/>
              </w:rPr>
            </w:pPr>
            <w:r>
              <w:rPr>
                <w:rFonts w:hint="default" w:eastAsia="宋体"/>
                <w:sz w:val="24"/>
                <w:szCs w:val="24"/>
                <w:highlight w:val="none"/>
                <w:lang w:val="en-US" w:eastAsia="zh-CN"/>
              </w:rPr>
              <w:t>以双方签订正式协议约定，在第三方服务期内，指导川汇区在省营商环境评价中达到中上位次预期，服务期满，一次性支付服务费。</w:t>
            </w:r>
          </w:p>
        </w:tc>
      </w:tr>
      <w:tr w14:paraId="0A9E0C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1D20C58F">
            <w:pPr>
              <w:numPr>
                <w:ilvl w:val="0"/>
                <w:numId w:val="1"/>
              </w:numPr>
              <w:spacing w:before="156" w:beforeLines="50"/>
              <w:jc w:val="center"/>
              <w:rPr>
                <w:rFonts w:ascii="宋体" w:hAnsi="宋体" w:cs="宋体"/>
                <w:sz w:val="24"/>
                <w:szCs w:val="24"/>
                <w:highlight w:val="none"/>
              </w:rPr>
            </w:pPr>
          </w:p>
        </w:tc>
        <w:tc>
          <w:tcPr>
            <w:tcW w:w="1995" w:type="dxa"/>
            <w:vAlign w:val="center"/>
          </w:tcPr>
          <w:p w14:paraId="4E6CC24B">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勘察现场</w:t>
            </w:r>
          </w:p>
        </w:tc>
        <w:tc>
          <w:tcPr>
            <w:tcW w:w="6615" w:type="dxa"/>
            <w:vAlign w:val="center"/>
          </w:tcPr>
          <w:p w14:paraId="7858D080">
            <w:pPr>
              <w:tabs>
                <w:tab w:val="left" w:pos="8640"/>
              </w:tabs>
              <w:jc w:val="left"/>
              <w:rPr>
                <w:rFonts w:hint="eastAsia" w:ascii="宋体" w:hAnsi="宋体" w:eastAsia="宋体" w:cs="宋体"/>
                <w:sz w:val="24"/>
                <w:szCs w:val="24"/>
                <w:highlight w:val="none"/>
                <w:lang w:eastAsia="zh-CN"/>
              </w:rPr>
            </w:pPr>
            <w:r>
              <w:rPr>
                <w:rFonts w:hint="eastAsia" w:ascii="宋体" w:hAnsi="宋体" w:cs="宋体"/>
                <w:sz w:val="24"/>
                <w:szCs w:val="24"/>
                <w:highlight w:val="none"/>
              </w:rPr>
              <w:t xml:space="preserve"> </w:t>
            </w:r>
            <w:r>
              <w:rPr>
                <w:rFonts w:hint="eastAsia" w:ascii="宋体" w:hAnsi="宋体" w:cs="宋体"/>
                <w:sz w:val="24"/>
                <w:szCs w:val="24"/>
                <w:highlight w:val="none"/>
                <w:lang w:val="en-US" w:eastAsia="zh-CN"/>
              </w:rPr>
              <w:t>不组织</w:t>
            </w:r>
          </w:p>
        </w:tc>
      </w:tr>
      <w:tr w14:paraId="70B07A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0465AD4">
            <w:pPr>
              <w:numPr>
                <w:ilvl w:val="0"/>
                <w:numId w:val="1"/>
              </w:numPr>
              <w:spacing w:before="156" w:beforeLines="50"/>
              <w:jc w:val="center"/>
              <w:rPr>
                <w:rFonts w:ascii="宋体" w:hAnsi="宋体" w:cs="宋体"/>
                <w:sz w:val="24"/>
                <w:szCs w:val="24"/>
                <w:highlight w:val="none"/>
              </w:rPr>
            </w:pPr>
          </w:p>
        </w:tc>
        <w:tc>
          <w:tcPr>
            <w:tcW w:w="1995" w:type="dxa"/>
            <w:vAlign w:val="center"/>
          </w:tcPr>
          <w:p w14:paraId="3FB2CE76">
            <w:pPr>
              <w:spacing w:before="156" w:beforeLines="50"/>
              <w:jc w:val="center"/>
              <w:rPr>
                <w:rFonts w:ascii="宋体" w:hAnsi="宋体" w:cs="宋体"/>
                <w:b w:val="0"/>
                <w:bCs w:val="0"/>
                <w:sz w:val="24"/>
                <w:szCs w:val="24"/>
                <w:highlight w:val="none"/>
              </w:rPr>
            </w:pPr>
            <w:r>
              <w:rPr>
                <w:rFonts w:hint="eastAsia" w:ascii="宋体" w:hAnsi="宋体" w:cs="宋体"/>
                <w:b w:val="0"/>
                <w:bCs w:val="0"/>
                <w:sz w:val="24"/>
                <w:szCs w:val="24"/>
                <w:highlight w:val="none"/>
              </w:rPr>
              <w:t>报价</w:t>
            </w:r>
          </w:p>
        </w:tc>
        <w:tc>
          <w:tcPr>
            <w:tcW w:w="6615" w:type="dxa"/>
            <w:vAlign w:val="center"/>
          </w:tcPr>
          <w:p w14:paraId="742DA7F6">
            <w:pPr>
              <w:tabs>
                <w:tab w:val="left" w:pos="8640"/>
              </w:tabs>
              <w:jc w:val="left"/>
              <w:rPr>
                <w:rFonts w:ascii="宋体" w:hAnsi="宋体" w:cs="宋体"/>
                <w:b w:val="0"/>
                <w:bCs w:val="0"/>
                <w:sz w:val="24"/>
                <w:szCs w:val="24"/>
                <w:highlight w:val="none"/>
                <w:u w:val="single"/>
              </w:rPr>
            </w:pPr>
            <w:r>
              <w:rPr>
                <w:rFonts w:hint="eastAsia" w:ascii="宋体" w:hAnsi="宋体" w:cs="宋体"/>
                <w:b w:val="0"/>
                <w:bCs w:val="0"/>
                <w:sz w:val="24"/>
                <w:szCs w:val="24"/>
                <w:highlight w:val="none"/>
              </w:rPr>
              <w:t>一次报价</w:t>
            </w:r>
          </w:p>
        </w:tc>
      </w:tr>
      <w:tr w14:paraId="0C81CD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C266722">
            <w:pPr>
              <w:numPr>
                <w:ilvl w:val="0"/>
                <w:numId w:val="1"/>
              </w:numPr>
              <w:spacing w:before="156" w:beforeLines="50"/>
              <w:jc w:val="center"/>
              <w:rPr>
                <w:rFonts w:ascii="宋体" w:hAnsi="宋体" w:cs="宋体"/>
                <w:sz w:val="24"/>
                <w:szCs w:val="24"/>
                <w:highlight w:val="none"/>
              </w:rPr>
            </w:pPr>
          </w:p>
        </w:tc>
        <w:tc>
          <w:tcPr>
            <w:tcW w:w="1995" w:type="dxa"/>
            <w:vAlign w:val="center"/>
          </w:tcPr>
          <w:p w14:paraId="447DF5A1">
            <w:pPr>
              <w:spacing w:before="156" w:beforeLines="50"/>
              <w:ind w:firstLine="14" w:firstLineChars="6"/>
              <w:jc w:val="center"/>
              <w:rPr>
                <w:rFonts w:hint="eastAsia" w:ascii="宋体" w:hAnsi="宋体" w:cs="宋体"/>
                <w:b/>
                <w:bCs/>
                <w:sz w:val="24"/>
                <w:szCs w:val="24"/>
                <w:highlight w:val="none"/>
              </w:rPr>
            </w:pPr>
            <w:r>
              <w:rPr>
                <w:rFonts w:hint="eastAsia" w:ascii="宋体" w:hAnsi="宋体" w:eastAsia="宋体" w:cs="宋体"/>
                <w:b/>
                <w:bCs/>
                <w:color w:val="000000"/>
                <w:sz w:val="24"/>
                <w:szCs w:val="24"/>
                <w:lang w:val="en-US"/>
              </w:rPr>
              <w:t>本项目所属行业</w:t>
            </w:r>
          </w:p>
        </w:tc>
        <w:tc>
          <w:tcPr>
            <w:tcW w:w="6615" w:type="dxa"/>
            <w:vAlign w:val="center"/>
          </w:tcPr>
          <w:p w14:paraId="16E12B2B">
            <w:pPr>
              <w:tabs>
                <w:tab w:val="left" w:pos="8640"/>
              </w:tabs>
              <w:jc w:val="left"/>
              <w:rPr>
                <w:rFonts w:hint="eastAsia" w:ascii="宋体" w:hAnsi="宋体" w:cs="宋体"/>
                <w:b/>
                <w:bCs/>
                <w:sz w:val="24"/>
                <w:szCs w:val="24"/>
                <w:highlight w:val="none"/>
              </w:rPr>
            </w:pPr>
            <w:r>
              <w:rPr>
                <w:rFonts w:hint="eastAsia" w:ascii="宋体" w:hAnsi="宋体" w:cs="宋体"/>
                <w:b/>
                <w:bCs/>
                <w:sz w:val="24"/>
                <w:szCs w:val="24"/>
                <w:highlight w:val="none"/>
              </w:rPr>
              <w:t>其他未列明行业</w:t>
            </w:r>
          </w:p>
        </w:tc>
      </w:tr>
    </w:tbl>
    <w:p w14:paraId="274B0CBC">
      <w:pPr>
        <w:pStyle w:val="29"/>
        <w:ind w:firstLine="0" w:firstLineChars="0"/>
        <w:rPr>
          <w:rFonts w:hint="eastAsia" w:ascii="宋体" w:hAnsi="宋体" w:cs="宋体"/>
          <w:b/>
          <w:sz w:val="30"/>
          <w:szCs w:val="30"/>
          <w:highlight w:val="none"/>
        </w:rPr>
      </w:pPr>
    </w:p>
    <w:p w14:paraId="28291008">
      <w:pPr>
        <w:rPr>
          <w:rFonts w:hint="eastAsia" w:ascii="宋体" w:hAnsi="宋体" w:cs="宋体"/>
          <w:b/>
          <w:sz w:val="30"/>
          <w:szCs w:val="30"/>
          <w:highlight w:val="none"/>
        </w:rPr>
      </w:pPr>
      <w:r>
        <w:rPr>
          <w:rFonts w:hint="eastAsia" w:ascii="宋体" w:hAnsi="宋体" w:cs="宋体"/>
          <w:b/>
          <w:sz w:val="30"/>
          <w:szCs w:val="30"/>
          <w:highlight w:val="none"/>
        </w:rPr>
        <w:br w:type="page"/>
      </w:r>
    </w:p>
    <w:p w14:paraId="4CB7A7E1">
      <w:pPr>
        <w:spacing w:line="72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114C2DB3">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08742A2A">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0DDF7350">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429F989F">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2B6EA223">
      <w:pPr>
        <w:tabs>
          <w:tab w:val="left" w:pos="0"/>
        </w:tabs>
        <w:spacing w:line="560" w:lineRule="exact"/>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2.2“采购人”：</w:t>
      </w:r>
      <w:r>
        <w:rPr>
          <w:rFonts w:hint="eastAsia" w:ascii="宋体" w:hAnsi="宋体" w:cs="宋体"/>
          <w:sz w:val="24"/>
          <w:highlight w:val="none"/>
          <w:lang w:val="en-US" w:eastAsia="zh-CN"/>
        </w:rPr>
        <w:t>周口市川汇区产业发展和营商环境服务中心</w:t>
      </w:r>
      <w:r>
        <w:rPr>
          <w:rFonts w:hint="eastAsia" w:ascii="宋体" w:hAnsi="宋体" w:cs="宋体"/>
          <w:color w:val="0C0C0C" w:themeColor="text1" w:themeTint="F2"/>
          <w:sz w:val="24"/>
          <w:highlight w:val="none"/>
          <w:lang w:val="en-US" w:eastAsia="zh-CN"/>
        </w:rPr>
        <w:t>　</w:t>
      </w:r>
      <w:r>
        <w:rPr>
          <w:rFonts w:hint="eastAsia" w:ascii="宋体" w:hAnsi="宋体" w:cs="宋体"/>
          <w:sz w:val="24"/>
          <w:highlight w:val="none"/>
          <w:lang w:eastAsia="zh-CN"/>
        </w:rPr>
        <w:t>　　　</w:t>
      </w:r>
    </w:p>
    <w:p w14:paraId="0806E3F3">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40821867">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47ACBDAD">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1C0D0C9D">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583CF71F">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0DA4C59B">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1F646810">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67ED6B06">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7F781A88">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59F9AA9B">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43FF3F62">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7407786C">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46A9A5F2">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2049243F">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509371C9">
      <w:pPr>
        <w:spacing w:line="560" w:lineRule="exact"/>
        <w:ind w:firstLine="480" w:firstLineChars="200"/>
        <w:rPr>
          <w:rFonts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p>
    <w:p w14:paraId="4658BA7D">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4.1.2参加政府采购活动前三年内，在经营活动中没有重大违法记录的声明函；</w:t>
      </w:r>
    </w:p>
    <w:p w14:paraId="301885B2">
      <w:pPr>
        <w:keepNext w:val="0"/>
        <w:keepLines w:val="0"/>
        <w:pageBreakBefore w:val="0"/>
        <w:widowControl/>
        <w:kinsoku/>
        <w:wordWrap/>
        <w:overflowPunct/>
        <w:topLinePunct w:val="0"/>
        <w:bidi w:val="0"/>
        <w:adjustRightInd/>
        <w:snapToGrid/>
        <w:spacing w:line="360" w:lineRule="auto"/>
        <w:ind w:firstLine="480" w:firstLineChars="200"/>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4.1.3 政府采购供应商诚信承诺书；</w:t>
      </w:r>
    </w:p>
    <w:p w14:paraId="2A2E8AC9">
      <w:pPr>
        <w:pStyle w:val="78"/>
        <w:keepNext w:val="0"/>
        <w:keepLines w:val="0"/>
        <w:pageBreakBefore w:val="0"/>
        <w:kinsoku/>
        <w:wordWrap/>
        <w:overflowPunct/>
        <w:topLinePunct w:val="0"/>
        <w:bidi w:val="0"/>
        <w:adjustRightInd/>
        <w:snapToGrid/>
        <w:spacing w:after="0" w:line="360" w:lineRule="auto"/>
        <w:ind w:firstLine="480" w:firstLineChars="200"/>
        <w:textAlignment w:val="auto"/>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1.4 供应商</w:t>
      </w:r>
      <w:r>
        <w:rPr>
          <w:rFonts w:hint="eastAsia" w:hAnsi="宋体" w:eastAsia="宋体"/>
          <w:color w:val="000000"/>
          <w:sz w:val="24"/>
          <w:highlight w:val="none"/>
        </w:rPr>
        <w:t>自觉抵制政府采购领域商业贿赂行为承诺书；</w:t>
      </w:r>
    </w:p>
    <w:p w14:paraId="2402F090">
      <w:pPr>
        <w:keepNext w:val="0"/>
        <w:keepLines w:val="0"/>
        <w:pageBreakBefore w:val="0"/>
        <w:kinsoku/>
        <w:wordWrap/>
        <w:overflowPunct/>
        <w:topLinePunct w:val="0"/>
        <w:bidi w:val="0"/>
        <w:adjustRightInd/>
        <w:snapToGrid/>
        <w:spacing w:line="360" w:lineRule="auto"/>
        <w:ind w:firstLine="480" w:firstLineChars="200"/>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 xml:space="preserve">4.2 </w:t>
      </w:r>
      <w:r>
        <w:rPr>
          <w:rFonts w:hint="eastAsia" w:ascii="宋体" w:hAnsi="宋体" w:cs="宋体"/>
          <w:color w:val="000000"/>
          <w:kern w:val="0"/>
          <w:sz w:val="24"/>
          <w:highlight w:val="none"/>
        </w:rPr>
        <w:t>供应商需提供售后服务体系与承诺</w:t>
      </w:r>
      <w:r>
        <w:rPr>
          <w:rFonts w:hint="eastAsia" w:ascii="宋体" w:hAnsi="宋体" w:cs="宋体"/>
          <w:color w:val="000000"/>
          <w:kern w:val="0"/>
          <w:sz w:val="24"/>
          <w:highlight w:val="none"/>
          <w:lang w:val="zh-CN"/>
        </w:rPr>
        <w:t>。</w:t>
      </w:r>
    </w:p>
    <w:p w14:paraId="68DBF26E">
      <w:pPr>
        <w:pStyle w:val="78"/>
        <w:spacing w:line="360" w:lineRule="auto"/>
        <w:ind w:firstLine="480" w:firstLineChars="200"/>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3</w:t>
      </w:r>
      <w:r>
        <w:rPr>
          <w:rFonts w:hint="eastAsia" w:hAnsi="宋体" w:eastAsia="宋体"/>
          <w:color w:val="000000"/>
          <w:sz w:val="24"/>
          <w:highlight w:val="none"/>
        </w:rPr>
        <w:t>符合本竞争性磋商文件规定的供应商资格要求及项目要求的其它条件，并按照要求提供相关证明材料。</w:t>
      </w:r>
    </w:p>
    <w:p w14:paraId="7A59E542">
      <w:pPr>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4.4供应商应遵守国家法律、法规有关竞争性磋商的规定。</w:t>
      </w:r>
    </w:p>
    <w:p w14:paraId="2FB59F08">
      <w:pPr>
        <w:autoSpaceDE w:val="0"/>
        <w:autoSpaceDN w:val="0"/>
        <w:adjustRightInd w:val="0"/>
        <w:snapToGrid w:val="0"/>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4.5 凡通过磋商小组符合性审查的供应商均为合格供应商。未通过符合性审查的供应商为不合格供应商。</w:t>
      </w:r>
    </w:p>
    <w:p w14:paraId="6460B513">
      <w:pPr>
        <w:spacing w:line="560" w:lineRule="exact"/>
        <w:ind w:firstLine="480" w:firstLineChars="200"/>
        <w:rPr>
          <w:rFonts w:ascii="宋体" w:hAnsi="宋体" w:cs="宋体"/>
          <w:sz w:val="24"/>
          <w:highlight w:val="none"/>
        </w:rPr>
      </w:pPr>
      <w:r>
        <w:rPr>
          <w:rFonts w:hint="eastAsia" w:ascii="宋体" w:hAnsi="宋体" w:cs="宋体"/>
          <w:color w:val="000000"/>
          <w:kern w:val="0"/>
          <w:sz w:val="24"/>
          <w:highlight w:val="none"/>
          <w:lang w:val="zh-CN"/>
        </w:rPr>
        <w:t>注：</w:t>
      </w:r>
      <w:r>
        <w:rPr>
          <w:rFonts w:hint="eastAsia" w:ascii="宋体" w:hAnsi="宋体" w:cs="宋体"/>
          <w:sz w:val="24"/>
          <w:highlight w:val="none"/>
        </w:rPr>
        <w:t>单位负责人为同一人或者存在直接控股、管理关系的不同供应商，不得参加同一合同项下的政府采购活动，并提供承诺。</w:t>
      </w:r>
    </w:p>
    <w:p w14:paraId="70C42FB6">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3FBDC2AF">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665E1597">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504A168">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46DDBF4F">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79E82086">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5676FD3E">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640F78C8">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661DC912">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6398B8BC">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7C6F69E8">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117B1248">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35FFA896">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14:paraId="0C963331">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76B8B134">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2404FD16">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76BE9566">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A5BD2EC">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7F615478">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0DB39597">
      <w:pPr>
        <w:spacing w:line="560" w:lineRule="exact"/>
        <w:ind w:firstLine="480" w:firstLineChars="200"/>
        <w:rPr>
          <w:rFonts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承</w:t>
      </w:r>
      <w:r>
        <w:rPr>
          <w:rFonts w:hint="eastAsia" w:ascii="宋体" w:hAnsi="宋体" w:cs="宋体"/>
          <w:sz w:val="2"/>
          <w:szCs w:val="2"/>
          <w:highlight w:val="none"/>
          <w:lang w:val="en-US" w:eastAsia="zh-CN"/>
        </w:rPr>
        <w:t xml:space="preserve">    </w:t>
      </w:r>
      <w:r>
        <w:rPr>
          <w:rFonts w:hint="eastAsia" w:ascii="宋体" w:hAnsi="宋体" w:cs="宋体"/>
          <w:sz w:val="24"/>
          <w:highlight w:val="none"/>
        </w:rPr>
        <w:t>诺，否则其响应性文件将作为无效处理。</w:t>
      </w:r>
    </w:p>
    <w:p w14:paraId="0DFBE717">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2556C885">
      <w:pPr>
        <w:spacing w:line="560" w:lineRule="exact"/>
        <w:ind w:firstLine="480" w:firstLineChars="200"/>
        <w:rPr>
          <w:rFonts w:ascii="宋体" w:hAnsi="宋体" w:cs="宋体"/>
          <w:i/>
          <w:iCs/>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6A9C6482">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2A3B6CB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6864E2FE">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45494D5B">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72D399E3">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1432C46E">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4976C87E">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6CDA39D9">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10.2响应文件封面要求:列明项目名称、采购编号、供应商名称和地址等信息。</w:t>
      </w:r>
    </w:p>
    <w:p w14:paraId="2B91BFD9">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0517FDA3">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有要求的格式和提供格式的按格式填列，未提供格式的可自行拟定。，</w:t>
      </w:r>
      <w:r>
        <w:rPr>
          <w:rFonts w:hint="eastAsia" w:ascii="宋体" w:hAnsi="宋体" w:cs="宋体"/>
          <w:b/>
          <w:bCs/>
          <w:sz w:val="24"/>
          <w:highlight w:val="none"/>
        </w:rPr>
        <w:t>对于</w:t>
      </w:r>
      <w:r>
        <w:rPr>
          <w:rFonts w:hint="eastAsia" w:ascii="宋体" w:hAnsi="宋体" w:cs="宋体"/>
          <w:b/>
          <w:bCs/>
          <w:sz w:val="24"/>
          <w:highlight w:val="none"/>
          <w:lang w:val="en-US" w:eastAsia="zh-CN"/>
        </w:rPr>
        <w:t>招标文件有要求的格式和</w:t>
      </w:r>
      <w:r>
        <w:rPr>
          <w:rFonts w:hint="eastAsia" w:ascii="宋体" w:hAnsi="宋体" w:cs="宋体"/>
          <w:b/>
          <w:bCs/>
          <w:sz w:val="24"/>
          <w:highlight w:val="none"/>
        </w:rPr>
        <w:t>给定格式的文件内容，必须按照标准格式进行填报；</w:t>
      </w:r>
    </w:p>
    <w:p w14:paraId="3F8037E4">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33A61A0B">
      <w:pPr>
        <w:spacing w:line="560" w:lineRule="exact"/>
        <w:ind w:firstLine="480" w:firstLineChars="200"/>
        <w:rPr>
          <w:rFonts w:ascii="宋体" w:hAnsi="宋体" w:cs="宋体"/>
          <w:sz w:val="24"/>
          <w:highlight w:val="none"/>
        </w:rPr>
      </w:pPr>
      <w:r>
        <w:rPr>
          <w:rFonts w:hint="eastAsia" w:ascii="宋体" w:hAnsi="宋体" w:cs="宋体"/>
          <w:sz w:val="24"/>
          <w:highlight w:val="none"/>
        </w:rPr>
        <w:t>12.1报价包括所投服务、保险、税费、检测、验收和交付后约定期限内免费维保等工作所发生的一切应有费用。</w:t>
      </w:r>
    </w:p>
    <w:p w14:paraId="592F11AA">
      <w:pPr>
        <w:spacing w:line="560" w:lineRule="exact"/>
        <w:ind w:firstLine="480" w:firstLineChars="200"/>
        <w:rPr>
          <w:rFonts w:ascii="宋体" w:hAnsi="宋体" w:cs="宋体"/>
          <w:sz w:val="24"/>
          <w:highlight w:val="none"/>
        </w:rPr>
      </w:pPr>
      <w:r>
        <w:rPr>
          <w:rFonts w:hint="eastAsia" w:ascii="宋体" w:hAnsi="宋体" w:cs="宋体"/>
          <w:sz w:val="24"/>
          <w:highlight w:val="none"/>
        </w:rPr>
        <w:t>12.2经过磋商后进行的报价为供应商的最终报价。</w:t>
      </w:r>
    </w:p>
    <w:p w14:paraId="3BB77DE3">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64FF7964">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62EADFD5">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30B427F3">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0327B1D7">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6AC9C79D">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B003CC9">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43B6D698">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EA44C0B">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58AFD7D5">
      <w:pPr>
        <w:spacing w:line="560" w:lineRule="exact"/>
        <w:ind w:firstLine="480" w:firstLineChars="200"/>
        <w:rPr>
          <w:rFonts w:ascii="宋体" w:hAnsi="宋体" w:cs="宋体"/>
          <w:sz w:val="24"/>
          <w:highlight w:val="none"/>
        </w:rPr>
      </w:pPr>
      <w:r>
        <w:rPr>
          <w:rFonts w:hint="eastAsia" w:ascii="宋体" w:hAnsi="宋体" w:cs="宋体"/>
          <w:sz w:val="24"/>
          <w:highlight w:val="none"/>
        </w:rPr>
        <w:t>14.3供应商提交的资料应证明其满足竞争性磋商文件要求，该文件可以是文字资料、图纸和数据等详细描述的资料。</w:t>
      </w:r>
    </w:p>
    <w:p w14:paraId="3AF1E313">
      <w:pPr>
        <w:spacing w:line="560" w:lineRule="exact"/>
        <w:ind w:firstLine="480" w:firstLineChars="200"/>
        <w:rPr>
          <w:rFonts w:ascii="宋体" w:hAnsi="宋体" w:cs="宋体"/>
          <w:sz w:val="24"/>
          <w:highlight w:val="none"/>
        </w:rPr>
      </w:pPr>
      <w:r>
        <w:rPr>
          <w:rFonts w:hint="eastAsia" w:ascii="宋体" w:hAnsi="宋体" w:cs="宋体"/>
          <w:sz w:val="24"/>
          <w:highlight w:val="none"/>
        </w:rPr>
        <w:t>15电子投标文件制作，见周口市公共资源交易中心网站下载中心版块《投标单位-电子投标文件视频制作手册》的相关规定。</w:t>
      </w:r>
    </w:p>
    <w:p w14:paraId="30DA44A9">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27BE1BC3">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531C1746">
      <w:pPr>
        <w:spacing w:line="360" w:lineRule="auto"/>
        <w:ind w:firstLine="550"/>
        <w:rPr>
          <w:rFonts w:ascii="宋体" w:hAnsi="宋体" w:cs="宋体"/>
          <w:sz w:val="24"/>
          <w:highlight w:val="none"/>
        </w:rPr>
      </w:pPr>
      <w:r>
        <w:rPr>
          <w:rFonts w:hint="eastAsia" w:ascii="宋体" w:hAnsi="宋体" w:cs="宋体"/>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0A9F8824">
      <w:pPr>
        <w:autoSpaceDE w:val="0"/>
        <w:autoSpaceDN w:val="0"/>
        <w:adjustRightInd w:val="0"/>
        <w:spacing w:line="500" w:lineRule="exact"/>
        <w:ind w:firstLine="240" w:firstLineChars="1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w:t>
      </w:r>
      <w:r>
        <w:rPr>
          <w:rFonts w:hint="eastAsia" w:ascii="宋体" w:hAnsi="宋体" w:cs="宋体"/>
          <w:sz w:val="24"/>
          <w:highlight w:val="none"/>
          <w:lang w:eastAsia="zh-CN"/>
        </w:rPr>
        <w:t>http://jyzx.zhoukou.gov.cn/</w:t>
      </w:r>
      <w:r>
        <w:rPr>
          <w:rFonts w:hint="eastAsia" w:ascii="宋体" w:hAnsi="宋体" w:cs="宋体"/>
          <w:sz w:val="24"/>
          <w:highlight w:val="none"/>
        </w:rPr>
        <w:t>）办事指南</w:t>
      </w:r>
      <w:r>
        <w:rPr>
          <w:rFonts w:hint="eastAsia" w:ascii="宋体" w:hAnsi="宋体" w:cs="宋体"/>
          <w:bCs/>
          <w:sz w:val="24"/>
          <w:highlight w:val="none"/>
        </w:rPr>
        <w:t>《不见面开标远程在线解密会员端操作手册操作指南》</w:t>
      </w:r>
      <w:r>
        <w:rPr>
          <w:rFonts w:hint="eastAsia" w:ascii="宋体" w:hAnsi="宋体" w:cs="宋体"/>
          <w:sz w:val="24"/>
          <w:highlight w:val="none"/>
        </w:rPr>
        <w:t>。</w:t>
      </w:r>
    </w:p>
    <w:p w14:paraId="6EA873D7">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7903F7B9">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2FC9A34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0DE777C4">
      <w:pPr>
        <w:pStyle w:val="62"/>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6FDB257F">
      <w:pPr>
        <w:pStyle w:val="62"/>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1BA8ECCA">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6830A5E0">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31F2065E">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2DEE13CF">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79F17A2B">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3BC4F0E8">
      <w:pPr>
        <w:pStyle w:val="62"/>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7F2A2C7D">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713D9480">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06C7D090">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3B8708A5">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56B6B100">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628BE46B">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047BD0C">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2DEBAD18">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F15B0C1">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68451FFD">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72477CDE">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78C94B6F">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4A4837D5">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1532906D">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19A34225">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671A988F">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774E5A4">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676D16D0">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389A4FE5">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7C5BC4E1">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460B4B95">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4A525D74">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515D010A">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3E503B92">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4F28926D">
      <w:pPr>
        <w:spacing w:line="560" w:lineRule="exact"/>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0052B072">
      <w:pPr>
        <w:spacing w:line="560" w:lineRule="exact"/>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19.7.7响应性文件的内容修改处未按规定签名或盖章的；</w:t>
      </w:r>
    </w:p>
    <w:p w14:paraId="66D082FD">
      <w:pPr>
        <w:spacing w:line="560" w:lineRule="exact"/>
        <w:ind w:firstLine="480" w:firstLineChars="200"/>
        <w:rPr>
          <w:rFonts w:ascii="宋体" w:hAnsi="宋体" w:cs="宋体"/>
          <w:sz w:val="24"/>
          <w:highlight w:val="none"/>
        </w:rPr>
      </w:pPr>
      <w:r>
        <w:rPr>
          <w:rFonts w:hint="eastAsia" w:ascii="宋体" w:hAnsi="宋体" w:cs="宋体"/>
          <w:sz w:val="24"/>
          <w:highlight w:val="none"/>
        </w:rPr>
        <w:t>19.7.8违反法律、行政法规、竞争性磋商文件规定的其他情形的。</w:t>
      </w:r>
    </w:p>
    <w:p w14:paraId="5ECB6D7C">
      <w:pPr>
        <w:spacing w:line="360" w:lineRule="auto"/>
        <w:ind w:firstLine="480" w:firstLineChars="200"/>
        <w:rPr>
          <w:rFonts w:ascii="宋体" w:hAnsi="宋体" w:cs="宋体"/>
          <w:sz w:val="24"/>
          <w:highlight w:val="none"/>
        </w:rPr>
      </w:pPr>
      <w:r>
        <w:rPr>
          <w:rFonts w:hint="eastAsia" w:ascii="宋体" w:hAnsi="宋体" w:cs="宋体"/>
          <w:sz w:val="24"/>
          <w:highlight w:val="none"/>
        </w:rPr>
        <w:t>19.7.9不同供应商的电子投标（响应）文件上传计算机的网卡 MAC 地址、CPU 序列号和硬盘序列号等硬件信息相同的;</w:t>
      </w:r>
    </w:p>
    <w:p w14:paraId="0E690B5E">
      <w:pPr>
        <w:spacing w:line="360" w:lineRule="auto"/>
        <w:ind w:firstLine="480" w:firstLineChars="200"/>
        <w:rPr>
          <w:rFonts w:ascii="宋体" w:hAnsi="宋体" w:cs="宋体"/>
          <w:sz w:val="24"/>
          <w:highlight w:val="none"/>
        </w:rPr>
      </w:pPr>
      <w:r>
        <w:rPr>
          <w:rFonts w:hint="eastAsia" w:ascii="宋体" w:hAnsi="宋体" w:cs="宋体"/>
          <w:sz w:val="24"/>
          <w:highlight w:val="none"/>
        </w:rPr>
        <w:t>19.7.10不同供应商的投标（响应）文件由同一电子设备编制，打印、复印、加密或者上传的；</w:t>
      </w:r>
    </w:p>
    <w:p w14:paraId="1A7C7C75">
      <w:pPr>
        <w:spacing w:line="360" w:lineRule="auto"/>
        <w:ind w:firstLine="480" w:firstLineChars="200"/>
        <w:rPr>
          <w:rFonts w:ascii="宋体" w:hAnsi="宋体" w:cs="宋体"/>
          <w:sz w:val="24"/>
          <w:highlight w:val="none"/>
        </w:rPr>
      </w:pPr>
      <w:r>
        <w:rPr>
          <w:rFonts w:hint="eastAsia" w:ascii="宋体" w:hAnsi="宋体" w:cs="宋体"/>
          <w:sz w:val="24"/>
          <w:highlight w:val="none"/>
        </w:rPr>
        <w:t>19.7.11不同供应商的投标（响应）文件由同一人送达或者分发，或者不同供应商联系人为同一人或不同联系人的联系电话一致的；</w:t>
      </w:r>
    </w:p>
    <w:p w14:paraId="526758F5">
      <w:pPr>
        <w:spacing w:line="360" w:lineRule="auto"/>
        <w:ind w:firstLine="480" w:firstLineChars="200"/>
        <w:rPr>
          <w:rFonts w:ascii="宋体" w:hAnsi="宋体" w:cs="宋体"/>
          <w:sz w:val="24"/>
          <w:highlight w:val="none"/>
        </w:rPr>
      </w:pPr>
      <w:r>
        <w:rPr>
          <w:rFonts w:hint="eastAsia" w:ascii="宋体" w:hAnsi="宋体" w:cs="宋体"/>
          <w:sz w:val="24"/>
          <w:highlight w:val="none"/>
        </w:rPr>
        <w:t>19.7.12不同供应商的投标（响应）文件的内容存在两处以上细节错误一致；</w:t>
      </w:r>
    </w:p>
    <w:p w14:paraId="033B5A4D">
      <w:pPr>
        <w:spacing w:line="360" w:lineRule="auto"/>
        <w:ind w:firstLine="480" w:firstLineChars="200"/>
        <w:rPr>
          <w:rFonts w:ascii="宋体" w:hAnsi="宋体" w:cs="宋体"/>
          <w:sz w:val="24"/>
          <w:highlight w:val="none"/>
        </w:rPr>
      </w:pPr>
      <w:r>
        <w:rPr>
          <w:rFonts w:hint="eastAsia" w:ascii="宋体" w:hAnsi="宋体" w:cs="宋体"/>
          <w:sz w:val="24"/>
          <w:highlight w:val="none"/>
        </w:rPr>
        <w:t>19.7.13不同供应商的法定代表人、委托代理人、项目经理、项目负责人等由同一个单位缴纳社会保险或者领取报酬的；</w:t>
      </w:r>
    </w:p>
    <w:p w14:paraId="25BDAA44">
      <w:pPr>
        <w:spacing w:line="360" w:lineRule="auto"/>
        <w:ind w:firstLine="480" w:firstLineChars="200"/>
        <w:rPr>
          <w:highlight w:val="none"/>
        </w:rPr>
      </w:pPr>
      <w:r>
        <w:rPr>
          <w:rFonts w:hint="eastAsia" w:ascii="宋体" w:hAnsi="宋体" w:cs="宋体"/>
          <w:sz w:val="24"/>
          <w:highlight w:val="none"/>
        </w:rPr>
        <w:t>19.7.14不同供应商投标（响应）文件中法定代表人或者负责人签字出自同一人之手。</w:t>
      </w:r>
    </w:p>
    <w:p w14:paraId="76238589">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62736195">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2A93CCDA">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09A8542F">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4F86B55E">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14DFF5E2">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4059F097">
      <w:pPr>
        <w:pStyle w:val="39"/>
        <w:rPr>
          <w:rFonts w:ascii="宋体" w:hAnsi="宋体" w:cs="宋体"/>
          <w:sz w:val="24"/>
          <w:szCs w:val="24"/>
          <w:highlight w:val="none"/>
        </w:rPr>
      </w:pPr>
    </w:p>
    <w:tbl>
      <w:tblPr>
        <w:tblStyle w:val="30"/>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1A01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C9FCB2D">
            <w:pPr>
              <w:pStyle w:val="79"/>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3CA64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1C4436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3EC38AF5">
            <w:pPr>
              <w:pStyle w:val="79"/>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062EA49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5A5AD11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515A1D9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64E3622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1DA8196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18002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7CC5D8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79A657A3">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74FC591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525F258">
            <w:pPr>
              <w:adjustRightInd w:val="0"/>
              <w:snapToGrid w:val="0"/>
              <w:spacing w:line="360" w:lineRule="auto"/>
              <w:ind w:right="-10"/>
              <w:rPr>
                <w:rFonts w:ascii="宋体" w:hAnsi="宋体" w:cs="宋体"/>
                <w:sz w:val="24"/>
                <w:highlight w:val="none"/>
              </w:rPr>
            </w:pPr>
          </w:p>
        </w:tc>
        <w:tc>
          <w:tcPr>
            <w:tcW w:w="2371" w:type="dxa"/>
            <w:vAlign w:val="center"/>
          </w:tcPr>
          <w:p w14:paraId="13C2600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9833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9347A1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0F44258D">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1BB5B7A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1BB0922">
            <w:pPr>
              <w:adjustRightInd w:val="0"/>
              <w:snapToGrid w:val="0"/>
              <w:spacing w:line="360" w:lineRule="auto"/>
              <w:ind w:right="-10"/>
              <w:rPr>
                <w:rFonts w:ascii="宋体" w:hAnsi="宋体" w:cs="宋体"/>
                <w:sz w:val="24"/>
                <w:highlight w:val="none"/>
              </w:rPr>
            </w:pPr>
          </w:p>
        </w:tc>
        <w:tc>
          <w:tcPr>
            <w:tcW w:w="2371" w:type="dxa"/>
            <w:vAlign w:val="center"/>
          </w:tcPr>
          <w:p w14:paraId="3580C4B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3160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1B7D15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778EC4D8">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5D2808B4">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C1D2F88">
            <w:pPr>
              <w:adjustRightInd w:val="0"/>
              <w:snapToGrid w:val="0"/>
              <w:spacing w:line="360" w:lineRule="auto"/>
              <w:ind w:right="-10"/>
              <w:rPr>
                <w:rFonts w:ascii="宋体" w:hAnsi="宋体" w:cs="宋体"/>
                <w:sz w:val="24"/>
                <w:highlight w:val="none"/>
              </w:rPr>
            </w:pPr>
          </w:p>
        </w:tc>
        <w:tc>
          <w:tcPr>
            <w:tcW w:w="2371" w:type="dxa"/>
            <w:vAlign w:val="center"/>
          </w:tcPr>
          <w:p w14:paraId="111F2E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2C3B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AA783E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08365A3B">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69609C8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98057E1">
            <w:pPr>
              <w:adjustRightInd w:val="0"/>
              <w:snapToGrid w:val="0"/>
              <w:spacing w:line="360" w:lineRule="auto"/>
              <w:ind w:right="-10"/>
              <w:rPr>
                <w:rFonts w:ascii="宋体" w:hAnsi="宋体" w:cs="宋体"/>
                <w:sz w:val="24"/>
                <w:highlight w:val="none"/>
              </w:rPr>
            </w:pPr>
          </w:p>
        </w:tc>
        <w:tc>
          <w:tcPr>
            <w:tcW w:w="2371" w:type="dxa"/>
            <w:vAlign w:val="center"/>
          </w:tcPr>
          <w:p w14:paraId="11567E3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A57B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68F80D0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54A976B1">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12D7D2F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E23635B">
            <w:pPr>
              <w:adjustRightInd w:val="0"/>
              <w:snapToGrid w:val="0"/>
              <w:spacing w:line="360" w:lineRule="auto"/>
              <w:ind w:right="-10"/>
              <w:rPr>
                <w:rFonts w:ascii="宋体" w:hAnsi="宋体" w:cs="宋体"/>
                <w:sz w:val="24"/>
                <w:highlight w:val="none"/>
              </w:rPr>
            </w:pPr>
          </w:p>
        </w:tc>
        <w:tc>
          <w:tcPr>
            <w:tcW w:w="2371" w:type="dxa"/>
            <w:vAlign w:val="center"/>
          </w:tcPr>
          <w:p w14:paraId="187AE2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4732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0F533E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4FD5AB75">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7963B13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44B718B">
            <w:pPr>
              <w:adjustRightInd w:val="0"/>
              <w:snapToGrid w:val="0"/>
              <w:spacing w:line="360" w:lineRule="auto"/>
              <w:ind w:right="-10"/>
              <w:rPr>
                <w:rFonts w:ascii="宋体" w:hAnsi="宋体" w:cs="宋体"/>
                <w:sz w:val="24"/>
                <w:highlight w:val="none"/>
              </w:rPr>
            </w:pPr>
          </w:p>
        </w:tc>
        <w:tc>
          <w:tcPr>
            <w:tcW w:w="2371" w:type="dxa"/>
            <w:vAlign w:val="center"/>
          </w:tcPr>
          <w:p w14:paraId="40C62FC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3D7C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395D4D3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2D39B0DC">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0F515749">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8ED8264">
            <w:pPr>
              <w:adjustRightInd w:val="0"/>
              <w:snapToGrid w:val="0"/>
              <w:spacing w:line="360" w:lineRule="auto"/>
              <w:ind w:right="-10"/>
              <w:rPr>
                <w:rFonts w:ascii="宋体" w:hAnsi="宋体" w:cs="宋体"/>
                <w:sz w:val="24"/>
                <w:highlight w:val="none"/>
              </w:rPr>
            </w:pPr>
          </w:p>
        </w:tc>
        <w:tc>
          <w:tcPr>
            <w:tcW w:w="2371" w:type="dxa"/>
            <w:vAlign w:val="center"/>
          </w:tcPr>
          <w:p w14:paraId="79F92AB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9353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54460E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5AC0FACE">
            <w:pPr>
              <w:spacing w:after="50" w:line="360" w:lineRule="auto"/>
              <w:ind w:right="-10"/>
              <w:jc w:val="center"/>
              <w:rPr>
                <w:rFonts w:ascii="宋体" w:hAnsi="宋体" w:cs="宋体"/>
                <w:sz w:val="24"/>
                <w:highlight w:val="none"/>
              </w:rPr>
            </w:pPr>
            <w:r>
              <w:rPr>
                <w:rFonts w:hint="eastAsia" w:ascii="宋体" w:hAnsi="宋体" w:cs="宋体"/>
                <w:bCs/>
                <w:sz w:val="24"/>
                <w:highlight w:val="none"/>
              </w:rPr>
              <w:t>服务期</w:t>
            </w:r>
          </w:p>
        </w:tc>
        <w:tc>
          <w:tcPr>
            <w:tcW w:w="1937" w:type="dxa"/>
            <w:vAlign w:val="center"/>
          </w:tcPr>
          <w:p w14:paraId="09ACC69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FB63584">
            <w:pPr>
              <w:adjustRightInd w:val="0"/>
              <w:snapToGrid w:val="0"/>
              <w:spacing w:line="360" w:lineRule="auto"/>
              <w:ind w:right="-10"/>
              <w:rPr>
                <w:rFonts w:ascii="宋体" w:hAnsi="宋体" w:cs="宋体"/>
                <w:sz w:val="24"/>
                <w:highlight w:val="none"/>
              </w:rPr>
            </w:pPr>
          </w:p>
        </w:tc>
        <w:tc>
          <w:tcPr>
            <w:tcW w:w="2371" w:type="dxa"/>
            <w:vAlign w:val="center"/>
          </w:tcPr>
          <w:p w14:paraId="7B23F47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E6B7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5FD6156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23E9F9DB">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6F19845B">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E5E51D2">
            <w:pPr>
              <w:adjustRightInd w:val="0"/>
              <w:snapToGrid w:val="0"/>
              <w:spacing w:line="360" w:lineRule="auto"/>
              <w:ind w:right="-10"/>
              <w:rPr>
                <w:rFonts w:ascii="宋体" w:hAnsi="宋体" w:cs="宋体"/>
                <w:sz w:val="24"/>
                <w:highlight w:val="none"/>
              </w:rPr>
            </w:pPr>
          </w:p>
        </w:tc>
        <w:tc>
          <w:tcPr>
            <w:tcW w:w="2371" w:type="dxa"/>
            <w:vAlign w:val="center"/>
          </w:tcPr>
          <w:p w14:paraId="0FA7277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0A10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707E53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149DD9F4">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2C087B2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D95082A">
            <w:pPr>
              <w:adjustRightInd w:val="0"/>
              <w:snapToGrid w:val="0"/>
              <w:spacing w:line="360" w:lineRule="auto"/>
              <w:ind w:right="-10"/>
              <w:rPr>
                <w:rFonts w:ascii="宋体" w:hAnsi="宋体" w:cs="宋体"/>
                <w:sz w:val="24"/>
                <w:highlight w:val="none"/>
              </w:rPr>
            </w:pPr>
          </w:p>
        </w:tc>
        <w:tc>
          <w:tcPr>
            <w:tcW w:w="2371" w:type="dxa"/>
            <w:vAlign w:val="center"/>
          </w:tcPr>
          <w:p w14:paraId="6A08A3E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3817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0C93334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00232709">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660BCFDC">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23A0A5D">
            <w:pPr>
              <w:adjustRightInd w:val="0"/>
              <w:snapToGrid w:val="0"/>
              <w:spacing w:line="360" w:lineRule="auto"/>
              <w:ind w:right="-10"/>
              <w:rPr>
                <w:rFonts w:ascii="宋体" w:hAnsi="宋体" w:cs="宋体"/>
                <w:sz w:val="24"/>
                <w:highlight w:val="none"/>
              </w:rPr>
            </w:pPr>
          </w:p>
        </w:tc>
        <w:tc>
          <w:tcPr>
            <w:tcW w:w="2371" w:type="dxa"/>
            <w:vAlign w:val="center"/>
          </w:tcPr>
          <w:p w14:paraId="3521ADB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CBC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35AF30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27B9442A">
            <w:pPr>
              <w:spacing w:after="50" w:line="360" w:lineRule="auto"/>
              <w:ind w:right="-10"/>
              <w:jc w:val="center"/>
              <w:rPr>
                <w:rFonts w:ascii="宋体" w:hAnsi="宋体" w:cs="宋体"/>
                <w:bCs/>
                <w:sz w:val="24"/>
                <w:highlight w:val="none"/>
              </w:rPr>
            </w:pPr>
          </w:p>
        </w:tc>
        <w:tc>
          <w:tcPr>
            <w:tcW w:w="1937" w:type="dxa"/>
            <w:vAlign w:val="center"/>
          </w:tcPr>
          <w:p w14:paraId="6DEBA34E">
            <w:pPr>
              <w:spacing w:after="50" w:line="360" w:lineRule="auto"/>
              <w:ind w:right="-10"/>
              <w:jc w:val="center"/>
              <w:rPr>
                <w:rFonts w:ascii="宋体" w:hAnsi="宋体" w:cs="宋体"/>
                <w:sz w:val="24"/>
                <w:highlight w:val="none"/>
              </w:rPr>
            </w:pPr>
          </w:p>
        </w:tc>
        <w:tc>
          <w:tcPr>
            <w:tcW w:w="825" w:type="dxa"/>
            <w:vAlign w:val="center"/>
          </w:tcPr>
          <w:p w14:paraId="50AD0E48">
            <w:pPr>
              <w:adjustRightInd w:val="0"/>
              <w:snapToGrid w:val="0"/>
              <w:spacing w:line="360" w:lineRule="auto"/>
              <w:ind w:right="-10"/>
              <w:rPr>
                <w:rFonts w:ascii="宋体" w:hAnsi="宋体" w:cs="宋体"/>
                <w:sz w:val="24"/>
                <w:highlight w:val="none"/>
              </w:rPr>
            </w:pPr>
          </w:p>
        </w:tc>
        <w:tc>
          <w:tcPr>
            <w:tcW w:w="2371" w:type="dxa"/>
            <w:vAlign w:val="center"/>
          </w:tcPr>
          <w:p w14:paraId="739B9B9D">
            <w:pPr>
              <w:adjustRightInd w:val="0"/>
              <w:snapToGrid w:val="0"/>
              <w:spacing w:line="360" w:lineRule="auto"/>
              <w:ind w:right="-10"/>
              <w:jc w:val="center"/>
              <w:rPr>
                <w:rFonts w:ascii="宋体" w:hAnsi="宋体" w:cs="宋体"/>
                <w:sz w:val="24"/>
                <w:highlight w:val="none"/>
              </w:rPr>
            </w:pPr>
          </w:p>
        </w:tc>
      </w:tr>
      <w:tr w14:paraId="23AB1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C4984A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2FD12B1B">
            <w:pPr>
              <w:spacing w:after="50" w:line="360" w:lineRule="auto"/>
              <w:ind w:right="-10"/>
              <w:jc w:val="center"/>
              <w:rPr>
                <w:rFonts w:ascii="宋体" w:hAnsi="宋体" w:cs="宋体"/>
                <w:sz w:val="24"/>
                <w:highlight w:val="none"/>
              </w:rPr>
            </w:pPr>
          </w:p>
        </w:tc>
        <w:tc>
          <w:tcPr>
            <w:tcW w:w="1937" w:type="dxa"/>
            <w:vAlign w:val="center"/>
          </w:tcPr>
          <w:p w14:paraId="54FB9D8B">
            <w:pPr>
              <w:spacing w:after="50" w:line="360" w:lineRule="auto"/>
              <w:ind w:right="-10"/>
              <w:jc w:val="center"/>
              <w:rPr>
                <w:rFonts w:ascii="宋体" w:hAnsi="宋体" w:cs="宋体"/>
                <w:sz w:val="24"/>
                <w:highlight w:val="none"/>
              </w:rPr>
            </w:pPr>
          </w:p>
        </w:tc>
        <w:tc>
          <w:tcPr>
            <w:tcW w:w="825" w:type="dxa"/>
            <w:vAlign w:val="center"/>
          </w:tcPr>
          <w:p w14:paraId="756C84A3">
            <w:pPr>
              <w:adjustRightInd w:val="0"/>
              <w:snapToGrid w:val="0"/>
              <w:spacing w:line="360" w:lineRule="auto"/>
              <w:ind w:right="-10"/>
              <w:rPr>
                <w:rFonts w:ascii="宋体" w:hAnsi="宋体" w:cs="宋体"/>
                <w:sz w:val="24"/>
                <w:highlight w:val="none"/>
              </w:rPr>
            </w:pPr>
          </w:p>
        </w:tc>
        <w:tc>
          <w:tcPr>
            <w:tcW w:w="2371" w:type="dxa"/>
            <w:vAlign w:val="center"/>
          </w:tcPr>
          <w:p w14:paraId="794ABEC2">
            <w:pPr>
              <w:adjustRightInd w:val="0"/>
              <w:snapToGrid w:val="0"/>
              <w:spacing w:line="360" w:lineRule="auto"/>
              <w:ind w:right="-10"/>
              <w:jc w:val="center"/>
              <w:rPr>
                <w:rFonts w:ascii="宋体" w:hAnsi="宋体" w:cs="宋体"/>
                <w:sz w:val="24"/>
                <w:highlight w:val="none"/>
              </w:rPr>
            </w:pPr>
          </w:p>
        </w:tc>
      </w:tr>
      <w:tr w14:paraId="6831E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403978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781F5FC0">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1D77192A">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5B2A34DE">
      <w:pPr>
        <w:pStyle w:val="39"/>
        <w:rPr>
          <w:rFonts w:ascii="宋体" w:hAnsi="宋体" w:cs="宋体"/>
          <w:sz w:val="24"/>
          <w:szCs w:val="24"/>
          <w:highlight w:val="none"/>
        </w:rPr>
      </w:pPr>
    </w:p>
    <w:p w14:paraId="3C2E2FD7">
      <w:pPr>
        <w:pStyle w:val="39"/>
        <w:rPr>
          <w:rFonts w:ascii="宋体" w:hAnsi="宋体" w:cs="宋体"/>
          <w:sz w:val="24"/>
          <w:szCs w:val="24"/>
          <w:highlight w:val="none"/>
        </w:rPr>
      </w:pPr>
    </w:p>
    <w:p w14:paraId="65510C0C">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27F4C12C">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9ABEC4D">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101A1F3">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0A53F07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4E7A927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1EBDF638">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56046EC6">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67359785">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4FD15011">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6E6A1F2C">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14EDEBB7">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2EADC7A2">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469E8241">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3082B118">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0819B600">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CE3F247">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265A32B5">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lang w:val="zh-CN"/>
        </w:rPr>
        <w:t>21.4.2供应商应当按照竞争性磋商文件的变动情况和竞争性磋商小组的要求重新提交响应性文件，并由其法定代表人或授权代表签字或者加盖公章。</w:t>
      </w:r>
    </w:p>
    <w:p w14:paraId="0A8E0A93">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21.5报价</w:t>
      </w:r>
    </w:p>
    <w:p w14:paraId="6AACD132">
      <w:pPr>
        <w:pStyle w:val="41"/>
        <w:ind w:firstLine="480" w:firstLineChars="200"/>
        <w:rPr>
          <w:rFonts w:ascii="宋体" w:hAnsi="宋体" w:cs="宋体"/>
          <w:color w:val="FF0000"/>
          <w:sz w:val="24"/>
          <w:highlight w:val="none"/>
        </w:rPr>
      </w:pP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供应商的投标函和开标记录表</w:t>
      </w:r>
    </w:p>
    <w:p w14:paraId="505A891A">
      <w:pPr>
        <w:pStyle w:val="41"/>
        <w:ind w:firstLine="240"/>
        <w:rPr>
          <w:rFonts w:ascii="宋体" w:hAnsi="宋体" w:cs="宋体"/>
          <w:color w:val="FF0000"/>
          <w:sz w:val="24"/>
          <w:highlight w:val="none"/>
        </w:rPr>
      </w:pPr>
    </w:p>
    <w:p w14:paraId="02281ADA">
      <w:pPr>
        <w:rPr>
          <w:rFonts w:hint="eastAsia" w:ascii="宋体" w:hAnsi="宋体" w:cs="宋体"/>
          <w:b/>
          <w:sz w:val="24"/>
          <w:highlight w:val="none"/>
        </w:rPr>
      </w:pPr>
      <w:r>
        <w:rPr>
          <w:rFonts w:hint="eastAsia" w:ascii="宋体" w:hAnsi="宋体" w:cs="宋体"/>
          <w:b/>
          <w:sz w:val="24"/>
          <w:highlight w:val="none"/>
        </w:rPr>
        <w:br w:type="page"/>
      </w:r>
    </w:p>
    <w:p w14:paraId="6AF6E808">
      <w:pPr>
        <w:spacing w:line="720" w:lineRule="auto"/>
        <w:jc w:val="center"/>
        <w:rPr>
          <w:rFonts w:ascii="宋体" w:hAnsi="宋体" w:cs="宋体"/>
          <w:b/>
          <w:color w:val="0C0C0C" w:themeColor="text1" w:themeTint="F2"/>
          <w:sz w:val="24"/>
          <w:highlight w:val="none"/>
        </w:rPr>
      </w:pPr>
      <w:r>
        <w:rPr>
          <w:rFonts w:hint="eastAsia" w:ascii="宋体" w:hAnsi="宋体" w:cs="宋体"/>
          <w:b/>
          <w:color w:val="auto"/>
          <w:sz w:val="24"/>
          <w:highlight w:val="none"/>
        </w:rPr>
        <w:t>六、评定标准</w:t>
      </w:r>
    </w:p>
    <w:p w14:paraId="3EAED460">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39BBF2C1">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06A1D581">
      <w:pPr>
        <w:spacing w:line="460" w:lineRule="exact"/>
        <w:ind w:firstLine="480" w:firstLineChars="200"/>
        <w:rPr>
          <w:rFonts w:hint="eastAsia" w:ascii="宋体" w:hAnsi="宋体" w:cs="宋体"/>
          <w:bCs/>
          <w:sz w:val="24"/>
          <w:highlight w:val="none"/>
        </w:rPr>
      </w:pPr>
      <w:r>
        <w:rPr>
          <w:rFonts w:hint="eastAsia" w:ascii="宋体" w:hAnsi="宋体" w:cs="宋体"/>
          <w:bCs/>
          <w:sz w:val="24"/>
          <w:highlight w:val="none"/>
        </w:rPr>
        <w:t>采购代理机构在评标结束后1个工作日内将评标报告送采购人。采购人自收到评标报告之日起</w:t>
      </w:r>
      <w:r>
        <w:rPr>
          <w:rFonts w:hint="eastAsia" w:ascii="宋体" w:hAnsi="宋体" w:cs="宋体"/>
          <w:bCs/>
          <w:sz w:val="24"/>
          <w:highlight w:val="none"/>
          <w:lang w:val="en-US" w:eastAsia="zh-CN"/>
        </w:rPr>
        <w:t>1</w:t>
      </w:r>
      <w:r>
        <w:rPr>
          <w:rFonts w:hint="eastAsia" w:ascii="宋体" w:hAnsi="宋体" w:cs="宋体"/>
          <w:bCs/>
          <w:sz w:val="24"/>
          <w:highlight w:val="none"/>
        </w:rPr>
        <w:t>个工作日内，在评标报告确定的中标候选人名单中确定中标人。</w:t>
      </w:r>
    </w:p>
    <w:p w14:paraId="47196B18">
      <w:pPr>
        <w:pStyle w:val="17"/>
        <w:spacing w:after="0" w:line="560" w:lineRule="exact"/>
        <w:ind w:left="0" w:leftChars="0" w:firstLine="480" w:firstLineChars="200"/>
        <w:rPr>
          <w:rFonts w:hint="eastAsia"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178B83CB">
      <w:pPr>
        <w:spacing w:line="360" w:lineRule="auto"/>
        <w:ind w:right="-92" w:rightChars="-44"/>
        <w:rPr>
          <w:rFonts w:hint="eastAsia" w:ascii="宋体" w:hAnsi="宋体" w:cs="宋体"/>
          <w:sz w:val="24"/>
          <w:highlight w:val="none"/>
        </w:rPr>
      </w:pPr>
    </w:p>
    <w:p w14:paraId="2BB23006">
      <w:pPr>
        <w:spacing w:line="360" w:lineRule="auto"/>
        <w:ind w:right="-92" w:rightChars="-44"/>
        <w:rPr>
          <w:rFonts w:hint="eastAsia" w:ascii="宋体" w:hAnsi="宋体" w:cs="宋体"/>
          <w:sz w:val="24"/>
          <w:highlight w:val="none"/>
        </w:rPr>
      </w:pPr>
      <w:r>
        <w:rPr>
          <w:rFonts w:hint="eastAsia" w:ascii="宋体" w:hAnsi="宋体" w:cs="宋体"/>
          <w:sz w:val="24"/>
          <w:highlight w:val="none"/>
        </w:rPr>
        <w:t>评标方法：</w:t>
      </w:r>
    </w:p>
    <w:tbl>
      <w:tblPr>
        <w:tblStyle w:val="3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426"/>
        <w:gridCol w:w="4154"/>
        <w:gridCol w:w="2342"/>
      </w:tblGrid>
      <w:tr w14:paraId="113AB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626" w:type="pct"/>
            <w:vAlign w:val="center"/>
          </w:tcPr>
          <w:p w14:paraId="0A577152">
            <w:pPr>
              <w:keepNext w:val="0"/>
              <w:keepLines w:val="0"/>
              <w:pageBreakBefore w:val="0"/>
              <w:widowControl/>
              <w:kinsoku/>
              <w:wordWrap/>
              <w:overflowPunct/>
              <w:topLinePunct w:val="0"/>
              <w:autoSpaceDE/>
              <w:autoSpaceDN/>
              <w:bidi w:val="0"/>
              <w:snapToGrid w:val="0"/>
              <w:spacing w:line="288" w:lineRule="auto"/>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评分指标</w:t>
            </w:r>
          </w:p>
        </w:tc>
        <w:tc>
          <w:tcPr>
            <w:tcW w:w="787" w:type="pct"/>
            <w:vAlign w:val="center"/>
          </w:tcPr>
          <w:p w14:paraId="6F31A8E2">
            <w:pPr>
              <w:keepNext w:val="0"/>
              <w:keepLines w:val="0"/>
              <w:pageBreakBefore w:val="0"/>
              <w:widowControl/>
              <w:kinsoku/>
              <w:wordWrap/>
              <w:overflowPunct/>
              <w:topLinePunct w:val="0"/>
              <w:autoSpaceDE/>
              <w:autoSpaceDN/>
              <w:bidi w:val="0"/>
              <w:snapToGrid w:val="0"/>
              <w:spacing w:line="288" w:lineRule="auto"/>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分值</w:t>
            </w:r>
          </w:p>
        </w:tc>
        <w:tc>
          <w:tcPr>
            <w:tcW w:w="2293" w:type="pct"/>
            <w:vAlign w:val="center"/>
          </w:tcPr>
          <w:p w14:paraId="30631C06">
            <w:pPr>
              <w:keepNext w:val="0"/>
              <w:keepLines w:val="0"/>
              <w:pageBreakBefore w:val="0"/>
              <w:widowControl/>
              <w:kinsoku/>
              <w:wordWrap/>
              <w:overflowPunct/>
              <w:topLinePunct w:val="0"/>
              <w:autoSpaceDE/>
              <w:autoSpaceDN/>
              <w:bidi w:val="0"/>
              <w:snapToGrid w:val="0"/>
              <w:spacing w:line="288" w:lineRule="auto"/>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指标说明及评分标准</w:t>
            </w:r>
          </w:p>
        </w:tc>
        <w:tc>
          <w:tcPr>
            <w:tcW w:w="1293" w:type="pct"/>
            <w:vAlign w:val="center"/>
          </w:tcPr>
          <w:p w14:paraId="2B806E52">
            <w:pPr>
              <w:keepNext w:val="0"/>
              <w:keepLines w:val="0"/>
              <w:pageBreakBefore w:val="0"/>
              <w:widowControl/>
              <w:kinsoku/>
              <w:wordWrap/>
              <w:overflowPunct/>
              <w:topLinePunct w:val="0"/>
              <w:autoSpaceDE/>
              <w:autoSpaceDN/>
              <w:bidi w:val="0"/>
              <w:snapToGrid w:val="0"/>
              <w:spacing w:line="288" w:lineRule="auto"/>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评分依据</w:t>
            </w:r>
          </w:p>
        </w:tc>
      </w:tr>
      <w:tr w14:paraId="32263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626" w:type="pct"/>
            <w:vAlign w:val="center"/>
          </w:tcPr>
          <w:p w14:paraId="01B00E51">
            <w:pPr>
              <w:keepNext w:val="0"/>
              <w:keepLines w:val="0"/>
              <w:pageBreakBefore w:val="0"/>
              <w:widowControl/>
              <w:kinsoku/>
              <w:wordWrap/>
              <w:overflowPunct/>
              <w:topLinePunct w:val="0"/>
              <w:autoSpaceDE/>
              <w:autoSpaceDN/>
              <w:bidi w:val="0"/>
              <w:snapToGrid w:val="0"/>
              <w:spacing w:line="288" w:lineRule="auto"/>
              <w:jc w:val="left"/>
              <w:textAlignment w:val="auto"/>
              <w:rPr>
                <w:rFonts w:hint="eastAsia" w:ascii="宋体" w:hAnsi="宋体" w:eastAsia="宋体" w:cs="宋体"/>
                <w:b w:val="0"/>
                <w:bCs w:val="0"/>
                <w:color w:val="000000" w:themeColor="text1"/>
                <w:sz w:val="24"/>
                <w:szCs w:val="24"/>
                <w:highlight w:val="none"/>
              </w:rPr>
            </w:pPr>
            <w:r>
              <w:rPr>
                <w:rFonts w:hint="eastAsia" w:ascii="宋体" w:hAnsi="宋体" w:eastAsia="宋体" w:cs="宋体"/>
                <w:b w:val="0"/>
                <w:bCs w:val="0"/>
                <w:color w:val="000000" w:themeColor="text1"/>
                <w:sz w:val="24"/>
                <w:szCs w:val="24"/>
                <w:highlight w:val="none"/>
              </w:rPr>
              <w:t>报价得分（</w:t>
            </w:r>
            <w:r>
              <w:rPr>
                <w:rFonts w:hint="eastAsia" w:ascii="宋体" w:hAnsi="宋体" w:cs="宋体"/>
                <w:b w:val="0"/>
                <w:bCs w:val="0"/>
                <w:color w:val="000000" w:themeColor="text1"/>
                <w:sz w:val="24"/>
                <w:szCs w:val="24"/>
                <w:highlight w:val="none"/>
                <w:lang w:val="en-US" w:eastAsia="zh-CN"/>
              </w:rPr>
              <w:t>10</w:t>
            </w:r>
            <w:r>
              <w:rPr>
                <w:rFonts w:hint="eastAsia" w:ascii="宋体" w:hAnsi="宋体" w:eastAsia="宋体" w:cs="宋体"/>
                <w:b w:val="0"/>
                <w:bCs w:val="0"/>
                <w:color w:val="000000" w:themeColor="text1"/>
                <w:sz w:val="24"/>
                <w:szCs w:val="24"/>
                <w:highlight w:val="none"/>
              </w:rPr>
              <w:t>分）</w:t>
            </w:r>
          </w:p>
        </w:tc>
        <w:tc>
          <w:tcPr>
            <w:tcW w:w="787" w:type="pct"/>
            <w:vAlign w:val="center"/>
          </w:tcPr>
          <w:p w14:paraId="5B03E135">
            <w:pPr>
              <w:keepNext w:val="0"/>
              <w:keepLines w:val="0"/>
              <w:pageBreakBefore w:val="0"/>
              <w:widowControl/>
              <w:kinsoku/>
              <w:wordWrap/>
              <w:overflowPunct/>
              <w:topLinePunct w:val="0"/>
              <w:autoSpaceDE/>
              <w:autoSpaceDN/>
              <w:bidi w:val="0"/>
              <w:snapToGrid w:val="0"/>
              <w:spacing w:line="288" w:lineRule="auto"/>
              <w:jc w:val="center"/>
              <w:textAlignment w:val="auto"/>
              <w:rPr>
                <w:rFonts w:hint="eastAsia" w:ascii="宋体" w:hAnsi="宋体" w:eastAsia="宋体" w:cs="宋体"/>
                <w:b w:val="0"/>
                <w:bCs w:val="0"/>
                <w:color w:val="000000" w:themeColor="text1"/>
                <w:sz w:val="24"/>
                <w:szCs w:val="24"/>
                <w:highlight w:val="none"/>
              </w:rPr>
            </w:pPr>
            <w:r>
              <w:rPr>
                <w:rFonts w:hint="eastAsia" w:ascii="宋体" w:hAnsi="宋体" w:eastAsia="宋体" w:cs="宋体"/>
                <w:b w:val="0"/>
                <w:bCs w:val="0"/>
                <w:color w:val="000000" w:themeColor="text1"/>
                <w:sz w:val="24"/>
                <w:szCs w:val="24"/>
                <w:highlight w:val="none"/>
              </w:rPr>
              <w:t>报价</w:t>
            </w:r>
          </w:p>
          <w:p w14:paraId="11239E63">
            <w:pPr>
              <w:keepNext w:val="0"/>
              <w:keepLines w:val="0"/>
              <w:pageBreakBefore w:val="0"/>
              <w:widowControl/>
              <w:kinsoku/>
              <w:wordWrap/>
              <w:overflowPunct/>
              <w:topLinePunct w:val="0"/>
              <w:autoSpaceDE/>
              <w:autoSpaceDN/>
              <w:bidi w:val="0"/>
              <w:snapToGrid w:val="0"/>
              <w:spacing w:line="288" w:lineRule="auto"/>
              <w:jc w:val="center"/>
              <w:textAlignment w:val="auto"/>
              <w:rPr>
                <w:rFonts w:hint="eastAsia" w:ascii="宋体" w:hAnsi="宋体" w:eastAsia="宋体" w:cs="宋体"/>
                <w:b w:val="0"/>
                <w:bCs w:val="0"/>
                <w:color w:val="000000" w:themeColor="text1"/>
                <w:sz w:val="24"/>
                <w:szCs w:val="24"/>
                <w:highlight w:val="none"/>
              </w:rPr>
            </w:pPr>
            <w:r>
              <w:rPr>
                <w:rFonts w:hint="eastAsia" w:ascii="宋体" w:hAnsi="宋体" w:eastAsia="宋体" w:cs="宋体"/>
                <w:b w:val="0"/>
                <w:bCs w:val="0"/>
                <w:color w:val="000000" w:themeColor="text1"/>
                <w:sz w:val="24"/>
                <w:szCs w:val="24"/>
                <w:highlight w:val="none"/>
              </w:rPr>
              <w:t>（</w:t>
            </w:r>
            <w:r>
              <w:rPr>
                <w:rFonts w:hint="eastAsia" w:ascii="宋体" w:hAnsi="宋体" w:cs="宋体"/>
                <w:b w:val="0"/>
                <w:bCs w:val="0"/>
                <w:color w:val="000000" w:themeColor="text1"/>
                <w:sz w:val="24"/>
                <w:szCs w:val="24"/>
                <w:highlight w:val="none"/>
                <w:lang w:val="en-US" w:eastAsia="zh-CN"/>
              </w:rPr>
              <w:t>10</w:t>
            </w:r>
            <w:r>
              <w:rPr>
                <w:rFonts w:hint="eastAsia" w:ascii="宋体" w:hAnsi="宋体" w:eastAsia="宋体" w:cs="宋体"/>
                <w:b w:val="0"/>
                <w:bCs w:val="0"/>
                <w:color w:val="000000" w:themeColor="text1"/>
                <w:sz w:val="24"/>
                <w:szCs w:val="24"/>
                <w:highlight w:val="none"/>
              </w:rPr>
              <w:t>分）</w:t>
            </w:r>
          </w:p>
        </w:tc>
        <w:tc>
          <w:tcPr>
            <w:tcW w:w="3586" w:type="pct"/>
            <w:gridSpan w:val="2"/>
            <w:vAlign w:val="center"/>
          </w:tcPr>
          <w:p w14:paraId="249FD0E4">
            <w:pPr>
              <w:keepNext w:val="0"/>
              <w:keepLines w:val="0"/>
              <w:pageBreakBefore w:val="0"/>
              <w:kinsoku/>
              <w:wordWrap/>
              <w:overflowPunct/>
              <w:topLinePunct w:val="0"/>
              <w:autoSpaceDE/>
              <w:autoSpaceDN/>
              <w:bidi w:val="0"/>
              <w:snapToGrid w:val="0"/>
              <w:spacing w:line="288"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满足磋商文件要求且最后报价最低的供应商的价格为磋商基准价，其价格分为满分。其他供应商的价格分统一按照下列公式计算：</w:t>
            </w:r>
          </w:p>
          <w:p w14:paraId="254E124F">
            <w:pPr>
              <w:keepNext w:val="0"/>
              <w:keepLines w:val="0"/>
              <w:pageBreakBefore w:val="0"/>
              <w:kinsoku/>
              <w:wordWrap/>
              <w:overflowPunct/>
              <w:topLinePunct w:val="0"/>
              <w:autoSpaceDE/>
              <w:autoSpaceDN/>
              <w:bidi w:val="0"/>
              <w:snapToGrid w:val="0"/>
              <w:spacing w:line="288" w:lineRule="auto"/>
              <w:ind w:firstLine="480" w:firstLineChars="200"/>
              <w:textAlignment w:val="auto"/>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rPr>
              <w:t>磋商报价得分=（磋商基准价/最后磋商报价）</w:t>
            </w:r>
            <w:r>
              <w:rPr>
                <w:rFonts w:hint="eastAsia" w:ascii="宋体" w:hAnsi="宋体" w:eastAsia="宋体" w:cs="宋体"/>
                <w:bCs/>
                <w:sz w:val="24"/>
                <w:szCs w:val="24"/>
                <w:highlight w:val="none"/>
                <w:lang w:val="en-US" w:eastAsia="zh-CN"/>
              </w:rPr>
              <w:t>×</w:t>
            </w:r>
            <w:r>
              <w:rPr>
                <w:rFonts w:hint="eastAsia" w:ascii="宋体" w:hAnsi="宋体" w:cs="宋体"/>
                <w:bCs/>
                <w:sz w:val="24"/>
                <w:szCs w:val="24"/>
                <w:highlight w:val="none"/>
                <w:lang w:val="en-US" w:eastAsia="zh-CN"/>
              </w:rPr>
              <w:t>10</w:t>
            </w:r>
          </w:p>
          <w:p w14:paraId="11EC91A9">
            <w:pPr>
              <w:keepNext w:val="0"/>
              <w:keepLines w:val="0"/>
              <w:pageBreakBefore w:val="0"/>
              <w:tabs>
                <w:tab w:val="left" w:pos="5130"/>
              </w:tabs>
              <w:kinsoku/>
              <w:wordWrap/>
              <w:overflowPunct/>
              <w:topLinePunct w:val="0"/>
              <w:autoSpaceDE/>
              <w:autoSpaceDN/>
              <w:bidi w:val="0"/>
              <w:adjustRightInd w:val="0"/>
              <w:snapToGrid w:val="0"/>
              <w:spacing w:line="288" w:lineRule="auto"/>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备注：价格分计算保留小数点后二位。</w:t>
            </w:r>
          </w:p>
          <w:p w14:paraId="21716739">
            <w:pPr>
              <w:pStyle w:val="28"/>
              <w:keepNext w:val="0"/>
              <w:keepLines w:val="0"/>
              <w:pageBreakBefore w:val="0"/>
              <w:kinsoku/>
              <w:wordWrap/>
              <w:overflowPunct/>
              <w:topLinePunct w:val="0"/>
              <w:autoSpaceDE/>
              <w:autoSpaceDN/>
              <w:bidi w:val="0"/>
              <w:snapToGrid w:val="0"/>
              <w:spacing w:after="0" w:line="288" w:lineRule="auto"/>
              <w:ind w:right="-21" w:firstLine="0" w:firstLineChars="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根据财政部、工信部关于印发《政府采购促进中小企业发展管理办法》的通知（财库〔2022〕19号 ）文件规定：</w:t>
            </w:r>
          </w:p>
          <w:p w14:paraId="1A38E51A">
            <w:pPr>
              <w:pStyle w:val="28"/>
              <w:keepNext w:val="0"/>
              <w:keepLines w:val="0"/>
              <w:pageBreakBefore w:val="0"/>
              <w:kinsoku/>
              <w:wordWrap/>
              <w:overflowPunct/>
              <w:topLinePunct w:val="0"/>
              <w:autoSpaceDE/>
              <w:autoSpaceDN/>
              <w:bidi w:val="0"/>
              <w:snapToGrid w:val="0"/>
              <w:spacing w:after="0" w:line="288" w:lineRule="auto"/>
              <w:ind w:right="-21" w:firstLine="0" w:firstLineChars="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（1）对小微企业报价给予</w:t>
            </w:r>
            <w:r>
              <w:rPr>
                <w:rFonts w:hint="eastAsia" w:ascii="宋体" w:hAnsi="宋体" w:eastAsia="宋体" w:cs="宋体"/>
                <w:bCs/>
                <w:sz w:val="24"/>
                <w:szCs w:val="24"/>
                <w:highlight w:val="none"/>
                <w:lang w:val="en-US" w:eastAsia="zh-CN"/>
              </w:rPr>
              <w:t>20</w:t>
            </w:r>
            <w:r>
              <w:rPr>
                <w:rFonts w:hint="eastAsia" w:ascii="宋体" w:hAnsi="宋体" w:eastAsia="宋体" w:cs="宋体"/>
                <w:bCs/>
                <w:sz w:val="24"/>
                <w:szCs w:val="24"/>
                <w:highlight w:val="none"/>
              </w:rPr>
              <w:t>%扣除，请按照《政府采购促进中小企业发展管理办法》要求提供中小企业声明函。</w:t>
            </w:r>
          </w:p>
          <w:p w14:paraId="3AD94C02">
            <w:pPr>
              <w:pStyle w:val="28"/>
              <w:keepNext w:val="0"/>
              <w:keepLines w:val="0"/>
              <w:pageBreakBefore w:val="0"/>
              <w:kinsoku/>
              <w:wordWrap/>
              <w:overflowPunct/>
              <w:topLinePunct w:val="0"/>
              <w:autoSpaceDE/>
              <w:autoSpaceDN/>
              <w:bidi w:val="0"/>
              <w:snapToGrid w:val="0"/>
              <w:spacing w:after="0" w:line="288" w:lineRule="auto"/>
              <w:ind w:right="-21" w:firstLine="0" w:firstLineChars="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（2）关于监狱企业：视同小微企业。须提供由省级以上监狱管理局、戒毒管理局（含新疆生产建设兵团）出具的属于监狱企业的证明文件，否则不考虑价格扣除。</w:t>
            </w:r>
          </w:p>
          <w:p w14:paraId="032979AC">
            <w:pPr>
              <w:pStyle w:val="28"/>
              <w:keepNext w:val="0"/>
              <w:keepLines w:val="0"/>
              <w:pageBreakBefore w:val="0"/>
              <w:kinsoku/>
              <w:wordWrap/>
              <w:overflowPunct/>
              <w:topLinePunct w:val="0"/>
              <w:autoSpaceDE/>
              <w:autoSpaceDN/>
              <w:bidi w:val="0"/>
              <w:snapToGrid w:val="0"/>
              <w:spacing w:after="0" w:line="288" w:lineRule="auto"/>
              <w:ind w:right="-21" w:firstLine="0" w:firstLineChars="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29EFBB3F">
            <w:pPr>
              <w:keepNext w:val="0"/>
              <w:keepLines w:val="0"/>
              <w:pageBreakBefore w:val="0"/>
              <w:widowControl/>
              <w:kinsoku/>
              <w:wordWrap/>
              <w:overflowPunct/>
              <w:topLinePunct w:val="0"/>
              <w:autoSpaceDE/>
              <w:autoSpaceDN/>
              <w:bidi w:val="0"/>
              <w:snapToGrid w:val="0"/>
              <w:spacing w:line="288" w:lineRule="auto"/>
              <w:jc w:val="left"/>
              <w:textAlignment w:val="auto"/>
              <w:rPr>
                <w:rFonts w:hint="eastAsia" w:ascii="宋体" w:hAnsi="宋体" w:eastAsia="宋体" w:cs="宋体"/>
                <w:sz w:val="24"/>
                <w:szCs w:val="24"/>
                <w:highlight w:val="none"/>
              </w:rPr>
            </w:pPr>
            <w:r>
              <w:rPr>
                <w:rFonts w:hint="eastAsia" w:ascii="宋体" w:hAnsi="宋体" w:eastAsia="宋体" w:cs="宋体"/>
                <w:bCs/>
                <w:sz w:val="24"/>
                <w:szCs w:val="24"/>
                <w:highlight w:val="none"/>
              </w:rPr>
              <w:t>（4）没有提供有效证明材料的供应商将被视为不接受投标总价的扣除，用原投标总价参与评审。</w:t>
            </w:r>
          </w:p>
        </w:tc>
      </w:tr>
      <w:tr w14:paraId="533DF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626" w:type="pct"/>
            <w:vMerge w:val="restart"/>
            <w:vAlign w:val="center"/>
          </w:tcPr>
          <w:p w14:paraId="532C67C2">
            <w:pPr>
              <w:keepNext w:val="0"/>
              <w:keepLines w:val="0"/>
              <w:pageBreakBefore w:val="0"/>
              <w:widowControl/>
              <w:kinsoku/>
              <w:wordWrap/>
              <w:overflowPunct/>
              <w:topLinePunct w:val="0"/>
              <w:autoSpaceDE/>
              <w:autoSpaceDN/>
              <w:bidi w:val="0"/>
              <w:snapToGrid w:val="0"/>
              <w:spacing w:line="288" w:lineRule="auto"/>
              <w:jc w:val="center"/>
              <w:textAlignment w:val="auto"/>
              <w:rPr>
                <w:rFonts w:hint="eastAsia" w:ascii="宋体" w:hAnsi="宋体" w:eastAsia="宋体" w:cs="宋体"/>
                <w:b w:val="0"/>
                <w:bCs w:val="0"/>
                <w:color w:val="000000" w:themeColor="text1"/>
                <w:sz w:val="24"/>
                <w:szCs w:val="24"/>
                <w:highlight w:val="none"/>
                <w:lang w:val="en-US" w:eastAsia="zh-CN"/>
              </w:rPr>
            </w:pPr>
            <w:r>
              <w:rPr>
                <w:rFonts w:hint="eastAsia" w:ascii="宋体" w:hAnsi="宋体" w:eastAsia="宋体" w:cs="宋体"/>
                <w:b w:val="0"/>
                <w:bCs w:val="0"/>
                <w:color w:val="000000" w:themeColor="text1"/>
                <w:sz w:val="24"/>
                <w:szCs w:val="24"/>
                <w:highlight w:val="none"/>
                <w:lang w:val="en-US" w:eastAsia="zh-CN"/>
              </w:rPr>
              <w:t>技术部分</w:t>
            </w:r>
          </w:p>
          <w:p w14:paraId="3207983D">
            <w:pPr>
              <w:keepNext w:val="0"/>
              <w:keepLines w:val="0"/>
              <w:pageBreakBefore w:val="0"/>
              <w:widowControl/>
              <w:kinsoku/>
              <w:wordWrap/>
              <w:overflowPunct/>
              <w:topLinePunct w:val="0"/>
              <w:autoSpaceDE/>
              <w:autoSpaceDN/>
              <w:bidi w:val="0"/>
              <w:snapToGrid w:val="0"/>
              <w:spacing w:line="288" w:lineRule="auto"/>
              <w:jc w:val="center"/>
              <w:textAlignment w:val="auto"/>
              <w:rPr>
                <w:rFonts w:hint="eastAsia" w:ascii="宋体" w:hAnsi="宋体" w:eastAsia="宋体" w:cs="宋体"/>
                <w:b w:val="0"/>
                <w:bCs w:val="0"/>
                <w:color w:val="000000" w:themeColor="text1"/>
                <w:sz w:val="24"/>
                <w:szCs w:val="24"/>
                <w:highlight w:val="none"/>
              </w:rPr>
            </w:pPr>
            <w:r>
              <w:rPr>
                <w:rFonts w:hint="eastAsia" w:ascii="宋体" w:hAnsi="宋体" w:eastAsia="宋体" w:cs="宋体"/>
                <w:b w:val="0"/>
                <w:bCs w:val="0"/>
                <w:color w:val="000000" w:themeColor="text1"/>
                <w:sz w:val="24"/>
                <w:szCs w:val="24"/>
                <w:highlight w:val="none"/>
                <w:lang w:val="en-US" w:eastAsia="zh-CN"/>
              </w:rPr>
              <w:t>（</w:t>
            </w:r>
            <w:r>
              <w:rPr>
                <w:rFonts w:hint="eastAsia" w:ascii="宋体" w:hAnsi="宋体" w:cs="宋体"/>
                <w:b w:val="0"/>
                <w:bCs w:val="0"/>
                <w:color w:val="000000" w:themeColor="text1"/>
                <w:sz w:val="24"/>
                <w:szCs w:val="24"/>
                <w:highlight w:val="none"/>
                <w:lang w:val="en-US" w:eastAsia="zh-CN"/>
              </w:rPr>
              <w:t>46</w:t>
            </w:r>
            <w:r>
              <w:rPr>
                <w:rFonts w:hint="eastAsia" w:ascii="宋体" w:hAnsi="宋体" w:eastAsia="宋体" w:cs="宋体"/>
                <w:b w:val="0"/>
                <w:bCs w:val="0"/>
                <w:color w:val="000000" w:themeColor="text1"/>
                <w:sz w:val="24"/>
                <w:szCs w:val="24"/>
                <w:highlight w:val="none"/>
                <w:lang w:val="en-US" w:eastAsia="zh-CN"/>
              </w:rPr>
              <w:t>分）</w:t>
            </w:r>
          </w:p>
        </w:tc>
        <w:tc>
          <w:tcPr>
            <w:tcW w:w="787" w:type="pct"/>
            <w:vAlign w:val="center"/>
          </w:tcPr>
          <w:p w14:paraId="1CFFE7AB">
            <w:pPr>
              <w:keepNext w:val="0"/>
              <w:keepLines w:val="0"/>
              <w:pageBreakBefore w:val="0"/>
              <w:kinsoku/>
              <w:wordWrap/>
              <w:overflowPunct/>
              <w:topLinePunct w:val="0"/>
              <w:autoSpaceDE/>
              <w:autoSpaceDN/>
              <w:bidi w:val="0"/>
              <w:spacing w:line="288" w:lineRule="auto"/>
              <w:jc w:val="center"/>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服务方案</w:t>
            </w:r>
          </w:p>
          <w:p w14:paraId="0C63F8B7">
            <w:pPr>
              <w:keepNext w:val="0"/>
              <w:keepLines w:val="0"/>
              <w:pageBreakBefore w:val="0"/>
              <w:kinsoku/>
              <w:wordWrap/>
              <w:overflowPunct/>
              <w:topLinePunct w:val="0"/>
              <w:autoSpaceDE/>
              <w:autoSpaceDN/>
              <w:bidi w:val="0"/>
              <w:spacing w:line="288" w:lineRule="auto"/>
              <w:jc w:val="center"/>
              <w:textAlignment w:val="auto"/>
              <w:rPr>
                <w:rFonts w:hint="default" w:ascii="宋体" w:hAnsi="宋体" w:eastAsia="宋体" w:cs="宋体"/>
                <w:b/>
                <w:bCs/>
                <w:color w:val="000000" w:themeColor="text1"/>
                <w:sz w:val="24"/>
                <w:szCs w:val="24"/>
                <w:highlight w:val="none"/>
                <w:lang w:val="en-US" w:eastAsia="zh-CN"/>
              </w:rPr>
            </w:pPr>
            <w:r>
              <w:rPr>
                <w:rFonts w:hint="eastAsia" w:ascii="Times New Roman" w:hAnsi="Times New Roman" w:eastAsia="宋体" w:cs="Times New Roman"/>
                <w:sz w:val="24"/>
                <w:szCs w:val="24"/>
                <w:lang w:val="en-US" w:eastAsia="zh-CN"/>
              </w:rPr>
              <w:t>（</w:t>
            </w:r>
            <w:r>
              <w:rPr>
                <w:rFonts w:hint="eastAsia" w:cs="Times New Roman"/>
                <w:sz w:val="24"/>
                <w:szCs w:val="24"/>
                <w:lang w:val="en-US" w:eastAsia="zh-CN"/>
              </w:rPr>
              <w:t>10</w:t>
            </w:r>
            <w:r>
              <w:rPr>
                <w:rFonts w:hint="eastAsia" w:ascii="Times New Roman" w:hAnsi="Times New Roman" w:eastAsia="宋体" w:cs="Times New Roman"/>
                <w:sz w:val="24"/>
                <w:szCs w:val="24"/>
                <w:lang w:val="en-US" w:eastAsia="zh-CN"/>
              </w:rPr>
              <w:t>分）</w:t>
            </w:r>
          </w:p>
        </w:tc>
        <w:tc>
          <w:tcPr>
            <w:tcW w:w="3586" w:type="pct"/>
            <w:gridSpan w:val="2"/>
            <w:vAlign w:val="center"/>
          </w:tcPr>
          <w:p w14:paraId="64CEEAFC">
            <w:pPr>
              <w:keepNext w:val="0"/>
              <w:keepLines w:val="0"/>
              <w:pageBreakBefore w:val="0"/>
              <w:kinsoku/>
              <w:wordWrap/>
              <w:overflowPunct/>
              <w:topLinePunct w:val="0"/>
              <w:autoSpaceDE/>
              <w:autoSpaceDN/>
              <w:bidi w:val="0"/>
              <w:spacing w:line="288" w:lineRule="auto"/>
              <w:textAlignment w:val="auto"/>
              <w:rPr>
                <w:rFonts w:hint="eastAsia" w:ascii="宋体" w:hAnsi="宋体" w:eastAsia="宋体" w:cs="宋体"/>
                <w:bCs/>
                <w:sz w:val="24"/>
                <w:szCs w:val="24"/>
                <w:highlight w:val="none"/>
                <w:lang w:eastAsia="zh-CN"/>
              </w:rPr>
            </w:pPr>
            <w:r>
              <w:rPr>
                <w:rFonts w:hint="eastAsia" w:ascii="宋体" w:hAnsi="宋体" w:eastAsia="宋体" w:cs="宋体"/>
                <w:color w:val="auto"/>
                <w:sz w:val="24"/>
                <w:szCs w:val="24"/>
                <w:lang w:val="en-US" w:eastAsia="zh-CN"/>
              </w:rPr>
              <w:t>提供总体</w:t>
            </w:r>
            <w:r>
              <w:rPr>
                <w:rFonts w:hint="eastAsia" w:ascii="Times New Roman" w:hAnsi="Times New Roman" w:eastAsia="宋体" w:cs="Times New Roman"/>
                <w:sz w:val="24"/>
                <w:szCs w:val="24"/>
                <w:lang w:val="en-US" w:eastAsia="zh-CN"/>
              </w:rPr>
              <w:t>服务方案</w:t>
            </w:r>
            <w:r>
              <w:rPr>
                <w:rFonts w:hint="eastAsia" w:cs="Times New Roman"/>
                <w:sz w:val="24"/>
                <w:szCs w:val="24"/>
                <w:lang w:val="en-US" w:eastAsia="zh-CN"/>
              </w:rPr>
              <w:t>（</w:t>
            </w:r>
            <w:r>
              <w:rPr>
                <w:rFonts w:hint="eastAsia" w:ascii="宋体" w:hAnsi="宋体" w:eastAsia="宋体" w:cs="宋体"/>
                <w:color w:val="auto"/>
                <w:sz w:val="24"/>
                <w:szCs w:val="24"/>
                <w:lang w:val="en-US" w:eastAsia="zh-CN"/>
              </w:rPr>
              <w:t>符合</w:t>
            </w:r>
            <w:r>
              <w:rPr>
                <w:rFonts w:hint="eastAsia" w:ascii="Times New Roman" w:hAnsi="Times New Roman" w:eastAsia="宋体" w:cs="Times New Roman"/>
                <w:sz w:val="24"/>
                <w:szCs w:val="24"/>
                <w:lang w:val="zh-TW" w:eastAsia="zh-CN"/>
              </w:rPr>
              <w:t>本次采购要求，能够</w:t>
            </w:r>
            <w:r>
              <w:rPr>
                <w:rFonts w:hint="eastAsia" w:ascii="宋体" w:hAnsi="宋体" w:eastAsia="宋体" w:cs="宋体"/>
                <w:color w:val="auto"/>
                <w:sz w:val="24"/>
                <w:szCs w:val="24"/>
              </w:rPr>
              <w:t>结合</w:t>
            </w:r>
            <w:r>
              <w:rPr>
                <w:rFonts w:hint="eastAsia" w:ascii="宋体" w:hAnsi="宋体" w:eastAsia="宋体" w:cs="宋体"/>
                <w:color w:val="auto"/>
                <w:sz w:val="24"/>
                <w:szCs w:val="24"/>
                <w:lang w:val="en-US" w:eastAsia="zh-CN"/>
              </w:rPr>
              <w:t>国家评价指标体系及河南省营商环境评价（县区级）指标体系及动态变化，对项目现状、存在问题、工作目标等理解分析</w:t>
            </w:r>
            <w:r>
              <w:rPr>
                <w:rFonts w:hint="eastAsia" w:ascii="宋体" w:hAnsi="宋体" w:cs="宋体"/>
                <w:color w:val="auto"/>
                <w:sz w:val="24"/>
                <w:szCs w:val="24"/>
                <w:lang w:val="en-US" w:eastAsia="zh-CN"/>
              </w:rPr>
              <w:t>）的</w:t>
            </w:r>
            <w:r>
              <w:rPr>
                <w:rFonts w:hint="eastAsia" w:ascii="Times New Roman" w:hAnsi="Times New Roman" w:eastAsia="宋体" w:cs="Times New Roman"/>
                <w:sz w:val="24"/>
                <w:szCs w:val="24"/>
                <w:lang w:val="en-US" w:eastAsia="zh-CN"/>
              </w:rPr>
              <w:t>得</w:t>
            </w:r>
            <w:r>
              <w:rPr>
                <w:rFonts w:hint="eastAsia" w:cs="Times New Roman"/>
                <w:sz w:val="24"/>
                <w:szCs w:val="24"/>
                <w:lang w:val="en-US" w:eastAsia="zh-CN"/>
              </w:rPr>
              <w:t>10</w:t>
            </w:r>
            <w:r>
              <w:rPr>
                <w:rFonts w:hint="eastAsia" w:ascii="Times New Roman" w:hAnsi="Times New Roman" w:eastAsia="宋体" w:cs="Times New Roman"/>
                <w:sz w:val="24"/>
                <w:szCs w:val="24"/>
                <w:lang w:val="en-US" w:eastAsia="zh-CN"/>
              </w:rPr>
              <w:t>分，不提供</w:t>
            </w:r>
            <w:r>
              <w:rPr>
                <w:rFonts w:hint="eastAsia" w:cs="Times New Roman"/>
                <w:sz w:val="24"/>
                <w:szCs w:val="24"/>
                <w:lang w:val="en-US" w:eastAsia="zh-CN"/>
              </w:rPr>
              <w:t>或缺项</w:t>
            </w:r>
            <w:r>
              <w:rPr>
                <w:rFonts w:hint="eastAsia" w:ascii="Times New Roman" w:hAnsi="Times New Roman" w:eastAsia="宋体" w:cs="Times New Roman"/>
                <w:sz w:val="24"/>
                <w:szCs w:val="24"/>
                <w:lang w:val="en-US" w:eastAsia="zh-CN"/>
              </w:rPr>
              <w:t>不得分；</w:t>
            </w:r>
          </w:p>
        </w:tc>
      </w:tr>
      <w:tr w14:paraId="6DA6E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6" w:type="pct"/>
            <w:vMerge w:val="continue"/>
            <w:vAlign w:val="center"/>
          </w:tcPr>
          <w:p w14:paraId="04E62F9B">
            <w:pPr>
              <w:keepNext w:val="0"/>
              <w:keepLines w:val="0"/>
              <w:pageBreakBefore w:val="0"/>
              <w:widowControl/>
              <w:kinsoku/>
              <w:wordWrap/>
              <w:overflowPunct/>
              <w:topLinePunct w:val="0"/>
              <w:autoSpaceDE/>
              <w:autoSpaceDN/>
              <w:bidi w:val="0"/>
              <w:snapToGrid w:val="0"/>
              <w:spacing w:line="288" w:lineRule="auto"/>
              <w:jc w:val="center"/>
              <w:textAlignment w:val="auto"/>
              <w:rPr>
                <w:rFonts w:hint="eastAsia" w:ascii="宋体" w:hAnsi="宋体" w:eastAsia="宋体" w:cs="宋体"/>
                <w:b w:val="0"/>
                <w:bCs w:val="0"/>
                <w:color w:val="000000" w:themeColor="text1"/>
                <w:sz w:val="24"/>
                <w:szCs w:val="24"/>
                <w:highlight w:val="none"/>
              </w:rPr>
            </w:pPr>
          </w:p>
        </w:tc>
        <w:tc>
          <w:tcPr>
            <w:tcW w:w="787" w:type="pct"/>
            <w:vAlign w:val="center"/>
          </w:tcPr>
          <w:p w14:paraId="5A4A1362">
            <w:pPr>
              <w:keepNext w:val="0"/>
              <w:keepLines w:val="0"/>
              <w:pageBreakBefore w:val="0"/>
              <w:kinsoku/>
              <w:wordWrap/>
              <w:overflowPunct/>
              <w:topLinePunct w:val="0"/>
              <w:autoSpaceDE/>
              <w:autoSpaceDN/>
              <w:bidi w:val="0"/>
              <w:spacing w:line="288" w:lineRule="auto"/>
              <w:jc w:val="center"/>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重点难点</w:t>
            </w:r>
          </w:p>
          <w:p w14:paraId="7C308FEB">
            <w:pPr>
              <w:keepNext w:val="0"/>
              <w:keepLines w:val="0"/>
              <w:pageBreakBefore w:val="0"/>
              <w:kinsoku/>
              <w:wordWrap/>
              <w:overflowPunct/>
              <w:topLinePunct w:val="0"/>
              <w:autoSpaceDE/>
              <w:autoSpaceDN/>
              <w:bidi w:val="0"/>
              <w:spacing w:line="288" w:lineRule="auto"/>
              <w:jc w:val="center"/>
              <w:textAlignment w:val="auto"/>
              <w:rPr>
                <w:rFonts w:hint="eastAsia" w:ascii="宋体" w:hAnsi="宋体" w:eastAsia="宋体" w:cs="宋体"/>
                <w:b w:val="0"/>
                <w:bCs w:val="0"/>
                <w:color w:val="000000" w:themeColor="text1"/>
                <w:sz w:val="24"/>
                <w:szCs w:val="24"/>
                <w:highlight w:val="none"/>
                <w:lang w:val="en-US" w:eastAsia="zh-CN"/>
              </w:rPr>
            </w:pPr>
            <w:r>
              <w:rPr>
                <w:rFonts w:hint="eastAsia" w:ascii="Times New Roman" w:hAnsi="Times New Roman" w:eastAsia="宋体" w:cs="Times New Roman"/>
                <w:sz w:val="24"/>
                <w:szCs w:val="24"/>
                <w:lang w:val="en-US" w:eastAsia="zh-CN"/>
              </w:rPr>
              <w:t>（</w:t>
            </w:r>
            <w:r>
              <w:rPr>
                <w:rFonts w:hint="eastAsia" w:cs="Times New Roman"/>
                <w:sz w:val="24"/>
                <w:szCs w:val="24"/>
                <w:lang w:val="en-US" w:eastAsia="zh-CN"/>
              </w:rPr>
              <w:t>10</w:t>
            </w:r>
            <w:r>
              <w:rPr>
                <w:rFonts w:hint="eastAsia" w:ascii="Times New Roman" w:hAnsi="Times New Roman" w:eastAsia="宋体" w:cs="Times New Roman"/>
                <w:sz w:val="24"/>
                <w:szCs w:val="24"/>
                <w:lang w:val="en-US" w:eastAsia="zh-CN"/>
              </w:rPr>
              <w:t>分）</w:t>
            </w:r>
          </w:p>
        </w:tc>
        <w:tc>
          <w:tcPr>
            <w:tcW w:w="3586" w:type="pct"/>
            <w:gridSpan w:val="2"/>
            <w:vAlign w:val="center"/>
          </w:tcPr>
          <w:p w14:paraId="5362C120">
            <w:pPr>
              <w:keepNext w:val="0"/>
              <w:keepLines w:val="0"/>
              <w:pageBreakBefore w:val="0"/>
              <w:kinsoku/>
              <w:wordWrap/>
              <w:overflowPunct/>
              <w:topLinePunct w:val="0"/>
              <w:autoSpaceDE/>
              <w:autoSpaceDN/>
              <w:bidi w:val="0"/>
              <w:spacing w:line="288" w:lineRule="auto"/>
              <w:textAlignment w:val="auto"/>
              <w:rPr>
                <w:rFonts w:hint="eastAsia" w:ascii="宋体" w:hAnsi="宋体" w:eastAsia="宋体" w:cs="宋体"/>
                <w:b w:val="0"/>
                <w:bCs w:val="0"/>
                <w:color w:val="000000" w:themeColor="text1"/>
                <w:sz w:val="24"/>
                <w:szCs w:val="24"/>
                <w:highlight w:val="none"/>
                <w:lang w:val="en-US" w:eastAsia="zh-CN"/>
              </w:rPr>
            </w:pPr>
            <w:r>
              <w:rPr>
                <w:rFonts w:hint="eastAsia" w:ascii="Times New Roman" w:hAnsi="Times New Roman" w:eastAsia="宋体" w:cs="Times New Roman"/>
                <w:sz w:val="24"/>
                <w:szCs w:val="24"/>
                <w:lang w:val="en-US" w:eastAsia="zh-CN"/>
              </w:rPr>
              <w:t>结合项目单位背景情况及河南省政策及相关历史资料，项目需求及目标等，分析工作开展的重点、难点和控制点，并提出相应对策和处理措施</w:t>
            </w:r>
            <w:r>
              <w:rPr>
                <w:rFonts w:hint="eastAsia" w:cs="Times New Roman"/>
                <w:sz w:val="24"/>
                <w:szCs w:val="24"/>
                <w:lang w:val="en-US" w:eastAsia="zh-CN"/>
              </w:rPr>
              <w:t>的</w:t>
            </w:r>
            <w:r>
              <w:rPr>
                <w:rFonts w:hint="eastAsia" w:ascii="Times New Roman" w:hAnsi="Times New Roman" w:eastAsia="宋体" w:cs="Times New Roman"/>
                <w:sz w:val="24"/>
                <w:szCs w:val="24"/>
                <w:lang w:val="en-US" w:eastAsia="zh-CN"/>
              </w:rPr>
              <w:t>得</w:t>
            </w:r>
            <w:r>
              <w:rPr>
                <w:rFonts w:hint="eastAsia" w:cs="Times New Roman"/>
                <w:sz w:val="24"/>
                <w:szCs w:val="24"/>
                <w:lang w:val="en-US" w:eastAsia="zh-CN"/>
              </w:rPr>
              <w:t>10</w:t>
            </w:r>
            <w:r>
              <w:rPr>
                <w:rFonts w:hint="eastAsia" w:ascii="Times New Roman" w:hAnsi="Times New Roman" w:eastAsia="宋体" w:cs="Times New Roman"/>
                <w:sz w:val="24"/>
                <w:szCs w:val="24"/>
                <w:lang w:val="en-US" w:eastAsia="zh-CN"/>
              </w:rPr>
              <w:t>分，不提供</w:t>
            </w:r>
            <w:r>
              <w:rPr>
                <w:rFonts w:hint="eastAsia" w:cs="Times New Roman"/>
                <w:sz w:val="24"/>
                <w:szCs w:val="24"/>
                <w:lang w:val="en-US" w:eastAsia="zh-CN"/>
              </w:rPr>
              <w:t>或缺项</w:t>
            </w:r>
            <w:r>
              <w:rPr>
                <w:rFonts w:hint="eastAsia" w:ascii="Times New Roman" w:hAnsi="Times New Roman" w:eastAsia="宋体" w:cs="Times New Roman"/>
                <w:sz w:val="24"/>
                <w:szCs w:val="24"/>
                <w:lang w:val="en-US" w:eastAsia="zh-CN"/>
              </w:rPr>
              <w:t>不得分；</w:t>
            </w:r>
          </w:p>
        </w:tc>
      </w:tr>
      <w:tr w14:paraId="530B3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626" w:type="pct"/>
            <w:vMerge w:val="continue"/>
            <w:vAlign w:val="center"/>
          </w:tcPr>
          <w:p w14:paraId="759076E6">
            <w:pPr>
              <w:keepNext w:val="0"/>
              <w:keepLines w:val="0"/>
              <w:pageBreakBefore w:val="0"/>
              <w:widowControl/>
              <w:kinsoku/>
              <w:wordWrap/>
              <w:overflowPunct/>
              <w:topLinePunct w:val="0"/>
              <w:autoSpaceDE/>
              <w:autoSpaceDN/>
              <w:bidi w:val="0"/>
              <w:snapToGrid w:val="0"/>
              <w:spacing w:line="288" w:lineRule="auto"/>
              <w:jc w:val="center"/>
              <w:textAlignment w:val="auto"/>
              <w:rPr>
                <w:rFonts w:hint="eastAsia" w:ascii="宋体" w:hAnsi="宋体" w:eastAsia="宋体" w:cs="宋体"/>
                <w:b w:val="0"/>
                <w:bCs w:val="0"/>
                <w:color w:val="000000" w:themeColor="text1"/>
                <w:sz w:val="24"/>
                <w:szCs w:val="24"/>
                <w:highlight w:val="none"/>
                <w:lang w:val="en-US" w:eastAsia="zh-CN"/>
              </w:rPr>
            </w:pPr>
          </w:p>
        </w:tc>
        <w:tc>
          <w:tcPr>
            <w:tcW w:w="787" w:type="pct"/>
            <w:vAlign w:val="center"/>
          </w:tcPr>
          <w:p w14:paraId="45E828CA">
            <w:pPr>
              <w:keepNext w:val="0"/>
              <w:keepLines w:val="0"/>
              <w:pageBreakBefore w:val="0"/>
              <w:kinsoku/>
              <w:wordWrap/>
              <w:overflowPunct/>
              <w:topLinePunct w:val="0"/>
              <w:autoSpaceDE/>
              <w:autoSpaceDN/>
              <w:bidi w:val="0"/>
              <w:spacing w:line="288" w:lineRule="auto"/>
              <w:jc w:val="center"/>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进度安排</w:t>
            </w:r>
          </w:p>
          <w:p w14:paraId="6ABB50D5">
            <w:pPr>
              <w:keepNext w:val="0"/>
              <w:keepLines w:val="0"/>
              <w:pageBreakBefore w:val="0"/>
              <w:kinsoku/>
              <w:wordWrap/>
              <w:overflowPunct/>
              <w:topLinePunct w:val="0"/>
              <w:autoSpaceDE/>
              <w:autoSpaceDN/>
              <w:bidi w:val="0"/>
              <w:spacing w:line="288" w:lineRule="auto"/>
              <w:jc w:val="center"/>
              <w:textAlignment w:val="auto"/>
              <w:rPr>
                <w:rFonts w:hint="default" w:ascii="宋体" w:hAnsi="宋体" w:eastAsia="宋体" w:cs="宋体"/>
                <w:kern w:val="2"/>
                <w:sz w:val="24"/>
                <w:szCs w:val="24"/>
                <w:highlight w:val="none"/>
                <w:lang w:val="en-US" w:eastAsia="zh-CN" w:bidi="ar-SA"/>
              </w:rPr>
            </w:pPr>
            <w:r>
              <w:rPr>
                <w:rFonts w:hint="eastAsia" w:ascii="Times New Roman" w:hAnsi="Times New Roman" w:eastAsia="宋体" w:cs="Times New Roman"/>
                <w:sz w:val="24"/>
                <w:szCs w:val="24"/>
                <w:lang w:val="en-US" w:eastAsia="zh-CN"/>
              </w:rPr>
              <w:t>（</w:t>
            </w:r>
            <w:r>
              <w:rPr>
                <w:rFonts w:hint="eastAsia" w:cs="Times New Roman"/>
                <w:sz w:val="24"/>
                <w:szCs w:val="24"/>
                <w:lang w:val="en-US" w:eastAsia="zh-CN"/>
              </w:rPr>
              <w:t>8</w:t>
            </w:r>
            <w:r>
              <w:rPr>
                <w:rFonts w:hint="eastAsia" w:ascii="Times New Roman" w:hAnsi="Times New Roman" w:eastAsia="宋体" w:cs="Times New Roman"/>
                <w:sz w:val="24"/>
                <w:szCs w:val="24"/>
                <w:lang w:val="en-US" w:eastAsia="zh-CN"/>
              </w:rPr>
              <w:t>分）</w:t>
            </w:r>
          </w:p>
        </w:tc>
        <w:tc>
          <w:tcPr>
            <w:tcW w:w="3586" w:type="pct"/>
            <w:gridSpan w:val="2"/>
            <w:vAlign w:val="center"/>
          </w:tcPr>
          <w:p w14:paraId="75B4681C">
            <w:pPr>
              <w:keepNext w:val="0"/>
              <w:keepLines w:val="0"/>
              <w:pageBreakBefore w:val="0"/>
              <w:kinsoku/>
              <w:wordWrap/>
              <w:overflowPunct/>
              <w:topLinePunct w:val="0"/>
              <w:autoSpaceDE/>
              <w:autoSpaceDN/>
              <w:bidi w:val="0"/>
              <w:spacing w:line="288" w:lineRule="auto"/>
              <w:textAlignment w:val="auto"/>
              <w:rPr>
                <w:rFonts w:hint="eastAsia" w:ascii="宋体" w:hAnsi="宋体" w:eastAsia="宋体" w:cs="宋体"/>
                <w:kern w:val="2"/>
                <w:sz w:val="24"/>
                <w:szCs w:val="24"/>
                <w:highlight w:val="none"/>
                <w:lang w:val="en-US" w:eastAsia="zh-CN" w:bidi="ar-SA"/>
              </w:rPr>
            </w:pPr>
            <w:r>
              <w:rPr>
                <w:rFonts w:hint="eastAsia" w:ascii="Times New Roman" w:hAnsi="Times New Roman" w:eastAsia="宋体" w:cs="Times New Roman"/>
                <w:sz w:val="24"/>
                <w:szCs w:val="24"/>
                <w:lang w:val="en-US" w:eastAsia="zh-CN"/>
              </w:rPr>
              <w:t>供应商根据项目需求及河南省相关政策要求，编制项目进度计划及工作安排</w:t>
            </w:r>
            <w:r>
              <w:rPr>
                <w:rFonts w:hint="eastAsia" w:cs="Times New Roman"/>
                <w:sz w:val="24"/>
                <w:szCs w:val="24"/>
                <w:lang w:val="en-US" w:eastAsia="zh-CN"/>
              </w:rPr>
              <w:t>的</w:t>
            </w:r>
            <w:r>
              <w:rPr>
                <w:rFonts w:hint="eastAsia" w:ascii="Times New Roman" w:hAnsi="Times New Roman" w:eastAsia="宋体" w:cs="Times New Roman"/>
                <w:sz w:val="24"/>
                <w:szCs w:val="24"/>
                <w:lang w:val="en-US" w:eastAsia="zh-CN"/>
              </w:rPr>
              <w:t>得</w:t>
            </w:r>
            <w:r>
              <w:rPr>
                <w:rFonts w:hint="eastAsia" w:cs="Times New Roman"/>
                <w:sz w:val="24"/>
                <w:szCs w:val="24"/>
                <w:lang w:val="en-US" w:eastAsia="zh-CN"/>
              </w:rPr>
              <w:t>8</w:t>
            </w:r>
            <w:r>
              <w:rPr>
                <w:rFonts w:hint="eastAsia" w:ascii="Times New Roman" w:hAnsi="Times New Roman" w:eastAsia="宋体" w:cs="Times New Roman"/>
                <w:sz w:val="24"/>
                <w:szCs w:val="24"/>
                <w:lang w:val="en-US" w:eastAsia="zh-CN"/>
              </w:rPr>
              <w:t>分，不提供</w:t>
            </w:r>
            <w:r>
              <w:rPr>
                <w:rFonts w:hint="eastAsia" w:cs="Times New Roman"/>
                <w:sz w:val="24"/>
                <w:szCs w:val="24"/>
                <w:lang w:val="en-US" w:eastAsia="zh-CN"/>
              </w:rPr>
              <w:t>或缺项</w:t>
            </w:r>
            <w:r>
              <w:rPr>
                <w:rFonts w:hint="eastAsia" w:ascii="Times New Roman" w:hAnsi="Times New Roman" w:eastAsia="宋体" w:cs="Times New Roman"/>
                <w:sz w:val="24"/>
                <w:szCs w:val="24"/>
                <w:lang w:val="en-US" w:eastAsia="zh-CN"/>
              </w:rPr>
              <w:t>不得分；</w:t>
            </w:r>
          </w:p>
        </w:tc>
      </w:tr>
      <w:tr w14:paraId="6461C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626" w:type="pct"/>
            <w:vMerge w:val="continue"/>
            <w:vAlign w:val="center"/>
          </w:tcPr>
          <w:p w14:paraId="3BC1DFEA">
            <w:pPr>
              <w:keepNext w:val="0"/>
              <w:keepLines w:val="0"/>
              <w:pageBreakBefore w:val="0"/>
              <w:widowControl/>
              <w:kinsoku/>
              <w:wordWrap/>
              <w:overflowPunct/>
              <w:topLinePunct w:val="0"/>
              <w:autoSpaceDE/>
              <w:autoSpaceDN/>
              <w:bidi w:val="0"/>
              <w:snapToGrid w:val="0"/>
              <w:spacing w:line="288" w:lineRule="auto"/>
              <w:jc w:val="center"/>
              <w:textAlignment w:val="auto"/>
              <w:rPr>
                <w:rFonts w:hint="eastAsia" w:ascii="宋体" w:hAnsi="宋体" w:eastAsia="宋体" w:cs="宋体"/>
                <w:b w:val="0"/>
                <w:bCs w:val="0"/>
                <w:color w:val="000000" w:themeColor="text1"/>
                <w:sz w:val="24"/>
                <w:szCs w:val="24"/>
                <w:highlight w:val="none"/>
                <w:lang w:val="en-US" w:eastAsia="zh-CN"/>
              </w:rPr>
            </w:pPr>
          </w:p>
        </w:tc>
        <w:tc>
          <w:tcPr>
            <w:tcW w:w="787" w:type="pct"/>
            <w:vAlign w:val="center"/>
          </w:tcPr>
          <w:p w14:paraId="61C665A5">
            <w:pPr>
              <w:keepNext w:val="0"/>
              <w:keepLines w:val="0"/>
              <w:pageBreakBefore w:val="0"/>
              <w:kinsoku/>
              <w:wordWrap/>
              <w:overflowPunct/>
              <w:topLinePunct w:val="0"/>
              <w:autoSpaceDE/>
              <w:autoSpaceDN/>
              <w:bidi w:val="0"/>
              <w:spacing w:line="288" w:lineRule="auto"/>
              <w:jc w:val="center"/>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运作机制及工作流程</w:t>
            </w:r>
          </w:p>
          <w:p w14:paraId="477BCA32">
            <w:pPr>
              <w:keepNext w:val="0"/>
              <w:keepLines w:val="0"/>
              <w:pageBreakBefore w:val="0"/>
              <w:kinsoku/>
              <w:wordWrap/>
              <w:overflowPunct/>
              <w:topLinePunct w:val="0"/>
              <w:autoSpaceDE/>
              <w:autoSpaceDN/>
              <w:bidi w:val="0"/>
              <w:spacing w:line="288" w:lineRule="auto"/>
              <w:jc w:val="center"/>
              <w:textAlignment w:val="auto"/>
              <w:rPr>
                <w:rFonts w:hint="eastAsia" w:ascii="宋体" w:hAnsi="宋体" w:eastAsia="宋体" w:cs="宋体"/>
                <w:sz w:val="24"/>
                <w:szCs w:val="24"/>
                <w:highlight w:val="none"/>
                <w:lang w:val="en-US" w:eastAsia="zh-CN"/>
              </w:rPr>
            </w:pPr>
            <w:r>
              <w:rPr>
                <w:rFonts w:hint="eastAsia" w:ascii="Times New Roman" w:hAnsi="Times New Roman" w:eastAsia="宋体" w:cs="Times New Roman"/>
                <w:sz w:val="24"/>
                <w:szCs w:val="24"/>
                <w:lang w:val="en-US" w:eastAsia="zh-CN"/>
              </w:rPr>
              <w:t>（</w:t>
            </w:r>
            <w:r>
              <w:rPr>
                <w:rFonts w:hint="eastAsia" w:cs="Times New Roman"/>
                <w:sz w:val="24"/>
                <w:szCs w:val="24"/>
                <w:lang w:val="en-US" w:eastAsia="zh-CN"/>
              </w:rPr>
              <w:t>8</w:t>
            </w:r>
            <w:r>
              <w:rPr>
                <w:rFonts w:hint="eastAsia" w:ascii="Times New Roman" w:hAnsi="Times New Roman" w:eastAsia="宋体" w:cs="Times New Roman"/>
                <w:sz w:val="24"/>
                <w:szCs w:val="24"/>
                <w:lang w:val="en-US" w:eastAsia="zh-CN"/>
              </w:rPr>
              <w:t>分）</w:t>
            </w:r>
          </w:p>
        </w:tc>
        <w:tc>
          <w:tcPr>
            <w:tcW w:w="3586" w:type="pct"/>
            <w:gridSpan w:val="2"/>
            <w:vAlign w:val="center"/>
          </w:tcPr>
          <w:p w14:paraId="47BCE901">
            <w:pPr>
              <w:keepNext w:val="0"/>
              <w:keepLines w:val="0"/>
              <w:pageBreakBefore w:val="0"/>
              <w:kinsoku/>
              <w:wordWrap/>
              <w:overflowPunct/>
              <w:topLinePunct w:val="0"/>
              <w:autoSpaceDE/>
              <w:autoSpaceDN/>
              <w:bidi w:val="0"/>
              <w:spacing w:line="288" w:lineRule="auto"/>
              <w:textAlignment w:val="auto"/>
              <w:rPr>
                <w:rFonts w:hint="eastAsia" w:ascii="宋体" w:hAnsi="宋体" w:eastAsia="宋体" w:cs="宋体"/>
                <w:color w:val="auto"/>
                <w:kern w:val="2"/>
                <w:sz w:val="24"/>
                <w:szCs w:val="24"/>
                <w:highlight w:val="none"/>
                <w:lang w:val="en-US" w:eastAsia="zh-CN"/>
              </w:rPr>
            </w:pPr>
            <w:r>
              <w:rPr>
                <w:rFonts w:hint="eastAsia" w:ascii="Times New Roman" w:hAnsi="Times New Roman" w:eastAsia="宋体" w:cs="Times New Roman"/>
                <w:sz w:val="24"/>
                <w:szCs w:val="24"/>
                <w:lang w:val="en-US" w:eastAsia="zh-CN"/>
              </w:rPr>
              <w:t>供应商根据项目背景分析及工作重点，制定工作流程和项目运作机制</w:t>
            </w:r>
            <w:r>
              <w:rPr>
                <w:rFonts w:hint="eastAsia" w:cs="Times New Roman"/>
                <w:sz w:val="24"/>
                <w:szCs w:val="24"/>
                <w:lang w:val="en-US" w:eastAsia="zh-CN"/>
              </w:rPr>
              <w:t>的</w:t>
            </w:r>
            <w:r>
              <w:rPr>
                <w:rFonts w:hint="eastAsia" w:ascii="Times New Roman" w:hAnsi="Times New Roman" w:eastAsia="宋体" w:cs="Times New Roman"/>
                <w:sz w:val="24"/>
                <w:szCs w:val="24"/>
                <w:lang w:val="en-US" w:eastAsia="zh-CN"/>
              </w:rPr>
              <w:t>得</w:t>
            </w:r>
            <w:r>
              <w:rPr>
                <w:rFonts w:hint="eastAsia" w:cs="Times New Roman"/>
                <w:sz w:val="24"/>
                <w:szCs w:val="24"/>
                <w:lang w:val="en-US" w:eastAsia="zh-CN"/>
              </w:rPr>
              <w:t>8</w:t>
            </w:r>
            <w:r>
              <w:rPr>
                <w:rFonts w:hint="eastAsia" w:ascii="Times New Roman" w:hAnsi="Times New Roman" w:eastAsia="宋体" w:cs="Times New Roman"/>
                <w:sz w:val="24"/>
                <w:szCs w:val="24"/>
                <w:lang w:val="en-US" w:eastAsia="zh-CN"/>
              </w:rPr>
              <w:t>分，不提供</w:t>
            </w:r>
            <w:r>
              <w:rPr>
                <w:rFonts w:hint="eastAsia" w:cs="Times New Roman"/>
                <w:sz w:val="24"/>
                <w:szCs w:val="24"/>
                <w:lang w:val="en-US" w:eastAsia="zh-CN"/>
              </w:rPr>
              <w:t>或缺项</w:t>
            </w:r>
            <w:r>
              <w:rPr>
                <w:rFonts w:hint="eastAsia" w:ascii="Times New Roman" w:hAnsi="Times New Roman" w:eastAsia="宋体" w:cs="Times New Roman"/>
                <w:sz w:val="24"/>
                <w:szCs w:val="24"/>
                <w:lang w:val="en-US" w:eastAsia="zh-CN"/>
              </w:rPr>
              <w:t>不得分；</w:t>
            </w:r>
          </w:p>
        </w:tc>
      </w:tr>
      <w:tr w14:paraId="4A53B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2" w:hRule="atLeast"/>
          <w:jc w:val="center"/>
        </w:trPr>
        <w:tc>
          <w:tcPr>
            <w:tcW w:w="626" w:type="pct"/>
            <w:vMerge w:val="continue"/>
            <w:vAlign w:val="center"/>
          </w:tcPr>
          <w:p w14:paraId="26B99FAA">
            <w:pPr>
              <w:keepNext w:val="0"/>
              <w:keepLines w:val="0"/>
              <w:pageBreakBefore w:val="0"/>
              <w:widowControl/>
              <w:kinsoku/>
              <w:wordWrap/>
              <w:overflowPunct/>
              <w:topLinePunct w:val="0"/>
              <w:autoSpaceDE/>
              <w:autoSpaceDN/>
              <w:bidi w:val="0"/>
              <w:snapToGrid w:val="0"/>
              <w:spacing w:line="288" w:lineRule="auto"/>
              <w:jc w:val="center"/>
              <w:textAlignment w:val="auto"/>
              <w:rPr>
                <w:rFonts w:hint="eastAsia" w:ascii="宋体" w:hAnsi="宋体" w:eastAsia="宋体" w:cs="宋体"/>
                <w:b w:val="0"/>
                <w:bCs w:val="0"/>
                <w:color w:val="000000" w:themeColor="text1"/>
                <w:sz w:val="24"/>
                <w:szCs w:val="24"/>
                <w:highlight w:val="none"/>
                <w:lang w:val="en-US" w:eastAsia="zh-CN"/>
              </w:rPr>
            </w:pPr>
          </w:p>
        </w:tc>
        <w:tc>
          <w:tcPr>
            <w:tcW w:w="787" w:type="pct"/>
            <w:shd w:val="clear" w:color="auto" w:fill="auto"/>
            <w:vAlign w:val="center"/>
          </w:tcPr>
          <w:p w14:paraId="1B753CD8">
            <w:pPr>
              <w:keepNext w:val="0"/>
              <w:keepLines w:val="0"/>
              <w:pageBreakBefore w:val="0"/>
              <w:kinsoku/>
              <w:wordWrap/>
              <w:overflowPunct/>
              <w:topLinePunct w:val="0"/>
              <w:autoSpaceDE/>
              <w:autoSpaceDN/>
              <w:bidi w:val="0"/>
              <w:spacing w:line="288" w:lineRule="auto"/>
              <w:jc w:val="center"/>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质量</w:t>
            </w:r>
          </w:p>
          <w:p w14:paraId="3FE1880C">
            <w:pPr>
              <w:keepNext w:val="0"/>
              <w:keepLines w:val="0"/>
              <w:pageBreakBefore w:val="0"/>
              <w:kinsoku/>
              <w:wordWrap/>
              <w:overflowPunct/>
              <w:topLinePunct w:val="0"/>
              <w:autoSpaceDE/>
              <w:autoSpaceDN/>
              <w:bidi w:val="0"/>
              <w:spacing w:line="288" w:lineRule="auto"/>
              <w:jc w:val="center"/>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控制措施</w:t>
            </w:r>
          </w:p>
          <w:p w14:paraId="70BBC844">
            <w:pPr>
              <w:keepNext w:val="0"/>
              <w:keepLines w:val="0"/>
              <w:pageBreakBefore w:val="0"/>
              <w:kinsoku/>
              <w:wordWrap/>
              <w:overflowPunct/>
              <w:topLinePunct w:val="0"/>
              <w:autoSpaceDE/>
              <w:autoSpaceDN/>
              <w:bidi w:val="0"/>
              <w:spacing w:line="288" w:lineRule="auto"/>
              <w:jc w:val="center"/>
              <w:textAlignment w:val="auto"/>
              <w:rPr>
                <w:rFonts w:hint="default" w:ascii="宋体" w:hAnsi="宋体" w:eastAsia="宋体" w:cs="宋体"/>
                <w:kern w:val="2"/>
                <w:sz w:val="24"/>
                <w:szCs w:val="24"/>
                <w:highlight w:val="none"/>
                <w:lang w:val="en-US" w:eastAsia="zh-CN" w:bidi="ar-SA"/>
              </w:rPr>
            </w:pPr>
            <w:r>
              <w:rPr>
                <w:rFonts w:hint="eastAsia" w:ascii="Times New Roman" w:hAnsi="Times New Roman" w:eastAsia="宋体" w:cs="Times New Roman"/>
                <w:sz w:val="24"/>
                <w:szCs w:val="24"/>
                <w:lang w:val="en-US" w:eastAsia="zh-CN"/>
              </w:rPr>
              <w:t>（</w:t>
            </w:r>
            <w:r>
              <w:rPr>
                <w:rFonts w:hint="eastAsia" w:cs="Times New Roman"/>
                <w:sz w:val="24"/>
                <w:szCs w:val="24"/>
                <w:lang w:val="en-US" w:eastAsia="zh-CN"/>
              </w:rPr>
              <w:t>10</w:t>
            </w:r>
            <w:r>
              <w:rPr>
                <w:rFonts w:hint="eastAsia" w:ascii="Times New Roman" w:hAnsi="Times New Roman" w:eastAsia="宋体" w:cs="Times New Roman"/>
                <w:sz w:val="24"/>
                <w:szCs w:val="24"/>
                <w:lang w:val="en-US" w:eastAsia="zh-CN"/>
              </w:rPr>
              <w:t>分）</w:t>
            </w:r>
          </w:p>
        </w:tc>
        <w:tc>
          <w:tcPr>
            <w:tcW w:w="3586" w:type="pct"/>
            <w:gridSpan w:val="2"/>
            <w:shd w:val="clear" w:color="auto" w:fill="auto"/>
            <w:vAlign w:val="center"/>
          </w:tcPr>
          <w:p w14:paraId="509E1189">
            <w:pPr>
              <w:keepNext w:val="0"/>
              <w:keepLines w:val="0"/>
              <w:pageBreakBefore w:val="0"/>
              <w:numPr>
                <w:ilvl w:val="0"/>
                <w:numId w:val="0"/>
              </w:numPr>
              <w:kinsoku/>
              <w:wordWrap/>
              <w:overflowPunct/>
              <w:topLinePunct w:val="0"/>
              <w:autoSpaceDE/>
              <w:autoSpaceDN/>
              <w:bidi w:val="0"/>
              <w:spacing w:line="288" w:lineRule="auto"/>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kern w:val="2"/>
                <w:sz w:val="24"/>
                <w:szCs w:val="24"/>
                <w:lang w:val="en-US" w:eastAsia="zh-CN" w:bidi="ar-SA"/>
              </w:rPr>
              <w:t>1、</w:t>
            </w:r>
            <w:r>
              <w:rPr>
                <w:rFonts w:hint="eastAsia" w:ascii="Times New Roman" w:hAnsi="Times New Roman" w:eastAsia="宋体" w:cs="Times New Roman"/>
                <w:sz w:val="24"/>
                <w:szCs w:val="24"/>
                <w:lang w:val="en-US" w:eastAsia="zh-CN"/>
              </w:rPr>
              <w:t>针对本项目制定</w:t>
            </w:r>
            <w:r>
              <w:rPr>
                <w:rFonts w:hint="eastAsia" w:cs="Times New Roman"/>
                <w:sz w:val="24"/>
                <w:szCs w:val="24"/>
                <w:lang w:val="en-US" w:eastAsia="zh-CN"/>
              </w:rPr>
              <w:t>服务质量保证措施</w:t>
            </w:r>
            <w:r>
              <w:rPr>
                <w:rFonts w:hint="eastAsia" w:ascii="Times New Roman" w:hAnsi="Times New Roman" w:eastAsia="宋体" w:cs="Times New Roman"/>
                <w:sz w:val="24"/>
                <w:szCs w:val="24"/>
                <w:lang w:val="en-US" w:eastAsia="zh-CN"/>
              </w:rPr>
              <w:t>，包括但不限于服务承诺、技术支持、服务流程以及培训</w:t>
            </w:r>
            <w:r>
              <w:rPr>
                <w:rFonts w:hint="eastAsia" w:cs="Times New Roman"/>
                <w:sz w:val="24"/>
                <w:szCs w:val="24"/>
                <w:lang w:val="en-US" w:eastAsia="zh-CN"/>
              </w:rPr>
              <w:t>的</w:t>
            </w:r>
            <w:r>
              <w:rPr>
                <w:rFonts w:hint="eastAsia" w:ascii="Times New Roman" w:hAnsi="Times New Roman" w:eastAsia="宋体" w:cs="Times New Roman"/>
                <w:sz w:val="24"/>
                <w:szCs w:val="24"/>
                <w:lang w:val="en-US" w:eastAsia="zh-CN"/>
              </w:rPr>
              <w:t>得</w:t>
            </w:r>
            <w:r>
              <w:rPr>
                <w:rFonts w:hint="eastAsia" w:cs="Times New Roman"/>
                <w:sz w:val="24"/>
                <w:szCs w:val="24"/>
                <w:lang w:val="en-US" w:eastAsia="zh-CN"/>
              </w:rPr>
              <w:t>5</w:t>
            </w:r>
            <w:r>
              <w:rPr>
                <w:rFonts w:hint="eastAsia" w:ascii="Times New Roman" w:hAnsi="Times New Roman" w:eastAsia="宋体" w:cs="Times New Roman"/>
                <w:sz w:val="24"/>
                <w:szCs w:val="24"/>
                <w:lang w:val="en-US" w:eastAsia="zh-CN"/>
              </w:rPr>
              <w:t>分，不提供</w:t>
            </w:r>
            <w:r>
              <w:rPr>
                <w:rFonts w:hint="eastAsia" w:cs="Times New Roman"/>
                <w:sz w:val="24"/>
                <w:szCs w:val="24"/>
                <w:lang w:val="en-US" w:eastAsia="zh-CN"/>
              </w:rPr>
              <w:t>或缺项</w:t>
            </w:r>
            <w:r>
              <w:rPr>
                <w:rFonts w:hint="eastAsia" w:ascii="Times New Roman" w:hAnsi="Times New Roman" w:eastAsia="宋体" w:cs="Times New Roman"/>
                <w:sz w:val="24"/>
                <w:szCs w:val="24"/>
                <w:lang w:val="en-US" w:eastAsia="zh-CN"/>
              </w:rPr>
              <w:t>不得分；</w:t>
            </w:r>
          </w:p>
          <w:p w14:paraId="3ADB398D">
            <w:pPr>
              <w:keepNext w:val="0"/>
              <w:keepLines w:val="0"/>
              <w:pageBreakBefore w:val="0"/>
              <w:numPr>
                <w:ilvl w:val="0"/>
                <w:numId w:val="0"/>
              </w:numPr>
              <w:kinsoku/>
              <w:wordWrap/>
              <w:overflowPunct/>
              <w:topLinePunct w:val="0"/>
              <w:autoSpaceDE/>
              <w:autoSpaceDN/>
              <w:bidi w:val="0"/>
              <w:spacing w:line="288" w:lineRule="auto"/>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kern w:val="2"/>
                <w:sz w:val="24"/>
                <w:szCs w:val="24"/>
                <w:lang w:val="en-US" w:eastAsia="zh-CN" w:bidi="ar-SA"/>
              </w:rPr>
              <w:t>2、</w:t>
            </w:r>
            <w:r>
              <w:rPr>
                <w:rFonts w:hint="eastAsia" w:ascii="Times New Roman" w:hAnsi="Times New Roman" w:eastAsia="宋体" w:cs="Times New Roman"/>
                <w:sz w:val="24"/>
                <w:szCs w:val="24"/>
                <w:lang w:val="en-US" w:eastAsia="zh-CN"/>
              </w:rPr>
              <w:t>供应商根据项目实际需求和工作机制情况，制定具体的成果质量保证措施</w:t>
            </w:r>
            <w:r>
              <w:rPr>
                <w:rFonts w:hint="eastAsia" w:cs="Times New Roman"/>
                <w:sz w:val="24"/>
                <w:szCs w:val="24"/>
                <w:lang w:val="en-US" w:eastAsia="zh-CN"/>
              </w:rPr>
              <w:t>的</w:t>
            </w:r>
            <w:r>
              <w:rPr>
                <w:rFonts w:hint="eastAsia" w:ascii="Times New Roman" w:hAnsi="Times New Roman" w:eastAsia="宋体" w:cs="Times New Roman"/>
                <w:sz w:val="24"/>
                <w:szCs w:val="24"/>
                <w:lang w:val="en-US" w:eastAsia="zh-CN"/>
              </w:rPr>
              <w:t>得</w:t>
            </w:r>
            <w:r>
              <w:rPr>
                <w:rFonts w:hint="eastAsia" w:cs="Times New Roman"/>
                <w:sz w:val="24"/>
                <w:szCs w:val="24"/>
                <w:lang w:val="en-US" w:eastAsia="zh-CN"/>
              </w:rPr>
              <w:t>5</w:t>
            </w:r>
            <w:r>
              <w:rPr>
                <w:rFonts w:hint="eastAsia" w:ascii="Times New Roman" w:hAnsi="Times New Roman" w:eastAsia="宋体" w:cs="Times New Roman"/>
                <w:sz w:val="24"/>
                <w:szCs w:val="24"/>
                <w:lang w:val="en-US" w:eastAsia="zh-CN"/>
              </w:rPr>
              <w:t>分，不提供</w:t>
            </w:r>
            <w:r>
              <w:rPr>
                <w:rFonts w:hint="eastAsia" w:cs="Times New Roman"/>
                <w:sz w:val="24"/>
                <w:szCs w:val="24"/>
                <w:lang w:val="en-US" w:eastAsia="zh-CN"/>
              </w:rPr>
              <w:t>或缺项</w:t>
            </w:r>
            <w:r>
              <w:rPr>
                <w:rFonts w:hint="eastAsia" w:ascii="Times New Roman" w:hAnsi="Times New Roman" w:eastAsia="宋体" w:cs="Times New Roman"/>
                <w:sz w:val="24"/>
                <w:szCs w:val="24"/>
                <w:lang w:val="en-US" w:eastAsia="zh-CN"/>
              </w:rPr>
              <w:t>不得分；</w:t>
            </w:r>
          </w:p>
        </w:tc>
      </w:tr>
      <w:tr w14:paraId="32111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626" w:type="pct"/>
            <w:vMerge w:val="restart"/>
            <w:vAlign w:val="center"/>
          </w:tcPr>
          <w:p w14:paraId="71B71597">
            <w:pPr>
              <w:keepNext w:val="0"/>
              <w:keepLines w:val="0"/>
              <w:pageBreakBefore w:val="0"/>
              <w:widowControl/>
              <w:kinsoku/>
              <w:wordWrap/>
              <w:overflowPunct/>
              <w:topLinePunct w:val="0"/>
              <w:autoSpaceDE/>
              <w:autoSpaceDN/>
              <w:bidi w:val="0"/>
              <w:snapToGrid w:val="0"/>
              <w:spacing w:line="288" w:lineRule="auto"/>
              <w:jc w:val="center"/>
              <w:textAlignment w:val="auto"/>
              <w:rPr>
                <w:rFonts w:hint="eastAsia" w:ascii="宋体" w:hAnsi="宋体" w:eastAsia="宋体" w:cs="宋体"/>
                <w:b w:val="0"/>
                <w:bCs w:val="0"/>
                <w:color w:val="000000" w:themeColor="text1"/>
                <w:sz w:val="24"/>
                <w:szCs w:val="24"/>
                <w:highlight w:val="none"/>
                <w:lang w:val="zh-CN"/>
              </w:rPr>
            </w:pPr>
            <w:r>
              <w:rPr>
                <w:rFonts w:hint="eastAsia" w:ascii="宋体" w:hAnsi="宋体" w:eastAsia="宋体" w:cs="宋体"/>
                <w:b w:val="0"/>
                <w:bCs w:val="0"/>
                <w:color w:val="000000" w:themeColor="text1"/>
                <w:sz w:val="24"/>
                <w:szCs w:val="24"/>
                <w:highlight w:val="none"/>
                <w:lang w:val="zh-CN"/>
              </w:rPr>
              <w:t>商务部分</w:t>
            </w:r>
          </w:p>
          <w:p w14:paraId="2B52F47D">
            <w:pPr>
              <w:keepNext w:val="0"/>
              <w:keepLines w:val="0"/>
              <w:pageBreakBefore w:val="0"/>
              <w:widowControl/>
              <w:kinsoku/>
              <w:wordWrap/>
              <w:overflowPunct/>
              <w:topLinePunct w:val="0"/>
              <w:autoSpaceDE/>
              <w:autoSpaceDN/>
              <w:bidi w:val="0"/>
              <w:snapToGrid w:val="0"/>
              <w:spacing w:line="288" w:lineRule="auto"/>
              <w:jc w:val="center"/>
              <w:textAlignment w:val="auto"/>
              <w:rPr>
                <w:rFonts w:hint="eastAsia" w:ascii="宋体" w:hAnsi="宋体" w:eastAsia="宋体" w:cs="宋体"/>
                <w:b w:val="0"/>
                <w:bCs w:val="0"/>
                <w:color w:val="000000" w:themeColor="text1"/>
                <w:sz w:val="24"/>
                <w:szCs w:val="24"/>
                <w:highlight w:val="none"/>
              </w:rPr>
            </w:pPr>
            <w:r>
              <w:rPr>
                <w:rFonts w:hint="eastAsia" w:ascii="宋体" w:hAnsi="宋体" w:eastAsia="宋体" w:cs="宋体"/>
                <w:b w:val="0"/>
                <w:bCs w:val="0"/>
                <w:color w:val="000000" w:themeColor="text1"/>
                <w:sz w:val="24"/>
                <w:szCs w:val="24"/>
                <w:highlight w:val="none"/>
                <w:lang w:val="zh-CN"/>
              </w:rPr>
              <w:t>（</w:t>
            </w:r>
            <w:r>
              <w:rPr>
                <w:rFonts w:hint="eastAsia" w:ascii="宋体" w:hAnsi="宋体" w:cs="宋体"/>
                <w:b w:val="0"/>
                <w:bCs w:val="0"/>
                <w:color w:val="000000" w:themeColor="text1"/>
                <w:sz w:val="24"/>
                <w:szCs w:val="24"/>
                <w:highlight w:val="none"/>
                <w:lang w:val="en-US" w:eastAsia="zh-CN"/>
              </w:rPr>
              <w:t>44</w:t>
            </w:r>
            <w:r>
              <w:rPr>
                <w:rFonts w:hint="eastAsia" w:ascii="宋体" w:hAnsi="宋体" w:eastAsia="宋体" w:cs="宋体"/>
                <w:b w:val="0"/>
                <w:bCs w:val="0"/>
                <w:color w:val="000000" w:themeColor="text1"/>
                <w:sz w:val="24"/>
                <w:szCs w:val="24"/>
                <w:highlight w:val="none"/>
                <w:lang w:val="zh-CN"/>
              </w:rPr>
              <w:t>分）</w:t>
            </w:r>
          </w:p>
        </w:tc>
        <w:tc>
          <w:tcPr>
            <w:tcW w:w="787" w:type="pct"/>
            <w:shd w:val="clear" w:color="auto" w:fill="auto"/>
            <w:vAlign w:val="center"/>
          </w:tcPr>
          <w:p w14:paraId="4EF3DC61">
            <w:pPr>
              <w:keepNext w:val="0"/>
              <w:keepLines w:val="0"/>
              <w:pageBreakBefore w:val="0"/>
              <w:kinsoku/>
              <w:wordWrap/>
              <w:overflowPunct/>
              <w:topLinePunct w:val="0"/>
              <w:autoSpaceDE/>
              <w:autoSpaceDN/>
              <w:bidi w:val="0"/>
              <w:spacing w:line="288" w:lineRule="auto"/>
              <w:jc w:val="center"/>
              <w:textAlignment w:val="auto"/>
              <w:rPr>
                <w:rFonts w:hint="eastAsia"/>
                <w:sz w:val="24"/>
                <w:szCs w:val="24"/>
              </w:rPr>
            </w:pPr>
            <w:r>
              <w:rPr>
                <w:rFonts w:hint="eastAsia"/>
                <w:sz w:val="24"/>
                <w:szCs w:val="24"/>
              </w:rPr>
              <w:t>业绩</w:t>
            </w:r>
          </w:p>
          <w:p w14:paraId="718F1957">
            <w:pPr>
              <w:keepNext w:val="0"/>
              <w:keepLines w:val="0"/>
              <w:pageBreakBefore w:val="0"/>
              <w:kinsoku/>
              <w:wordWrap/>
              <w:overflowPunct/>
              <w:topLinePunct w:val="0"/>
              <w:autoSpaceDE/>
              <w:autoSpaceDN/>
              <w:bidi w:val="0"/>
              <w:spacing w:line="288" w:lineRule="auto"/>
              <w:jc w:val="center"/>
              <w:textAlignment w:val="auto"/>
              <w:rPr>
                <w:rFonts w:hint="eastAsia" w:ascii="宋体" w:hAnsi="宋体" w:eastAsia="宋体" w:cs="宋体"/>
                <w:b w:val="0"/>
                <w:bCs w:val="0"/>
                <w:color w:val="000000" w:themeColor="text1"/>
                <w:kern w:val="2"/>
                <w:sz w:val="24"/>
                <w:szCs w:val="24"/>
                <w:highlight w:val="none"/>
                <w:lang w:val="en-US" w:eastAsia="zh-CN" w:bidi="ar-SA"/>
              </w:rPr>
            </w:pPr>
            <w:r>
              <w:rPr>
                <w:rFonts w:hint="eastAsia"/>
                <w:sz w:val="24"/>
                <w:szCs w:val="24"/>
              </w:rPr>
              <w:t>（</w:t>
            </w:r>
            <w:r>
              <w:rPr>
                <w:rFonts w:hint="eastAsia"/>
                <w:sz w:val="24"/>
                <w:szCs w:val="24"/>
                <w:lang w:val="en-US" w:eastAsia="zh-CN"/>
              </w:rPr>
              <w:t>6</w:t>
            </w:r>
            <w:r>
              <w:rPr>
                <w:rFonts w:hint="eastAsia"/>
                <w:sz w:val="24"/>
                <w:szCs w:val="24"/>
              </w:rPr>
              <w:t>分）</w:t>
            </w:r>
          </w:p>
        </w:tc>
        <w:tc>
          <w:tcPr>
            <w:tcW w:w="3586" w:type="pct"/>
            <w:gridSpan w:val="2"/>
            <w:shd w:val="clear" w:color="auto" w:fill="auto"/>
            <w:vAlign w:val="center"/>
          </w:tcPr>
          <w:p w14:paraId="2B4AAD00">
            <w:pPr>
              <w:keepNext w:val="0"/>
              <w:keepLines w:val="0"/>
              <w:pageBreakBefore w:val="0"/>
              <w:kinsoku/>
              <w:wordWrap/>
              <w:overflowPunct/>
              <w:topLinePunct w:val="0"/>
              <w:autoSpaceDE/>
              <w:autoSpaceDN/>
              <w:bidi w:val="0"/>
              <w:spacing w:line="288" w:lineRule="auto"/>
              <w:textAlignment w:val="auto"/>
              <w:rPr>
                <w:rFonts w:hint="eastAsia" w:ascii="宋体" w:hAnsi="宋体" w:eastAsia="宋体" w:cs="宋体"/>
                <w:kern w:val="2"/>
                <w:sz w:val="24"/>
                <w:szCs w:val="24"/>
                <w:highlight w:val="none"/>
                <w:lang w:val="en-US" w:eastAsia="zh-CN" w:bidi="ar-SA"/>
              </w:rPr>
            </w:pPr>
            <w:r>
              <w:rPr>
                <w:rFonts w:hint="eastAsia"/>
                <w:sz w:val="24"/>
                <w:szCs w:val="24"/>
                <w:lang w:val="en-US" w:eastAsia="zh-CN"/>
              </w:rPr>
              <w:t>自</w:t>
            </w:r>
            <w:r>
              <w:rPr>
                <w:rFonts w:hint="eastAsia"/>
                <w:sz w:val="24"/>
                <w:szCs w:val="24"/>
                <w:lang w:val="zh-CN" w:eastAsia="zh-CN"/>
              </w:rPr>
              <w:t>20</w:t>
            </w:r>
            <w:r>
              <w:rPr>
                <w:rFonts w:hint="eastAsia"/>
                <w:sz w:val="24"/>
                <w:szCs w:val="24"/>
                <w:lang w:val="en-US" w:eastAsia="zh-CN"/>
              </w:rPr>
              <w:t>23</w:t>
            </w:r>
            <w:r>
              <w:rPr>
                <w:rFonts w:hint="eastAsia"/>
                <w:sz w:val="24"/>
                <w:szCs w:val="24"/>
                <w:lang w:val="zh-CN" w:eastAsia="zh-CN"/>
              </w:rPr>
              <w:t>年1月1日（</w:t>
            </w:r>
            <w:r>
              <w:rPr>
                <w:rFonts w:hint="eastAsia"/>
                <w:sz w:val="24"/>
                <w:szCs w:val="24"/>
                <w:lang w:val="en-US" w:eastAsia="zh-CN"/>
              </w:rPr>
              <w:t>以合同签订日期为准</w:t>
            </w:r>
            <w:r>
              <w:rPr>
                <w:rFonts w:hint="eastAsia"/>
                <w:sz w:val="24"/>
                <w:szCs w:val="24"/>
                <w:lang w:val="zh-CN" w:eastAsia="zh-CN"/>
              </w:rPr>
              <w:t>）</w:t>
            </w:r>
            <w:r>
              <w:rPr>
                <w:rFonts w:hint="eastAsia"/>
                <w:sz w:val="24"/>
                <w:szCs w:val="24"/>
                <w:lang w:val="en-US" w:eastAsia="zh-CN"/>
              </w:rPr>
              <w:t>以来供应商具有区（县）级以上政府或事业单位营</w:t>
            </w:r>
            <w:r>
              <w:rPr>
                <w:rFonts w:hint="eastAsia"/>
                <w:color w:val="auto"/>
                <w:sz w:val="24"/>
                <w:szCs w:val="24"/>
                <w:lang w:val="en-US" w:eastAsia="zh-CN"/>
              </w:rPr>
              <w:t>商环境、政务服务业绩的，每提供1份得1分，最高得6分</w:t>
            </w:r>
            <w:r>
              <w:rPr>
                <w:rFonts w:hint="eastAsia"/>
                <w:color w:val="auto"/>
                <w:sz w:val="24"/>
                <w:szCs w:val="24"/>
                <w:lang w:val="zh-CN"/>
              </w:rPr>
              <w:t>。（</w:t>
            </w:r>
            <w:r>
              <w:rPr>
                <w:rFonts w:hint="eastAsia"/>
                <w:color w:val="auto"/>
                <w:sz w:val="24"/>
                <w:szCs w:val="24"/>
                <w:lang w:val="en-US" w:eastAsia="zh-CN"/>
              </w:rPr>
              <w:t>以合同原件扫描件为准，未提供不得分</w:t>
            </w:r>
            <w:r>
              <w:rPr>
                <w:rFonts w:hint="eastAsia"/>
                <w:color w:val="auto"/>
                <w:sz w:val="24"/>
                <w:szCs w:val="24"/>
                <w:lang w:val="zh-CN"/>
              </w:rPr>
              <w:t>）</w:t>
            </w:r>
          </w:p>
        </w:tc>
      </w:tr>
      <w:tr w14:paraId="58CF7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8" w:hRule="atLeast"/>
          <w:jc w:val="center"/>
        </w:trPr>
        <w:tc>
          <w:tcPr>
            <w:tcW w:w="626" w:type="pct"/>
            <w:vMerge w:val="continue"/>
            <w:vAlign w:val="center"/>
          </w:tcPr>
          <w:p w14:paraId="17B6F78E">
            <w:pPr>
              <w:keepNext w:val="0"/>
              <w:keepLines w:val="0"/>
              <w:pageBreakBefore w:val="0"/>
              <w:widowControl/>
              <w:kinsoku/>
              <w:wordWrap/>
              <w:overflowPunct/>
              <w:topLinePunct w:val="0"/>
              <w:autoSpaceDE/>
              <w:autoSpaceDN/>
              <w:bidi w:val="0"/>
              <w:snapToGrid w:val="0"/>
              <w:spacing w:line="288" w:lineRule="auto"/>
              <w:jc w:val="center"/>
              <w:textAlignment w:val="auto"/>
              <w:rPr>
                <w:rFonts w:hint="eastAsia" w:ascii="宋体" w:hAnsi="宋体" w:eastAsia="宋体" w:cs="宋体"/>
                <w:b w:val="0"/>
                <w:bCs w:val="0"/>
                <w:color w:val="000000" w:themeColor="text1"/>
                <w:sz w:val="24"/>
                <w:szCs w:val="24"/>
                <w:highlight w:val="none"/>
                <w:lang w:val="zh-CN"/>
              </w:rPr>
            </w:pPr>
          </w:p>
        </w:tc>
        <w:tc>
          <w:tcPr>
            <w:tcW w:w="787" w:type="pct"/>
            <w:vAlign w:val="center"/>
          </w:tcPr>
          <w:p w14:paraId="4DB522AE">
            <w:pPr>
              <w:keepNext w:val="0"/>
              <w:keepLines w:val="0"/>
              <w:pageBreakBefore w:val="0"/>
              <w:kinsoku/>
              <w:wordWrap/>
              <w:overflowPunct/>
              <w:topLinePunct w:val="0"/>
              <w:autoSpaceDE/>
              <w:autoSpaceDN/>
              <w:bidi w:val="0"/>
              <w:spacing w:line="288" w:lineRule="auto"/>
              <w:jc w:val="center"/>
              <w:textAlignment w:val="auto"/>
              <w:rPr>
                <w:rFonts w:hint="eastAsia"/>
                <w:sz w:val="24"/>
                <w:szCs w:val="24"/>
                <w:lang w:val="en-US" w:eastAsia="zh-CN"/>
              </w:rPr>
            </w:pPr>
            <w:r>
              <w:rPr>
                <w:rFonts w:hint="eastAsia"/>
                <w:sz w:val="24"/>
                <w:szCs w:val="24"/>
                <w:lang w:val="en-US" w:eastAsia="zh-CN"/>
              </w:rPr>
              <w:t>人员配置</w:t>
            </w:r>
          </w:p>
          <w:p w14:paraId="2168A982">
            <w:pPr>
              <w:keepNext w:val="0"/>
              <w:keepLines w:val="0"/>
              <w:pageBreakBefore w:val="0"/>
              <w:kinsoku/>
              <w:wordWrap/>
              <w:overflowPunct/>
              <w:topLinePunct w:val="0"/>
              <w:autoSpaceDE/>
              <w:autoSpaceDN/>
              <w:bidi w:val="0"/>
              <w:spacing w:line="288" w:lineRule="auto"/>
              <w:jc w:val="center"/>
              <w:textAlignment w:val="auto"/>
              <w:rPr>
                <w:rFonts w:hint="eastAsia" w:ascii="宋体" w:hAnsi="宋体" w:eastAsia="宋体" w:cs="宋体"/>
                <w:color w:val="auto"/>
                <w:sz w:val="24"/>
                <w:szCs w:val="24"/>
                <w:highlight w:val="none"/>
                <w:lang w:val="en-US" w:eastAsia="zh-CN"/>
              </w:rPr>
            </w:pPr>
            <w:r>
              <w:rPr>
                <w:rFonts w:hint="eastAsia"/>
                <w:sz w:val="24"/>
                <w:szCs w:val="24"/>
                <w:lang w:val="en-US" w:eastAsia="zh-CN"/>
              </w:rPr>
              <w:t>（38分）</w:t>
            </w:r>
          </w:p>
        </w:tc>
        <w:tc>
          <w:tcPr>
            <w:tcW w:w="3586" w:type="pct"/>
            <w:gridSpan w:val="2"/>
            <w:vAlign w:val="center"/>
          </w:tcPr>
          <w:p w14:paraId="26667491">
            <w:pPr>
              <w:keepNext w:val="0"/>
              <w:keepLines w:val="0"/>
              <w:pageBreakBefore w:val="0"/>
              <w:numPr>
                <w:ilvl w:val="0"/>
                <w:numId w:val="0"/>
              </w:numPr>
              <w:kinsoku/>
              <w:wordWrap/>
              <w:overflowPunct/>
              <w:topLinePunct w:val="0"/>
              <w:autoSpaceDE/>
              <w:autoSpaceDN/>
              <w:bidi w:val="0"/>
              <w:spacing w:line="288" w:lineRule="auto"/>
              <w:textAlignment w:val="auto"/>
              <w:rPr>
                <w:rFonts w:hint="eastAsia"/>
                <w:color w:val="auto"/>
                <w:sz w:val="24"/>
                <w:szCs w:val="24"/>
                <w:highlight w:val="none"/>
                <w:lang w:val="en-US" w:eastAsia="zh-CN"/>
              </w:rPr>
            </w:pPr>
            <w:r>
              <w:rPr>
                <w:rFonts w:hint="eastAsia" w:ascii="Times New Roman" w:hAnsi="Times New Roman" w:eastAsia="宋体" w:cs="Times New Roman"/>
                <w:color w:val="auto"/>
                <w:kern w:val="2"/>
                <w:sz w:val="24"/>
                <w:szCs w:val="24"/>
                <w:lang w:val="en-US" w:eastAsia="zh-CN" w:bidi="ar-SA"/>
              </w:rPr>
              <w:t>1、</w:t>
            </w:r>
            <w:r>
              <w:rPr>
                <w:rFonts w:hint="eastAsia"/>
                <w:sz w:val="24"/>
                <w:szCs w:val="24"/>
                <w:lang w:val="en-US" w:eastAsia="zh-CN"/>
              </w:rPr>
              <w:t>具</w:t>
            </w:r>
            <w:r>
              <w:rPr>
                <w:rFonts w:hint="eastAsia"/>
                <w:color w:val="auto"/>
                <w:sz w:val="24"/>
                <w:szCs w:val="24"/>
                <w:lang w:val="en-US" w:eastAsia="zh-CN"/>
              </w:rPr>
              <w:t>有专业营商环境智库团队，其中项目负责人具有新闻学、政治学、经济学、管理学等相关专业副高及以上职称且具有博士以上学位，得2分，项目负责人具有新闻学、经济学、政治学、管理学等相关专业正高称且具有博士以上学位，得5分，本项最高得5分；</w:t>
            </w:r>
            <w:r>
              <w:rPr>
                <w:rFonts w:hint="eastAsia"/>
                <w:color w:val="auto"/>
                <w:sz w:val="24"/>
                <w:szCs w:val="24"/>
                <w:highlight w:val="none"/>
                <w:lang w:val="en-US" w:eastAsia="zh-CN"/>
              </w:rPr>
              <w:t>（须提供职称证、学位证扫描件，未提供不得分）</w:t>
            </w:r>
          </w:p>
          <w:p w14:paraId="0D93FB01">
            <w:pPr>
              <w:keepNext w:val="0"/>
              <w:keepLines w:val="0"/>
              <w:pageBreakBefore w:val="0"/>
              <w:numPr>
                <w:ilvl w:val="0"/>
                <w:numId w:val="0"/>
              </w:numPr>
              <w:kinsoku/>
              <w:wordWrap/>
              <w:overflowPunct/>
              <w:topLinePunct w:val="0"/>
              <w:autoSpaceDE/>
              <w:autoSpaceDN/>
              <w:bidi w:val="0"/>
              <w:spacing w:line="288" w:lineRule="auto"/>
              <w:textAlignment w:val="auto"/>
              <w:rPr>
                <w:rFonts w:hint="eastAsia"/>
                <w:color w:val="auto"/>
                <w:sz w:val="24"/>
                <w:szCs w:val="24"/>
                <w:highlight w:val="none"/>
                <w:lang w:val="en-US" w:eastAsia="zh-CN"/>
              </w:rPr>
            </w:pPr>
            <w:r>
              <w:rPr>
                <w:rFonts w:hint="eastAsia" w:ascii="Times New Roman" w:hAnsi="Times New Roman" w:eastAsia="宋体" w:cs="Times New Roman"/>
                <w:color w:val="auto"/>
                <w:kern w:val="2"/>
                <w:sz w:val="24"/>
                <w:szCs w:val="24"/>
                <w:lang w:val="en-US" w:eastAsia="zh-CN" w:bidi="ar-SA"/>
              </w:rPr>
              <w:t>2、</w:t>
            </w:r>
            <w:r>
              <w:rPr>
                <w:rFonts w:hint="eastAsia"/>
                <w:color w:val="auto"/>
                <w:sz w:val="24"/>
                <w:szCs w:val="24"/>
                <w:lang w:val="en-US" w:eastAsia="zh-CN"/>
              </w:rPr>
              <w:t>项目负责人承担过省部级及以上科研项目的2分；项目负责人承担过国家级科研项目的得5分，本项最高得5分，未提供不得分；</w:t>
            </w:r>
            <w:r>
              <w:rPr>
                <w:rFonts w:hint="eastAsia"/>
                <w:color w:val="auto"/>
                <w:sz w:val="24"/>
                <w:szCs w:val="24"/>
                <w:highlight w:val="none"/>
                <w:lang w:val="en-US" w:eastAsia="zh-CN"/>
              </w:rPr>
              <w:t>（须提供项目立项及结项文件，未提供不得分）</w:t>
            </w:r>
          </w:p>
          <w:p w14:paraId="5A73716F">
            <w:pPr>
              <w:keepNext w:val="0"/>
              <w:keepLines w:val="0"/>
              <w:pageBreakBefore w:val="0"/>
              <w:numPr>
                <w:ilvl w:val="0"/>
                <w:numId w:val="0"/>
              </w:numPr>
              <w:kinsoku/>
              <w:wordWrap/>
              <w:overflowPunct/>
              <w:topLinePunct w:val="0"/>
              <w:autoSpaceDE/>
              <w:autoSpaceDN/>
              <w:bidi w:val="0"/>
              <w:spacing w:line="288" w:lineRule="auto"/>
              <w:textAlignment w:val="auto"/>
              <w:rPr>
                <w:rFonts w:hint="eastAsia"/>
                <w:color w:val="auto"/>
                <w:sz w:val="24"/>
                <w:szCs w:val="24"/>
                <w:lang w:val="en-US" w:eastAsia="zh-CN"/>
              </w:rPr>
            </w:pPr>
            <w:r>
              <w:rPr>
                <w:rFonts w:hint="eastAsia" w:ascii="Times New Roman" w:hAnsi="Times New Roman" w:eastAsia="宋体" w:cs="Times New Roman"/>
                <w:color w:val="auto"/>
                <w:kern w:val="2"/>
                <w:sz w:val="24"/>
                <w:szCs w:val="24"/>
                <w:lang w:val="en-US" w:eastAsia="zh-CN" w:bidi="ar-SA"/>
              </w:rPr>
              <w:t>3、</w:t>
            </w:r>
            <w:r>
              <w:rPr>
                <w:rFonts w:hint="eastAsia"/>
                <w:color w:val="auto"/>
                <w:sz w:val="24"/>
                <w:szCs w:val="24"/>
                <w:lang w:val="en-US" w:eastAsia="zh-CN"/>
              </w:rPr>
              <w:t>项目负责人具有省级以上人才称号的加5分，未提供不得分；（需提供证书扫描件）</w:t>
            </w:r>
          </w:p>
          <w:p w14:paraId="7381DC4B">
            <w:pPr>
              <w:keepNext w:val="0"/>
              <w:keepLines w:val="0"/>
              <w:pageBreakBefore w:val="0"/>
              <w:numPr>
                <w:ilvl w:val="0"/>
                <w:numId w:val="0"/>
              </w:numPr>
              <w:kinsoku/>
              <w:wordWrap/>
              <w:overflowPunct/>
              <w:topLinePunct w:val="0"/>
              <w:autoSpaceDE/>
              <w:autoSpaceDN/>
              <w:bidi w:val="0"/>
              <w:spacing w:line="288" w:lineRule="auto"/>
              <w:textAlignment w:val="auto"/>
              <w:rPr>
                <w:rFonts w:hint="eastAsia"/>
                <w:color w:val="auto"/>
                <w:sz w:val="24"/>
                <w:szCs w:val="24"/>
                <w:highlight w:val="none"/>
                <w:lang w:val="en-US" w:eastAsia="zh-CN"/>
              </w:rPr>
            </w:pPr>
            <w:r>
              <w:rPr>
                <w:rFonts w:hint="eastAsia" w:ascii="Times New Roman" w:hAnsi="Times New Roman" w:eastAsia="宋体" w:cs="Times New Roman"/>
                <w:color w:val="auto"/>
                <w:kern w:val="2"/>
                <w:sz w:val="24"/>
                <w:szCs w:val="24"/>
                <w:lang w:val="zh-CN" w:eastAsia="zh-CN" w:bidi="ar-SA"/>
              </w:rPr>
              <w:t>4、</w:t>
            </w:r>
            <w:r>
              <w:rPr>
                <w:rFonts w:hint="eastAsia"/>
                <w:color w:val="auto"/>
                <w:sz w:val="24"/>
                <w:szCs w:val="24"/>
                <w:lang w:val="en-US" w:eastAsia="zh-CN"/>
              </w:rPr>
              <w:t>团队成员中具有新闻学、政治学、经济学、管理学等相关专业中级及以上职称，且具有博士及以上学历的，每人得1分，最多得15分；</w:t>
            </w:r>
            <w:r>
              <w:rPr>
                <w:rFonts w:hint="eastAsia"/>
                <w:color w:val="auto"/>
                <w:sz w:val="24"/>
                <w:szCs w:val="24"/>
                <w:highlight w:val="none"/>
                <w:lang w:val="en-US" w:eastAsia="zh-CN"/>
              </w:rPr>
              <w:t>（须提供职称证、学位证扫描件，未提供不得分）</w:t>
            </w:r>
          </w:p>
          <w:p w14:paraId="07193112">
            <w:pPr>
              <w:keepNext w:val="0"/>
              <w:keepLines w:val="0"/>
              <w:pageBreakBefore w:val="0"/>
              <w:numPr>
                <w:ilvl w:val="0"/>
                <w:numId w:val="0"/>
              </w:numPr>
              <w:kinsoku/>
              <w:wordWrap/>
              <w:overflowPunct/>
              <w:topLinePunct w:val="0"/>
              <w:autoSpaceDE/>
              <w:autoSpaceDN/>
              <w:bidi w:val="0"/>
              <w:spacing w:line="288" w:lineRule="auto"/>
              <w:textAlignment w:val="auto"/>
              <w:rPr>
                <w:rFonts w:hint="eastAsia"/>
                <w:color w:val="auto"/>
                <w:sz w:val="24"/>
                <w:szCs w:val="24"/>
                <w:lang w:val="zh-CN" w:eastAsia="zh-CN"/>
              </w:rPr>
            </w:pPr>
            <w:r>
              <w:rPr>
                <w:rFonts w:hint="eastAsia" w:ascii="Times New Roman" w:hAnsi="Times New Roman" w:eastAsia="宋体" w:cs="Times New Roman"/>
                <w:color w:val="auto"/>
                <w:kern w:val="2"/>
                <w:sz w:val="24"/>
                <w:szCs w:val="24"/>
                <w:lang w:val="zh-CN" w:eastAsia="zh-CN" w:bidi="ar-SA"/>
              </w:rPr>
              <w:t>5、</w:t>
            </w:r>
            <w:r>
              <w:rPr>
                <w:rFonts w:hint="eastAsia"/>
                <w:color w:val="auto"/>
                <w:sz w:val="24"/>
                <w:szCs w:val="24"/>
                <w:lang w:val="en-US" w:eastAsia="zh-CN"/>
              </w:rPr>
              <w:t>团队成员中担任过区（县）级以上政府或事业单位营商环境、政务服务业绩项目负责人的，每人加1分，最高得3分；</w:t>
            </w:r>
            <w:r>
              <w:rPr>
                <w:rFonts w:hint="eastAsia"/>
                <w:color w:val="auto"/>
                <w:sz w:val="24"/>
                <w:szCs w:val="24"/>
                <w:highlight w:val="none"/>
                <w:lang w:val="en-US" w:eastAsia="zh-CN"/>
              </w:rPr>
              <w:t>（须提供能够明确项目负责人的业绩合同扫描件，未提供不得分）</w:t>
            </w:r>
          </w:p>
          <w:p w14:paraId="24B800ED">
            <w:pPr>
              <w:keepNext w:val="0"/>
              <w:keepLines w:val="0"/>
              <w:pageBreakBefore w:val="0"/>
              <w:kinsoku/>
              <w:wordWrap/>
              <w:overflowPunct/>
              <w:topLinePunct w:val="0"/>
              <w:autoSpaceDE/>
              <w:autoSpaceDN/>
              <w:bidi w:val="0"/>
              <w:spacing w:line="288" w:lineRule="auto"/>
              <w:textAlignment w:val="auto"/>
              <w:rPr>
                <w:rFonts w:hint="eastAsia" w:ascii="宋体" w:hAnsi="宋体" w:eastAsia="宋体" w:cs="宋体"/>
                <w:color w:val="auto"/>
                <w:sz w:val="24"/>
                <w:szCs w:val="24"/>
                <w:highlight w:val="none"/>
                <w:lang w:val="en-US" w:eastAsia="zh-CN"/>
              </w:rPr>
            </w:pPr>
            <w:r>
              <w:rPr>
                <w:rFonts w:hint="eastAsia" w:ascii="Times New Roman" w:hAnsi="Times New Roman" w:eastAsia="宋体" w:cs="Times New Roman"/>
                <w:color w:val="auto"/>
                <w:kern w:val="2"/>
                <w:sz w:val="24"/>
                <w:szCs w:val="24"/>
                <w:lang w:val="en-US" w:eastAsia="zh-CN" w:bidi="ar-SA"/>
              </w:rPr>
              <w:t>6、</w:t>
            </w:r>
            <w:r>
              <w:rPr>
                <w:rFonts w:hint="eastAsia"/>
                <w:color w:val="auto"/>
                <w:sz w:val="24"/>
                <w:szCs w:val="24"/>
                <w:lang w:val="en-US" w:eastAsia="zh-CN"/>
              </w:rPr>
              <w:t>团队成员中承担过省部级及以上科研项目的，每人加1分，最高得5分；</w:t>
            </w:r>
            <w:r>
              <w:rPr>
                <w:rFonts w:hint="eastAsia"/>
                <w:color w:val="auto"/>
                <w:sz w:val="24"/>
                <w:szCs w:val="24"/>
                <w:highlight w:val="none"/>
                <w:lang w:val="en-US" w:eastAsia="zh-CN"/>
              </w:rPr>
              <w:t>（须提供项目立项及结项文件，未提供不得分）</w:t>
            </w:r>
          </w:p>
        </w:tc>
      </w:tr>
    </w:tbl>
    <w:p w14:paraId="4EB1125A">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73465493">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415DB977">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F073BD9">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34D26EA0">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1A04931">
      <w:pPr>
        <w:spacing w:line="560" w:lineRule="exact"/>
        <w:ind w:firstLine="480" w:firstLineChars="200"/>
        <w:rPr>
          <w:rFonts w:ascii="宋体" w:hAnsi="宋体" w:cs="宋体"/>
          <w:sz w:val="24"/>
          <w:highlight w:val="none"/>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p>
    <w:p w14:paraId="01FFD1A5">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4A8EA669">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06700C63">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0C410CC7">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5ABCEAC3">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689D0410">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074A88FE">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004C48C2">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4BEB4A01">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65447B62">
      <w:pPr>
        <w:pStyle w:val="41"/>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w:t>
      </w:r>
      <w:r>
        <w:rPr>
          <w:rFonts w:hint="eastAsia" w:ascii="宋体" w:hAnsi="宋体" w:cs="宋体"/>
          <w:sz w:val="24"/>
          <w:highlight w:val="none"/>
          <w:lang w:val="en-US" w:eastAsia="zh-CN"/>
        </w:rPr>
        <w:t>1</w:t>
      </w:r>
      <w:r>
        <w:rPr>
          <w:rFonts w:hint="eastAsia" w:ascii="宋体" w:hAnsi="宋体" w:cs="宋体"/>
          <w:sz w:val="24"/>
          <w:highlight w:val="none"/>
        </w:rPr>
        <w:t>个工作日内在评审报告推荐的中标或者成交候选人中按顺序确定中标或者成交供应商。</w:t>
      </w:r>
    </w:p>
    <w:p w14:paraId="45BBDAD2">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24.2在发出成交公告后请采购人、中标人登录周口市公共资源交易中心网（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）自行下载</w:t>
      </w:r>
      <w:r>
        <w:rPr>
          <w:rFonts w:hint="eastAsia" w:cs="宋体"/>
          <w:sz w:val="24"/>
          <w:highlight w:val="none"/>
        </w:rPr>
        <w:t>成交</w:t>
      </w:r>
      <w:r>
        <w:rPr>
          <w:rFonts w:hint="eastAsia" w:ascii="宋体" w:hAnsi="宋体" w:cs="宋体"/>
          <w:sz w:val="24"/>
          <w:highlight w:val="none"/>
        </w:rPr>
        <w:t>通知书。</w:t>
      </w:r>
    </w:p>
    <w:p w14:paraId="4B3B4134">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2CCF8626">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22118E27">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2F1CF9E4">
      <w:pPr>
        <w:spacing w:line="560" w:lineRule="exact"/>
        <w:ind w:firstLine="480" w:firstLineChars="200"/>
        <w:rPr>
          <w:rFonts w:ascii="宋体" w:hAnsi="宋体" w:cs="宋体"/>
          <w:sz w:val="24"/>
          <w:highlight w:val="none"/>
        </w:rPr>
      </w:pPr>
      <w:r>
        <w:rPr>
          <w:rFonts w:hint="eastAsia" w:ascii="宋体" w:hAnsi="宋体" w:cs="宋体"/>
          <w:sz w:val="24"/>
          <w:highlight w:val="none"/>
        </w:rPr>
        <w:t>25.1采购人、成交供应商按照竞争性磋商文件确定的合同文本签订政府采购合同。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6EEA9D3E">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676FC6C0">
      <w:pPr>
        <w:spacing w:line="560" w:lineRule="exact"/>
        <w:ind w:firstLine="480" w:firstLineChars="200"/>
        <w:rPr>
          <w:rFonts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8B05E6A">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58516F1F">
      <w:pPr>
        <w:pStyle w:val="3"/>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14:paraId="18855F1A">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BCB5B5D">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15243FB0">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32694304">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CCB8A1D">
      <w:pPr>
        <w:spacing w:line="560" w:lineRule="exact"/>
        <w:rPr>
          <w:rFonts w:ascii="宋体" w:hAnsi="宋体" w:cs="宋体"/>
          <w:sz w:val="24"/>
          <w:highlight w:val="none"/>
        </w:rPr>
        <w:sectPr>
          <w:footerReference r:id="rId4" w:type="default"/>
          <w:pgSz w:w="11907" w:h="16840"/>
          <w:pgMar w:top="2098" w:right="1474" w:bottom="1985" w:left="1588" w:header="851" w:footer="992" w:gutter="0"/>
          <w:pgNumType w:fmt="decimal" w:start="1"/>
          <w:cols w:space="720" w:num="1"/>
          <w:docGrid w:type="lines" w:linePitch="312" w:charSpace="0"/>
        </w:sectPr>
      </w:pPr>
    </w:p>
    <w:p w14:paraId="143BAFE5">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第三章 采购项目内容及要求</w:t>
      </w:r>
    </w:p>
    <w:p w14:paraId="1756C88B">
      <w:pPr>
        <w:spacing w:line="360" w:lineRule="auto"/>
        <w:jc w:val="both"/>
        <w:rPr>
          <w:rFonts w:hint="eastAsia" w:ascii="宋体" w:hAnsi="宋体" w:eastAsia="宋体" w:cs="宋体"/>
          <w:b/>
          <w:color w:val="auto"/>
          <w:sz w:val="24"/>
          <w:szCs w:val="24"/>
          <w:highlight w:val="none"/>
        </w:rPr>
      </w:pPr>
      <w:r>
        <w:rPr>
          <w:rFonts w:hint="eastAsia" w:asciiTheme="minorEastAsia" w:hAnsiTheme="minorEastAsia" w:cstheme="minorEastAsia"/>
          <w:b/>
          <w:bCs w:val="0"/>
          <w:sz w:val="24"/>
          <w:szCs w:val="24"/>
          <w:highlight w:val="none"/>
          <w:lang w:val="en-US" w:eastAsia="zh-CN"/>
        </w:rPr>
        <w:t>（1）</w:t>
      </w:r>
      <w:r>
        <w:rPr>
          <w:rFonts w:hint="eastAsia" w:ascii="宋体" w:hAnsi="宋体" w:cs="宋体"/>
          <w:b/>
          <w:color w:val="auto"/>
          <w:sz w:val="24"/>
          <w:highlight w:val="none"/>
        </w:rPr>
        <w:t>采购项目内容</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7"/>
        <w:gridCol w:w="1091"/>
        <w:gridCol w:w="6477"/>
        <w:gridCol w:w="521"/>
        <w:gridCol w:w="521"/>
      </w:tblGrid>
      <w:tr w14:paraId="5137D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0" w:type="auto"/>
            <w:gridSpan w:val="2"/>
            <w:noWrap w:val="0"/>
            <w:vAlign w:val="center"/>
          </w:tcPr>
          <w:p w14:paraId="1A7861BC">
            <w:pPr>
              <w:jc w:val="center"/>
              <w:rPr>
                <w:rFonts w:hint="eastAsia" w:ascii="宋体" w:hAnsi="宋体" w:eastAsia="宋体" w:cs="宋体"/>
                <w:b/>
                <w:sz w:val="24"/>
              </w:rPr>
            </w:pPr>
            <w:r>
              <w:rPr>
                <w:rFonts w:hint="eastAsia" w:ascii="宋体" w:hAnsi="宋体" w:eastAsia="宋体" w:cs="宋体"/>
                <w:b/>
                <w:sz w:val="24"/>
              </w:rPr>
              <w:t>名称</w:t>
            </w:r>
          </w:p>
        </w:tc>
        <w:tc>
          <w:tcPr>
            <w:tcW w:w="0" w:type="auto"/>
            <w:noWrap w:val="0"/>
            <w:vAlign w:val="center"/>
          </w:tcPr>
          <w:p w14:paraId="34A87667">
            <w:pPr>
              <w:jc w:val="center"/>
              <w:rPr>
                <w:rFonts w:hint="eastAsia" w:ascii="宋体" w:hAnsi="宋体" w:eastAsia="宋体" w:cs="宋体"/>
                <w:b/>
                <w:sz w:val="24"/>
                <w:lang w:val="en-US" w:eastAsia="zh-CN"/>
              </w:rPr>
            </w:pPr>
            <w:r>
              <w:rPr>
                <w:rFonts w:hint="eastAsia" w:ascii="宋体" w:hAnsi="宋体" w:eastAsia="宋体" w:cs="宋体"/>
                <w:b/>
                <w:sz w:val="24"/>
                <w:lang w:val="en-US" w:eastAsia="zh-CN"/>
              </w:rPr>
              <w:t>服务内容</w:t>
            </w:r>
          </w:p>
        </w:tc>
        <w:tc>
          <w:tcPr>
            <w:tcW w:w="0" w:type="auto"/>
            <w:noWrap w:val="0"/>
            <w:vAlign w:val="center"/>
          </w:tcPr>
          <w:p w14:paraId="24B697E7">
            <w:pPr>
              <w:jc w:val="center"/>
              <w:rPr>
                <w:rFonts w:hint="eastAsia" w:ascii="宋体" w:hAnsi="宋体" w:eastAsia="宋体" w:cs="宋体"/>
                <w:b/>
                <w:sz w:val="24"/>
              </w:rPr>
            </w:pPr>
            <w:r>
              <w:rPr>
                <w:rFonts w:hint="eastAsia" w:ascii="宋体" w:hAnsi="宋体" w:eastAsia="宋体" w:cs="宋体"/>
                <w:b/>
                <w:sz w:val="24"/>
              </w:rPr>
              <w:t>单位</w:t>
            </w:r>
          </w:p>
        </w:tc>
        <w:tc>
          <w:tcPr>
            <w:tcW w:w="0" w:type="auto"/>
            <w:noWrap w:val="0"/>
            <w:vAlign w:val="center"/>
          </w:tcPr>
          <w:p w14:paraId="2ED4271B">
            <w:pPr>
              <w:jc w:val="center"/>
              <w:rPr>
                <w:rFonts w:hint="eastAsia" w:ascii="宋体" w:hAnsi="宋体" w:eastAsia="宋体" w:cs="宋体"/>
                <w:b/>
                <w:sz w:val="24"/>
              </w:rPr>
            </w:pPr>
            <w:r>
              <w:rPr>
                <w:rFonts w:hint="eastAsia" w:ascii="宋体" w:hAnsi="宋体" w:eastAsia="宋体" w:cs="宋体"/>
                <w:b/>
                <w:sz w:val="24"/>
              </w:rPr>
              <w:t>数量</w:t>
            </w:r>
          </w:p>
        </w:tc>
      </w:tr>
      <w:tr w14:paraId="79D9D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0" w:type="auto"/>
            <w:noWrap w:val="0"/>
            <w:vAlign w:val="center"/>
          </w:tcPr>
          <w:p w14:paraId="6CB48615">
            <w:pPr>
              <w:jc w:val="center"/>
              <w:rPr>
                <w:rFonts w:hint="eastAsia" w:ascii="宋体" w:hAnsi="宋体" w:eastAsia="宋体" w:cs="宋体"/>
                <w:b/>
                <w:sz w:val="24"/>
              </w:rPr>
            </w:pPr>
            <w:r>
              <w:rPr>
                <w:rFonts w:hint="eastAsia" w:ascii="宋体" w:hAnsi="宋体" w:eastAsia="宋体" w:cs="宋体"/>
                <w:b/>
                <w:sz w:val="24"/>
              </w:rPr>
              <w:t>1</w:t>
            </w:r>
          </w:p>
        </w:tc>
        <w:tc>
          <w:tcPr>
            <w:tcW w:w="0" w:type="auto"/>
            <w:noWrap w:val="0"/>
            <w:vAlign w:val="center"/>
          </w:tcPr>
          <w:p w14:paraId="2AE55C88">
            <w:pPr>
              <w:jc w:val="center"/>
              <w:rPr>
                <w:rFonts w:hint="eastAsia" w:ascii="宋体" w:hAnsi="宋体" w:eastAsia="宋体" w:cs="宋体"/>
                <w:color w:val="000000"/>
                <w:sz w:val="24"/>
              </w:rPr>
            </w:pPr>
            <w:r>
              <w:rPr>
                <w:rFonts w:hint="eastAsia" w:ascii="宋体" w:hAnsi="宋体" w:eastAsia="宋体" w:cs="宋体"/>
                <w:color w:val="000000"/>
                <w:sz w:val="24"/>
              </w:rPr>
              <w:t>营商环境跟踪评估诊断</w:t>
            </w:r>
          </w:p>
        </w:tc>
        <w:tc>
          <w:tcPr>
            <w:tcW w:w="0" w:type="auto"/>
            <w:noWrap w:val="0"/>
            <w:vAlign w:val="center"/>
          </w:tcPr>
          <w:p w14:paraId="03AA9463">
            <w:pPr>
              <w:jc w:val="center"/>
              <w:rPr>
                <w:rFonts w:hint="eastAsia" w:ascii="宋体" w:hAnsi="宋体" w:eastAsia="宋体" w:cs="宋体"/>
                <w:color w:val="000000"/>
                <w:sz w:val="24"/>
                <w:lang w:val="en-US" w:eastAsia="zh-CN"/>
              </w:rPr>
            </w:pPr>
            <w:r>
              <w:rPr>
                <w:rFonts w:hint="eastAsia" w:ascii="宋体" w:hAnsi="宋体" w:eastAsia="宋体" w:cs="宋体"/>
                <w:color w:val="000000"/>
                <w:sz w:val="24"/>
              </w:rPr>
              <w:t>深入调研川汇区营商环境，涵盖政务服务、市场环境、法治环境等方面，按季度收集数据并进行专业分析，撰写详细的现状评估报告，指出优势与不足，并在合同结束前形成总体报告</w:t>
            </w:r>
            <w:r>
              <w:rPr>
                <w:rFonts w:hint="eastAsia" w:ascii="宋体" w:hAnsi="宋体" w:eastAsia="宋体" w:cs="宋体"/>
                <w:color w:val="000000"/>
                <w:sz w:val="24"/>
                <w:lang w:eastAsia="zh-CN"/>
              </w:rPr>
              <w:t>，</w:t>
            </w:r>
            <w:r>
              <w:rPr>
                <w:rFonts w:hint="eastAsia" w:ascii="宋体" w:hAnsi="宋体" w:eastAsia="宋体" w:cs="宋体"/>
                <w:color w:val="000000"/>
                <w:sz w:val="24"/>
                <w:lang w:val="en-US" w:eastAsia="zh-CN"/>
              </w:rPr>
              <w:t>并制定营商环境优化方案。</w:t>
            </w:r>
          </w:p>
          <w:p w14:paraId="7A12F66F">
            <w:pPr>
              <w:jc w:val="center"/>
              <w:rPr>
                <w:rFonts w:hint="eastAsia" w:ascii="宋体" w:hAnsi="宋体" w:eastAsia="宋体" w:cs="宋体"/>
                <w:color w:val="000000"/>
                <w:sz w:val="24"/>
              </w:rPr>
            </w:pPr>
          </w:p>
        </w:tc>
        <w:tc>
          <w:tcPr>
            <w:tcW w:w="0" w:type="auto"/>
            <w:noWrap w:val="0"/>
            <w:vAlign w:val="center"/>
          </w:tcPr>
          <w:p w14:paraId="356ABF77">
            <w:pPr>
              <w:jc w:val="center"/>
              <w:rPr>
                <w:rFonts w:hint="eastAsia" w:ascii="宋体" w:hAnsi="宋体" w:eastAsia="宋体" w:cs="宋体"/>
                <w:color w:val="000000"/>
                <w:sz w:val="24"/>
              </w:rPr>
            </w:pPr>
            <w:r>
              <w:rPr>
                <w:rFonts w:hint="eastAsia" w:ascii="宋体" w:hAnsi="宋体" w:eastAsia="宋体" w:cs="宋体"/>
                <w:color w:val="000000"/>
                <w:sz w:val="24"/>
              </w:rPr>
              <w:t>项</w:t>
            </w:r>
          </w:p>
        </w:tc>
        <w:tc>
          <w:tcPr>
            <w:tcW w:w="0" w:type="auto"/>
            <w:noWrap w:val="0"/>
            <w:vAlign w:val="center"/>
          </w:tcPr>
          <w:p w14:paraId="09407A77">
            <w:pPr>
              <w:jc w:val="center"/>
              <w:rPr>
                <w:rFonts w:hint="eastAsia" w:ascii="宋体" w:hAnsi="宋体" w:eastAsia="宋体" w:cs="宋体"/>
                <w:color w:val="000000"/>
                <w:sz w:val="24"/>
                <w:lang w:val="en-US" w:eastAsia="zh-CN"/>
              </w:rPr>
            </w:pPr>
            <w:r>
              <w:rPr>
                <w:rFonts w:hint="eastAsia" w:ascii="宋体" w:hAnsi="宋体" w:eastAsia="宋体" w:cs="宋体"/>
                <w:color w:val="000000"/>
                <w:sz w:val="24"/>
                <w:lang w:val="en-US" w:eastAsia="zh-CN"/>
              </w:rPr>
              <w:t>5</w:t>
            </w:r>
          </w:p>
        </w:tc>
      </w:tr>
      <w:tr w14:paraId="43721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0" w:type="auto"/>
            <w:noWrap w:val="0"/>
            <w:vAlign w:val="center"/>
          </w:tcPr>
          <w:p w14:paraId="5901904F">
            <w:pPr>
              <w:jc w:val="center"/>
              <w:rPr>
                <w:rFonts w:hint="eastAsia" w:ascii="宋体" w:hAnsi="宋体" w:eastAsia="宋体" w:cs="宋体"/>
                <w:b/>
                <w:sz w:val="24"/>
              </w:rPr>
            </w:pPr>
            <w:r>
              <w:rPr>
                <w:rFonts w:hint="eastAsia" w:ascii="宋体" w:hAnsi="宋体" w:eastAsia="宋体" w:cs="宋体"/>
                <w:b/>
                <w:sz w:val="24"/>
              </w:rPr>
              <w:t>2</w:t>
            </w:r>
          </w:p>
        </w:tc>
        <w:tc>
          <w:tcPr>
            <w:tcW w:w="0" w:type="auto"/>
            <w:noWrap w:val="0"/>
            <w:vAlign w:val="center"/>
          </w:tcPr>
          <w:p w14:paraId="1077D8EB">
            <w:pPr>
              <w:jc w:val="center"/>
              <w:rPr>
                <w:rFonts w:hint="eastAsia" w:ascii="宋体" w:hAnsi="宋体" w:eastAsia="宋体" w:cs="宋体"/>
                <w:color w:val="000000"/>
                <w:sz w:val="24"/>
              </w:rPr>
            </w:pPr>
            <w:r>
              <w:rPr>
                <w:rFonts w:hint="eastAsia" w:ascii="宋体" w:hAnsi="宋体" w:eastAsia="宋体" w:cs="宋体"/>
                <w:color w:val="000000"/>
                <w:sz w:val="24"/>
              </w:rPr>
              <w:t>政务服务效能提升</w:t>
            </w:r>
          </w:p>
        </w:tc>
        <w:tc>
          <w:tcPr>
            <w:tcW w:w="0" w:type="auto"/>
            <w:noWrap w:val="0"/>
            <w:vAlign w:val="center"/>
          </w:tcPr>
          <w:p w14:paraId="1F95924D">
            <w:pPr>
              <w:jc w:val="center"/>
              <w:rPr>
                <w:rFonts w:hint="eastAsia" w:ascii="宋体" w:hAnsi="宋体" w:eastAsia="宋体" w:cs="宋体"/>
                <w:color w:val="000000"/>
                <w:sz w:val="24"/>
              </w:rPr>
            </w:pPr>
            <w:r>
              <w:rPr>
                <w:rFonts w:hint="eastAsia" w:ascii="宋体" w:hAnsi="宋体" w:eastAsia="宋体" w:cs="宋体"/>
                <w:color w:val="000000"/>
                <w:sz w:val="24"/>
              </w:rPr>
              <w:t>每月对行政服务大厅开展模拟暗访，设计并开展“一窗通办”人员培训，对政务大厅服务标准化、规范化、便利化建设提出指导与改进建议。</w:t>
            </w:r>
          </w:p>
          <w:p w14:paraId="0FC63506">
            <w:pPr>
              <w:jc w:val="center"/>
              <w:rPr>
                <w:rFonts w:hint="eastAsia" w:ascii="宋体" w:hAnsi="宋体" w:eastAsia="宋体" w:cs="宋体"/>
                <w:color w:val="000000"/>
                <w:sz w:val="24"/>
              </w:rPr>
            </w:pPr>
          </w:p>
        </w:tc>
        <w:tc>
          <w:tcPr>
            <w:tcW w:w="0" w:type="auto"/>
            <w:noWrap w:val="0"/>
            <w:vAlign w:val="center"/>
          </w:tcPr>
          <w:p w14:paraId="7C2001C8">
            <w:pPr>
              <w:jc w:val="center"/>
              <w:rPr>
                <w:rFonts w:hint="eastAsia" w:ascii="宋体" w:hAnsi="宋体" w:eastAsia="宋体" w:cs="宋体"/>
                <w:color w:val="000000"/>
                <w:sz w:val="24"/>
                <w:lang w:val="en-US" w:eastAsia="zh-CN"/>
              </w:rPr>
            </w:pPr>
            <w:r>
              <w:rPr>
                <w:rFonts w:hint="eastAsia" w:ascii="宋体" w:hAnsi="宋体" w:eastAsia="宋体" w:cs="宋体"/>
                <w:color w:val="000000"/>
                <w:sz w:val="24"/>
                <w:lang w:val="en-US" w:eastAsia="zh-CN"/>
              </w:rPr>
              <w:t>项</w:t>
            </w:r>
          </w:p>
        </w:tc>
        <w:tc>
          <w:tcPr>
            <w:tcW w:w="0" w:type="auto"/>
            <w:noWrap w:val="0"/>
            <w:vAlign w:val="center"/>
          </w:tcPr>
          <w:p w14:paraId="2397BB27">
            <w:pPr>
              <w:jc w:val="center"/>
              <w:rPr>
                <w:rFonts w:hint="eastAsia" w:ascii="宋体" w:hAnsi="宋体" w:eastAsia="宋体" w:cs="宋体"/>
                <w:color w:val="000000"/>
                <w:sz w:val="24"/>
                <w:lang w:val="en-US" w:eastAsia="zh-CN"/>
              </w:rPr>
            </w:pPr>
            <w:r>
              <w:rPr>
                <w:rFonts w:hint="eastAsia" w:ascii="宋体" w:hAnsi="宋体" w:eastAsia="宋体" w:cs="宋体"/>
                <w:color w:val="000000"/>
                <w:sz w:val="24"/>
                <w:lang w:val="en-US" w:eastAsia="zh-CN"/>
              </w:rPr>
              <w:t>12</w:t>
            </w:r>
          </w:p>
        </w:tc>
      </w:tr>
      <w:tr w14:paraId="38184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0" w:type="auto"/>
            <w:noWrap w:val="0"/>
            <w:vAlign w:val="center"/>
          </w:tcPr>
          <w:p w14:paraId="78986493">
            <w:pPr>
              <w:jc w:val="center"/>
              <w:rPr>
                <w:rFonts w:hint="eastAsia" w:ascii="宋体" w:hAnsi="宋体" w:eastAsia="宋体" w:cs="宋体"/>
                <w:b/>
                <w:sz w:val="24"/>
              </w:rPr>
            </w:pPr>
            <w:r>
              <w:rPr>
                <w:rFonts w:hint="eastAsia" w:ascii="宋体" w:hAnsi="宋体" w:eastAsia="宋体" w:cs="宋体"/>
                <w:b/>
                <w:sz w:val="24"/>
              </w:rPr>
              <w:t>3</w:t>
            </w:r>
          </w:p>
        </w:tc>
        <w:tc>
          <w:tcPr>
            <w:tcW w:w="0" w:type="auto"/>
            <w:noWrap w:val="0"/>
            <w:vAlign w:val="center"/>
          </w:tcPr>
          <w:p w14:paraId="382C35BF">
            <w:pPr>
              <w:jc w:val="center"/>
              <w:rPr>
                <w:rFonts w:hint="eastAsia" w:ascii="宋体" w:hAnsi="宋体" w:eastAsia="宋体" w:cs="宋体"/>
                <w:color w:val="000000"/>
                <w:sz w:val="24"/>
              </w:rPr>
            </w:pPr>
            <w:r>
              <w:rPr>
                <w:rFonts w:hint="eastAsia" w:ascii="宋体" w:hAnsi="宋体" w:eastAsia="宋体" w:cs="宋体"/>
                <w:color w:val="000000"/>
                <w:sz w:val="24"/>
              </w:rPr>
              <w:t>企业调研与需求收集</w:t>
            </w:r>
          </w:p>
        </w:tc>
        <w:tc>
          <w:tcPr>
            <w:tcW w:w="0" w:type="auto"/>
            <w:noWrap w:val="0"/>
            <w:vAlign w:val="center"/>
          </w:tcPr>
          <w:p w14:paraId="3DF3E4E5">
            <w:pPr>
              <w:jc w:val="center"/>
              <w:rPr>
                <w:rFonts w:hint="eastAsia" w:ascii="宋体" w:hAnsi="宋体" w:eastAsia="宋体" w:cs="宋体"/>
                <w:color w:val="000000"/>
                <w:sz w:val="24"/>
              </w:rPr>
            </w:pPr>
            <w:r>
              <w:rPr>
                <w:rFonts w:hint="eastAsia" w:ascii="宋体" w:hAnsi="宋体" w:eastAsia="宋体" w:cs="宋体"/>
                <w:color w:val="000000"/>
                <w:sz w:val="24"/>
              </w:rPr>
              <w:t>通过问卷调查、实地走访等方式，定期收集川汇区企业在营商环境方面的需求和意见，每季度至少开展 1 次企业满意度调研，形成调研分析报告。</w:t>
            </w:r>
          </w:p>
          <w:p w14:paraId="7EE4A4DB">
            <w:pPr>
              <w:jc w:val="center"/>
              <w:rPr>
                <w:rFonts w:hint="eastAsia" w:ascii="宋体" w:hAnsi="宋体" w:eastAsia="宋体" w:cs="宋体"/>
                <w:color w:val="000000"/>
                <w:sz w:val="24"/>
              </w:rPr>
            </w:pPr>
          </w:p>
        </w:tc>
        <w:tc>
          <w:tcPr>
            <w:tcW w:w="0" w:type="auto"/>
            <w:noWrap w:val="0"/>
            <w:vAlign w:val="center"/>
          </w:tcPr>
          <w:p w14:paraId="6DEF0471">
            <w:pPr>
              <w:jc w:val="center"/>
              <w:rPr>
                <w:rFonts w:hint="eastAsia" w:ascii="宋体" w:hAnsi="宋体" w:eastAsia="宋体" w:cs="宋体"/>
                <w:color w:val="000000"/>
                <w:sz w:val="24"/>
                <w:lang w:val="en-US" w:eastAsia="zh-CN"/>
              </w:rPr>
            </w:pPr>
            <w:r>
              <w:rPr>
                <w:rFonts w:hint="eastAsia" w:ascii="宋体" w:hAnsi="宋体" w:eastAsia="宋体" w:cs="宋体"/>
                <w:color w:val="000000"/>
                <w:sz w:val="24"/>
                <w:lang w:val="en-US" w:eastAsia="zh-CN"/>
              </w:rPr>
              <w:t>次</w:t>
            </w:r>
          </w:p>
        </w:tc>
        <w:tc>
          <w:tcPr>
            <w:tcW w:w="0" w:type="auto"/>
            <w:noWrap w:val="0"/>
            <w:vAlign w:val="center"/>
          </w:tcPr>
          <w:p w14:paraId="651113A3">
            <w:pPr>
              <w:jc w:val="center"/>
              <w:rPr>
                <w:rFonts w:hint="eastAsia" w:ascii="宋体" w:hAnsi="宋体" w:eastAsia="宋体" w:cs="宋体"/>
                <w:color w:val="000000"/>
                <w:sz w:val="24"/>
                <w:lang w:val="en-US" w:eastAsia="zh-CN"/>
              </w:rPr>
            </w:pPr>
            <w:r>
              <w:rPr>
                <w:rFonts w:hint="eastAsia" w:ascii="宋体" w:hAnsi="宋体" w:eastAsia="宋体" w:cs="宋体"/>
                <w:color w:val="000000"/>
                <w:sz w:val="24"/>
                <w:lang w:val="en-US" w:eastAsia="zh-CN"/>
              </w:rPr>
              <w:t>4</w:t>
            </w:r>
          </w:p>
        </w:tc>
      </w:tr>
      <w:tr w14:paraId="2A5E4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0" w:type="auto"/>
            <w:noWrap w:val="0"/>
            <w:vAlign w:val="center"/>
          </w:tcPr>
          <w:p w14:paraId="6EF99A54">
            <w:pPr>
              <w:jc w:val="center"/>
              <w:rPr>
                <w:rFonts w:hint="eastAsia" w:ascii="宋体" w:hAnsi="宋体" w:eastAsia="宋体" w:cs="宋体"/>
                <w:b/>
                <w:sz w:val="24"/>
              </w:rPr>
            </w:pPr>
            <w:r>
              <w:rPr>
                <w:rFonts w:hint="eastAsia" w:ascii="宋体" w:hAnsi="宋体" w:eastAsia="宋体" w:cs="宋体"/>
                <w:b/>
                <w:sz w:val="24"/>
              </w:rPr>
              <w:t>4</w:t>
            </w:r>
          </w:p>
        </w:tc>
        <w:tc>
          <w:tcPr>
            <w:tcW w:w="0" w:type="auto"/>
            <w:noWrap w:val="0"/>
            <w:vAlign w:val="center"/>
          </w:tcPr>
          <w:p w14:paraId="3413C1A2">
            <w:pPr>
              <w:jc w:val="center"/>
              <w:rPr>
                <w:rFonts w:hint="eastAsia" w:ascii="宋体" w:hAnsi="宋体" w:eastAsia="宋体" w:cs="宋体"/>
                <w:color w:val="000000"/>
                <w:sz w:val="24"/>
              </w:rPr>
            </w:pPr>
            <w:r>
              <w:rPr>
                <w:rFonts w:hint="eastAsia" w:ascii="宋体" w:hAnsi="宋体" w:eastAsia="宋体" w:cs="宋体"/>
                <w:color w:val="000000"/>
                <w:sz w:val="24"/>
              </w:rPr>
              <w:t>政策解读与培训服务</w:t>
            </w:r>
          </w:p>
        </w:tc>
        <w:tc>
          <w:tcPr>
            <w:tcW w:w="0" w:type="auto"/>
            <w:noWrap w:val="0"/>
            <w:vAlign w:val="center"/>
          </w:tcPr>
          <w:p w14:paraId="7B47B072">
            <w:pPr>
              <w:jc w:val="center"/>
              <w:rPr>
                <w:rFonts w:hint="eastAsia" w:ascii="宋体" w:hAnsi="宋体" w:eastAsia="宋体" w:cs="宋体"/>
                <w:color w:val="000000"/>
                <w:sz w:val="24"/>
              </w:rPr>
            </w:pPr>
            <w:r>
              <w:rPr>
                <w:rFonts w:hint="eastAsia" w:ascii="宋体" w:hAnsi="宋体" w:eastAsia="宋体" w:cs="宋体"/>
                <w:color w:val="000000"/>
                <w:sz w:val="24"/>
              </w:rPr>
              <w:t>对国家</w:t>
            </w:r>
            <w:r>
              <w:rPr>
                <w:rFonts w:hint="eastAsia" w:ascii="宋体" w:hAnsi="宋体" w:eastAsia="宋体" w:cs="宋体"/>
                <w:color w:val="000000"/>
                <w:sz w:val="24"/>
                <w:lang w:eastAsia="zh-CN"/>
              </w:rPr>
              <w:t>、</w:t>
            </w:r>
            <w:r>
              <w:rPr>
                <w:rFonts w:hint="eastAsia" w:ascii="宋体" w:hAnsi="宋体" w:eastAsia="宋体" w:cs="宋体"/>
                <w:color w:val="000000"/>
                <w:sz w:val="24"/>
              </w:rPr>
              <w:t>地方营商环境相关政策进行</w:t>
            </w:r>
            <w:r>
              <w:rPr>
                <w:rFonts w:hint="eastAsia" w:ascii="宋体" w:hAnsi="宋体" w:eastAsia="宋体" w:cs="宋体"/>
                <w:color w:val="000000"/>
                <w:sz w:val="24"/>
                <w:lang w:val="en-US" w:eastAsia="zh-CN"/>
              </w:rPr>
              <w:t>和新的指标评价体系的</w:t>
            </w:r>
            <w:r>
              <w:rPr>
                <w:rFonts w:hint="eastAsia" w:ascii="宋体" w:hAnsi="宋体" w:eastAsia="宋体" w:cs="宋体"/>
                <w:color w:val="000000"/>
                <w:sz w:val="24"/>
              </w:rPr>
              <w:t>解读，为政府工作人员、企业代表开展培训活动，提高政策知晓度和执行能力，合同期内不少于 5 次培训。</w:t>
            </w:r>
          </w:p>
          <w:p w14:paraId="7967FCBE">
            <w:pPr>
              <w:jc w:val="center"/>
              <w:rPr>
                <w:rFonts w:hint="eastAsia" w:ascii="宋体" w:hAnsi="宋体" w:eastAsia="宋体" w:cs="宋体"/>
                <w:color w:val="000000"/>
                <w:sz w:val="24"/>
              </w:rPr>
            </w:pPr>
          </w:p>
        </w:tc>
        <w:tc>
          <w:tcPr>
            <w:tcW w:w="0" w:type="auto"/>
            <w:noWrap w:val="0"/>
            <w:vAlign w:val="center"/>
          </w:tcPr>
          <w:p w14:paraId="58C51820">
            <w:pPr>
              <w:jc w:val="center"/>
              <w:rPr>
                <w:rFonts w:hint="eastAsia" w:ascii="宋体" w:hAnsi="宋体" w:eastAsia="宋体" w:cs="宋体"/>
                <w:color w:val="000000"/>
                <w:sz w:val="24"/>
                <w:lang w:val="en-US" w:eastAsia="zh-CN"/>
              </w:rPr>
            </w:pPr>
            <w:r>
              <w:rPr>
                <w:rFonts w:hint="eastAsia" w:ascii="宋体" w:hAnsi="宋体" w:eastAsia="宋体" w:cs="宋体"/>
                <w:color w:val="000000"/>
                <w:sz w:val="24"/>
                <w:lang w:val="en-US" w:eastAsia="zh-CN"/>
              </w:rPr>
              <w:t>次</w:t>
            </w:r>
          </w:p>
        </w:tc>
        <w:tc>
          <w:tcPr>
            <w:tcW w:w="0" w:type="auto"/>
            <w:noWrap w:val="0"/>
            <w:vAlign w:val="center"/>
          </w:tcPr>
          <w:p w14:paraId="2C2BC112">
            <w:pPr>
              <w:jc w:val="center"/>
              <w:rPr>
                <w:rFonts w:hint="eastAsia" w:ascii="宋体" w:hAnsi="宋体" w:eastAsia="宋体" w:cs="宋体"/>
                <w:color w:val="000000"/>
                <w:sz w:val="24"/>
                <w:lang w:val="en-US" w:eastAsia="zh-CN"/>
              </w:rPr>
            </w:pPr>
            <w:r>
              <w:rPr>
                <w:rFonts w:hint="eastAsia" w:ascii="宋体" w:hAnsi="宋体" w:eastAsia="宋体" w:cs="宋体"/>
                <w:color w:val="000000"/>
                <w:sz w:val="24"/>
                <w:lang w:val="en-US" w:eastAsia="zh-CN"/>
              </w:rPr>
              <w:t>5</w:t>
            </w:r>
          </w:p>
        </w:tc>
      </w:tr>
      <w:tr w14:paraId="0C892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noWrap w:val="0"/>
            <w:vAlign w:val="center"/>
          </w:tcPr>
          <w:p w14:paraId="35FE9B60">
            <w:pPr>
              <w:jc w:val="center"/>
              <w:rPr>
                <w:rFonts w:hint="eastAsia" w:ascii="宋体" w:hAnsi="宋体" w:eastAsia="宋体" w:cs="宋体"/>
                <w:b/>
                <w:sz w:val="24"/>
              </w:rPr>
            </w:pPr>
            <w:r>
              <w:rPr>
                <w:rFonts w:hint="eastAsia" w:ascii="宋体" w:hAnsi="宋体" w:eastAsia="宋体" w:cs="宋体"/>
                <w:b/>
                <w:sz w:val="24"/>
              </w:rPr>
              <w:t>5</w:t>
            </w:r>
          </w:p>
        </w:tc>
        <w:tc>
          <w:tcPr>
            <w:tcW w:w="0" w:type="auto"/>
            <w:noWrap w:val="0"/>
            <w:vAlign w:val="center"/>
          </w:tcPr>
          <w:p w14:paraId="120B87D6">
            <w:pPr>
              <w:jc w:val="center"/>
              <w:rPr>
                <w:rFonts w:hint="eastAsia" w:ascii="宋体" w:hAnsi="宋体" w:eastAsia="宋体" w:cs="宋体"/>
                <w:color w:val="000000"/>
                <w:sz w:val="24"/>
              </w:rPr>
            </w:pPr>
            <w:r>
              <w:rPr>
                <w:rFonts w:hint="eastAsia" w:ascii="宋体" w:hAnsi="宋体" w:eastAsia="宋体" w:cs="宋体"/>
                <w:color w:val="000000"/>
                <w:sz w:val="24"/>
              </w:rPr>
              <w:t>营商环境宣传推广策划</w:t>
            </w:r>
          </w:p>
        </w:tc>
        <w:tc>
          <w:tcPr>
            <w:tcW w:w="0" w:type="auto"/>
            <w:noWrap w:val="0"/>
            <w:vAlign w:val="center"/>
          </w:tcPr>
          <w:p w14:paraId="1271B7C6">
            <w:pPr>
              <w:jc w:val="center"/>
              <w:rPr>
                <w:rFonts w:hint="eastAsia" w:ascii="宋体" w:hAnsi="宋体" w:eastAsia="宋体" w:cs="宋体"/>
                <w:color w:val="000000"/>
                <w:sz w:val="24"/>
              </w:rPr>
            </w:pPr>
            <w:r>
              <w:rPr>
                <w:rFonts w:hint="eastAsia" w:ascii="宋体" w:hAnsi="宋体" w:eastAsia="宋体" w:cs="宋体"/>
                <w:color w:val="000000"/>
                <w:sz w:val="24"/>
              </w:rPr>
              <w:t>制定营商环境宣传推广方案，策划宣传活动，利用多种渠道宣传川汇区营商环境优势和优化成果，编制营商环境优化案例集，协助申报省级营商环境创新试点，提升区域影响力。</w:t>
            </w:r>
          </w:p>
          <w:p w14:paraId="743A4E4C">
            <w:pPr>
              <w:jc w:val="center"/>
              <w:rPr>
                <w:rFonts w:hint="eastAsia" w:ascii="宋体" w:hAnsi="宋体" w:eastAsia="宋体" w:cs="宋体"/>
                <w:color w:val="000000"/>
                <w:sz w:val="24"/>
              </w:rPr>
            </w:pPr>
          </w:p>
        </w:tc>
        <w:tc>
          <w:tcPr>
            <w:tcW w:w="0" w:type="auto"/>
            <w:noWrap w:val="0"/>
            <w:vAlign w:val="center"/>
          </w:tcPr>
          <w:p w14:paraId="4EF14CDB">
            <w:pPr>
              <w:jc w:val="center"/>
              <w:rPr>
                <w:rFonts w:hint="eastAsia" w:ascii="宋体" w:hAnsi="宋体" w:eastAsia="宋体" w:cs="宋体"/>
                <w:color w:val="000000"/>
                <w:sz w:val="24"/>
                <w:lang w:val="en-US" w:eastAsia="zh-CN"/>
              </w:rPr>
            </w:pPr>
            <w:r>
              <w:rPr>
                <w:rFonts w:hint="eastAsia" w:ascii="宋体" w:hAnsi="宋体" w:eastAsia="宋体" w:cs="宋体"/>
                <w:color w:val="000000"/>
                <w:sz w:val="24"/>
                <w:lang w:val="en-US" w:eastAsia="zh-CN"/>
              </w:rPr>
              <w:t>项</w:t>
            </w:r>
          </w:p>
        </w:tc>
        <w:tc>
          <w:tcPr>
            <w:tcW w:w="0" w:type="auto"/>
            <w:noWrap w:val="0"/>
            <w:vAlign w:val="center"/>
          </w:tcPr>
          <w:p w14:paraId="500E888A">
            <w:pPr>
              <w:jc w:val="center"/>
              <w:rPr>
                <w:rFonts w:hint="eastAsia" w:ascii="宋体" w:hAnsi="宋体" w:eastAsia="宋体" w:cs="宋体"/>
                <w:color w:val="000000"/>
                <w:sz w:val="24"/>
                <w:lang w:val="en-US" w:eastAsia="zh-CN"/>
              </w:rPr>
            </w:pPr>
            <w:r>
              <w:rPr>
                <w:rFonts w:hint="eastAsia" w:ascii="宋体" w:hAnsi="宋体" w:eastAsia="宋体" w:cs="宋体"/>
                <w:color w:val="000000"/>
                <w:sz w:val="24"/>
                <w:lang w:val="en-US" w:eastAsia="zh-CN"/>
              </w:rPr>
              <w:t>1</w:t>
            </w:r>
          </w:p>
        </w:tc>
      </w:tr>
      <w:tr w14:paraId="4DFD9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0" w:type="auto"/>
            <w:noWrap w:val="0"/>
            <w:vAlign w:val="center"/>
          </w:tcPr>
          <w:p w14:paraId="107C7D63">
            <w:pPr>
              <w:jc w:val="center"/>
              <w:rPr>
                <w:rFonts w:hint="eastAsia" w:ascii="宋体" w:hAnsi="宋体" w:eastAsia="宋体" w:cs="宋体"/>
                <w:b/>
                <w:sz w:val="24"/>
              </w:rPr>
            </w:pPr>
            <w:r>
              <w:rPr>
                <w:rFonts w:hint="eastAsia" w:ascii="宋体" w:hAnsi="宋体" w:eastAsia="宋体" w:cs="宋体"/>
                <w:b/>
                <w:sz w:val="24"/>
              </w:rPr>
              <w:t>6</w:t>
            </w:r>
          </w:p>
        </w:tc>
        <w:tc>
          <w:tcPr>
            <w:tcW w:w="0" w:type="auto"/>
            <w:noWrap w:val="0"/>
            <w:vAlign w:val="center"/>
          </w:tcPr>
          <w:p w14:paraId="708E5342">
            <w:pPr>
              <w:jc w:val="center"/>
              <w:rPr>
                <w:rFonts w:hint="eastAsia" w:ascii="宋体" w:hAnsi="宋体" w:eastAsia="宋体" w:cs="宋体"/>
                <w:color w:val="000000"/>
                <w:sz w:val="24"/>
              </w:rPr>
            </w:pPr>
            <w:r>
              <w:rPr>
                <w:rFonts w:hint="eastAsia" w:ascii="宋体" w:hAnsi="宋体" w:eastAsia="宋体" w:cs="宋体"/>
                <w:color w:val="000000"/>
                <w:sz w:val="24"/>
              </w:rPr>
              <w:t>专家咨询与顾问驻场服务</w:t>
            </w:r>
          </w:p>
        </w:tc>
        <w:tc>
          <w:tcPr>
            <w:tcW w:w="0" w:type="auto"/>
            <w:noWrap w:val="0"/>
            <w:vAlign w:val="center"/>
          </w:tcPr>
          <w:p w14:paraId="3ADB9D08">
            <w:pPr>
              <w:jc w:val="center"/>
              <w:rPr>
                <w:rFonts w:hint="eastAsia" w:ascii="宋体" w:hAnsi="宋体" w:eastAsia="宋体" w:cs="宋体"/>
                <w:color w:val="000000"/>
                <w:sz w:val="24"/>
              </w:rPr>
            </w:pPr>
            <w:r>
              <w:rPr>
                <w:rFonts w:hint="eastAsia" w:ascii="宋体" w:hAnsi="宋体" w:eastAsia="宋体" w:cs="宋体"/>
                <w:color w:val="000000"/>
                <w:sz w:val="24"/>
              </w:rPr>
              <w:t>邀请营商环境领域专家为川汇区营商环境优化提供咨询和顾问服务，每月至少组织开展 1 次研讨，并在省评填报期间提供驻场指导。</w:t>
            </w:r>
          </w:p>
        </w:tc>
        <w:tc>
          <w:tcPr>
            <w:tcW w:w="0" w:type="auto"/>
            <w:noWrap w:val="0"/>
            <w:vAlign w:val="center"/>
          </w:tcPr>
          <w:p w14:paraId="2D4557A6">
            <w:pPr>
              <w:jc w:val="center"/>
              <w:rPr>
                <w:rFonts w:hint="eastAsia" w:ascii="宋体" w:hAnsi="宋体" w:eastAsia="宋体" w:cs="宋体"/>
                <w:color w:val="000000"/>
                <w:sz w:val="24"/>
                <w:lang w:val="en-US" w:eastAsia="zh-CN"/>
              </w:rPr>
            </w:pPr>
            <w:r>
              <w:rPr>
                <w:rFonts w:hint="eastAsia" w:ascii="宋体" w:hAnsi="宋体" w:eastAsia="宋体" w:cs="宋体"/>
                <w:color w:val="000000"/>
                <w:sz w:val="24"/>
                <w:lang w:val="en-US" w:eastAsia="zh-CN"/>
              </w:rPr>
              <w:t>项</w:t>
            </w:r>
          </w:p>
        </w:tc>
        <w:tc>
          <w:tcPr>
            <w:tcW w:w="0" w:type="auto"/>
            <w:noWrap w:val="0"/>
            <w:vAlign w:val="center"/>
          </w:tcPr>
          <w:p w14:paraId="649A52A9">
            <w:pPr>
              <w:jc w:val="center"/>
              <w:rPr>
                <w:rFonts w:hint="eastAsia" w:ascii="宋体" w:hAnsi="宋体" w:eastAsia="宋体" w:cs="宋体"/>
                <w:color w:val="000000"/>
                <w:sz w:val="24"/>
                <w:lang w:val="en-US" w:eastAsia="zh-CN"/>
              </w:rPr>
            </w:pPr>
            <w:r>
              <w:rPr>
                <w:rFonts w:hint="eastAsia" w:ascii="宋体" w:hAnsi="宋体" w:eastAsia="宋体" w:cs="宋体"/>
                <w:color w:val="000000"/>
                <w:sz w:val="24"/>
                <w:lang w:val="en-US" w:eastAsia="zh-CN"/>
              </w:rPr>
              <w:t>1</w:t>
            </w:r>
          </w:p>
        </w:tc>
      </w:tr>
    </w:tbl>
    <w:p w14:paraId="6A93C5D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sz w:val="24"/>
          <w:szCs w:val="24"/>
          <w:lang w:val="en-US" w:eastAsia="zh-CN"/>
        </w:rPr>
      </w:pPr>
      <w:r>
        <w:rPr>
          <w:rFonts w:hint="eastAsia" w:asciiTheme="minorEastAsia" w:hAnsiTheme="minorEastAsia" w:eastAsiaTheme="minorEastAsia" w:cstheme="minorEastAsia"/>
          <w:b/>
          <w:bCs w:val="0"/>
          <w:color w:val="auto"/>
          <w:sz w:val="24"/>
          <w:szCs w:val="24"/>
          <w:highlight w:val="none"/>
        </w:rPr>
        <w:t>（2）商务要求</w:t>
      </w:r>
    </w:p>
    <w:p w14:paraId="13C01CDB">
      <w:pPr>
        <w:spacing w:line="360" w:lineRule="auto"/>
        <w:ind w:firstLine="480" w:firstLineChars="200"/>
        <w:rPr>
          <w:rFonts w:hint="default"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支付方式：以双方签订正式协议约定，在第三方服务期内，指导川汇区在省营商环境评价中达到中上位次预期，服务期满，一次性支付服务费。</w:t>
      </w:r>
    </w:p>
    <w:p w14:paraId="582F4B95">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cstheme="minorEastAsia"/>
          <w:b w:val="0"/>
          <w:bCs/>
          <w:color w:val="auto"/>
          <w:sz w:val="24"/>
          <w:szCs w:val="24"/>
          <w:highlight w:val="none"/>
          <w:lang w:val="en-US" w:eastAsia="zh-CN"/>
        </w:rPr>
        <w:t>服务</w:t>
      </w:r>
      <w:r>
        <w:rPr>
          <w:rFonts w:hint="eastAsia" w:asciiTheme="minorEastAsia" w:hAnsiTheme="minorEastAsia" w:eastAsiaTheme="minorEastAsia" w:cstheme="minorEastAsia"/>
          <w:color w:val="auto"/>
          <w:sz w:val="24"/>
          <w:szCs w:val="24"/>
          <w:highlight w:val="none"/>
        </w:rPr>
        <w:t>地点：</w:t>
      </w:r>
      <w:r>
        <w:rPr>
          <w:rFonts w:hint="eastAsia" w:asciiTheme="minorEastAsia" w:hAnsiTheme="minorEastAsia" w:eastAsiaTheme="minorEastAsia" w:cstheme="minorEastAsia"/>
          <w:color w:val="auto"/>
          <w:sz w:val="24"/>
          <w:szCs w:val="24"/>
          <w:highlight w:val="none"/>
          <w:lang w:val="en-US" w:eastAsia="zh-CN"/>
        </w:rPr>
        <w:t>甲方指定地点</w:t>
      </w:r>
      <w:r>
        <w:rPr>
          <w:rFonts w:hint="eastAsia" w:asciiTheme="minorEastAsia" w:hAnsiTheme="minorEastAsia" w:eastAsiaTheme="minorEastAsia" w:cstheme="minorEastAsia"/>
          <w:color w:val="auto"/>
          <w:sz w:val="24"/>
          <w:szCs w:val="24"/>
          <w:highlight w:val="none"/>
          <w:lang w:eastAsia="zh-CN"/>
        </w:rPr>
        <w:t>；</w:t>
      </w:r>
    </w:p>
    <w:p w14:paraId="4A3226C9">
      <w:pPr>
        <w:spacing w:line="360" w:lineRule="auto"/>
        <w:ind w:firstLine="480" w:firstLineChars="200"/>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cstheme="minorEastAsia"/>
          <w:b w:val="0"/>
          <w:bCs/>
          <w:color w:val="auto"/>
          <w:sz w:val="24"/>
          <w:szCs w:val="24"/>
          <w:highlight w:val="none"/>
          <w:lang w:val="en-US" w:eastAsia="zh-CN"/>
        </w:rPr>
        <w:t>服务</w:t>
      </w:r>
      <w:r>
        <w:rPr>
          <w:rFonts w:hint="eastAsia" w:asciiTheme="minorEastAsia" w:hAnsiTheme="minorEastAsia" w:eastAsiaTheme="minorEastAsia" w:cstheme="minorEastAsia"/>
          <w:color w:val="auto"/>
          <w:sz w:val="24"/>
          <w:szCs w:val="24"/>
          <w:highlight w:val="none"/>
          <w:lang w:val="en-US" w:eastAsia="zh-CN"/>
        </w:rPr>
        <w:t>期：</w:t>
      </w:r>
      <w:r>
        <w:rPr>
          <w:rFonts w:hint="eastAsia" w:asciiTheme="minorEastAsia" w:hAnsiTheme="minorEastAsia" w:cstheme="minorEastAsia"/>
          <w:color w:val="auto"/>
          <w:sz w:val="24"/>
          <w:szCs w:val="24"/>
          <w:highlight w:val="none"/>
          <w:lang w:val="en-US" w:eastAsia="zh-CN"/>
        </w:rPr>
        <w:t>1年</w:t>
      </w:r>
      <w:r>
        <w:rPr>
          <w:rFonts w:hint="eastAsia" w:asciiTheme="minorEastAsia" w:hAnsiTheme="minorEastAsia" w:eastAsiaTheme="minorEastAsia" w:cstheme="minorEastAsia"/>
          <w:color w:val="auto"/>
          <w:sz w:val="24"/>
          <w:szCs w:val="24"/>
          <w:highlight w:val="none"/>
          <w:lang w:val="en-US" w:eastAsia="zh-CN"/>
        </w:rPr>
        <w:t>；</w:t>
      </w:r>
    </w:p>
    <w:p w14:paraId="2650C3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rPr>
        <w:t>、质量保证：</w:t>
      </w:r>
      <w:r>
        <w:rPr>
          <w:rFonts w:hint="eastAsia" w:asciiTheme="minorEastAsia" w:hAnsiTheme="minorEastAsia" w:eastAsiaTheme="minorEastAsia" w:cstheme="minorEastAsia"/>
          <w:color w:val="auto"/>
          <w:sz w:val="24"/>
          <w:szCs w:val="24"/>
          <w:highlight w:val="none"/>
          <w:lang w:val="en-US" w:eastAsia="zh-CN"/>
        </w:rPr>
        <w:t>合格，</w:t>
      </w:r>
      <w:r>
        <w:rPr>
          <w:rFonts w:hint="eastAsia" w:asciiTheme="minorEastAsia" w:hAnsiTheme="minorEastAsia" w:eastAsiaTheme="minorEastAsia" w:cstheme="minorEastAsia"/>
          <w:color w:val="auto"/>
          <w:sz w:val="24"/>
          <w:szCs w:val="24"/>
          <w:highlight w:val="none"/>
        </w:rPr>
        <w:t>符合现行国家和行业规范标准。</w:t>
      </w:r>
    </w:p>
    <w:p w14:paraId="5B44228B">
      <w:pPr>
        <w:bidi w:val="0"/>
        <w:ind w:firstLine="560" w:firstLineChars="200"/>
        <w:rPr>
          <w:rFonts w:hint="eastAsia" w:ascii="仿宋" w:hAnsi="仿宋" w:eastAsia="仿宋" w:cs="仿宋"/>
          <w:sz w:val="28"/>
          <w:szCs w:val="28"/>
        </w:rPr>
      </w:pPr>
    </w:p>
    <w:p w14:paraId="09A44255">
      <w:pPr>
        <w:bidi w:val="0"/>
        <w:ind w:firstLine="560" w:firstLineChars="200"/>
        <w:rPr>
          <w:rFonts w:hint="eastAsia" w:ascii="仿宋" w:hAnsi="仿宋" w:eastAsia="仿宋" w:cs="仿宋"/>
          <w:sz w:val="28"/>
          <w:szCs w:val="28"/>
        </w:rPr>
      </w:pPr>
    </w:p>
    <w:p w14:paraId="068ABFFC">
      <w:pPr>
        <w:spacing w:line="480" w:lineRule="auto"/>
        <w:jc w:val="center"/>
        <w:rPr>
          <w:rFonts w:ascii="宋体" w:hAnsi="宋体" w:cs="宋体"/>
          <w:sz w:val="24"/>
          <w:highlight w:val="none"/>
        </w:rPr>
      </w:pPr>
      <w:r>
        <w:rPr>
          <w:rFonts w:hint="eastAsia" w:ascii="宋体" w:hAnsi="宋体" w:cs="宋体"/>
          <w:b/>
          <w:bCs/>
          <w:sz w:val="24"/>
          <w:highlight w:val="none"/>
        </w:rPr>
        <w:t>第</w:t>
      </w:r>
      <w:r>
        <w:rPr>
          <w:rFonts w:hint="eastAsia" w:ascii="宋体" w:hAnsi="宋体" w:cs="宋体"/>
          <w:b/>
          <w:bCs/>
          <w:sz w:val="24"/>
          <w:highlight w:val="none"/>
          <w:lang w:val="en-US" w:eastAsia="zh-CN"/>
        </w:rPr>
        <w:t>四</w:t>
      </w:r>
      <w:r>
        <w:rPr>
          <w:rFonts w:hint="eastAsia" w:ascii="宋体" w:hAnsi="宋体" w:cs="宋体"/>
          <w:b/>
          <w:bCs/>
          <w:sz w:val="24"/>
          <w:highlight w:val="none"/>
        </w:rPr>
        <w:t>章  响应性文件内容及格式</w:t>
      </w:r>
    </w:p>
    <w:p w14:paraId="1863542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注：请供应商按照以下文件的要求格式、内容，顺序制作响应性文件，并编制目录及页码，否则可能将影响对响应性文件的评价。 </w:t>
      </w:r>
    </w:p>
    <w:p w14:paraId="54F8F1CE">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5484132C">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1．供应商在编制响应性文件</w:t>
      </w:r>
      <w:r>
        <w:rPr>
          <w:rFonts w:hint="eastAsia" w:ascii="宋体" w:hAnsi="宋体" w:cs="宋体"/>
          <w:b w:val="0"/>
          <w:bCs w:val="0"/>
          <w:sz w:val="24"/>
          <w:highlight w:val="none"/>
        </w:rPr>
        <w:t>时，对于</w:t>
      </w:r>
      <w:r>
        <w:rPr>
          <w:rFonts w:hint="eastAsia" w:ascii="宋体" w:hAnsi="宋体" w:cs="宋体"/>
          <w:b w:val="0"/>
          <w:bCs w:val="0"/>
          <w:sz w:val="24"/>
          <w:highlight w:val="none"/>
          <w:lang w:val="en-US" w:eastAsia="zh-CN"/>
        </w:rPr>
        <w:t>招标文件有要求的格式和</w:t>
      </w:r>
      <w:r>
        <w:rPr>
          <w:rFonts w:hint="eastAsia" w:ascii="宋体" w:hAnsi="宋体" w:cs="宋体"/>
          <w:b w:val="0"/>
          <w:bCs w:val="0"/>
          <w:sz w:val="24"/>
          <w:highlight w:val="none"/>
        </w:rPr>
        <w:t>给定格式的文件内容，必须按照标准格式进行填报；对于没有给定标准格式的文件内容，可以由供应商自行设计</w:t>
      </w:r>
      <w:r>
        <w:rPr>
          <w:rFonts w:hint="eastAsia" w:ascii="宋体" w:hAnsi="宋体" w:cs="宋体"/>
          <w:sz w:val="24"/>
          <w:highlight w:val="none"/>
        </w:rPr>
        <w:t>。</w:t>
      </w:r>
    </w:p>
    <w:p w14:paraId="3D534DB1">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2.法定代表人本人参加竞争性磋商的，不需提供授权委托书。</w:t>
      </w:r>
    </w:p>
    <w:p w14:paraId="7ED1FA97">
      <w:pPr>
        <w:snapToGrid w:val="0"/>
        <w:jc w:val="left"/>
        <w:rPr>
          <w:rFonts w:ascii="宋体" w:hAnsi="宋体" w:cs="宋体"/>
          <w:sz w:val="24"/>
          <w:highlight w:val="none"/>
        </w:rPr>
      </w:pPr>
    </w:p>
    <w:p w14:paraId="33F71A05">
      <w:pPr>
        <w:snapToGrid w:val="0"/>
        <w:jc w:val="left"/>
        <w:rPr>
          <w:rFonts w:ascii="宋体" w:hAnsi="宋体" w:cs="宋体"/>
          <w:sz w:val="24"/>
          <w:highlight w:val="none"/>
        </w:rPr>
      </w:pPr>
    </w:p>
    <w:p w14:paraId="2C9A26DB">
      <w:pPr>
        <w:snapToGrid w:val="0"/>
        <w:jc w:val="left"/>
        <w:rPr>
          <w:rFonts w:ascii="宋体" w:hAnsi="宋体" w:cs="宋体"/>
          <w:sz w:val="24"/>
          <w:highlight w:val="none"/>
        </w:rPr>
      </w:pPr>
    </w:p>
    <w:p w14:paraId="27915308">
      <w:pPr>
        <w:snapToGrid w:val="0"/>
        <w:jc w:val="left"/>
        <w:rPr>
          <w:rFonts w:ascii="宋体" w:hAnsi="宋体" w:cs="宋体"/>
          <w:sz w:val="24"/>
          <w:highlight w:val="none"/>
        </w:rPr>
      </w:pPr>
    </w:p>
    <w:p w14:paraId="4AB05E64">
      <w:pPr>
        <w:snapToGrid w:val="0"/>
        <w:jc w:val="left"/>
        <w:rPr>
          <w:rFonts w:ascii="宋体" w:hAnsi="宋体" w:cs="宋体"/>
          <w:sz w:val="24"/>
          <w:highlight w:val="none"/>
        </w:rPr>
      </w:pPr>
    </w:p>
    <w:p w14:paraId="7725ACA1">
      <w:pPr>
        <w:snapToGrid w:val="0"/>
        <w:jc w:val="left"/>
        <w:rPr>
          <w:rFonts w:ascii="宋体" w:hAnsi="宋体" w:cs="宋体"/>
          <w:sz w:val="24"/>
          <w:highlight w:val="none"/>
        </w:rPr>
      </w:pPr>
    </w:p>
    <w:p w14:paraId="4A98B6D0">
      <w:pPr>
        <w:snapToGrid w:val="0"/>
        <w:jc w:val="left"/>
        <w:rPr>
          <w:rFonts w:ascii="宋体" w:hAnsi="宋体" w:cs="宋体"/>
          <w:sz w:val="24"/>
          <w:highlight w:val="none"/>
        </w:rPr>
      </w:pPr>
    </w:p>
    <w:p w14:paraId="58823D28">
      <w:pPr>
        <w:snapToGrid w:val="0"/>
        <w:jc w:val="left"/>
        <w:rPr>
          <w:rFonts w:ascii="宋体" w:hAnsi="宋体" w:cs="宋体"/>
          <w:sz w:val="24"/>
          <w:highlight w:val="none"/>
        </w:rPr>
      </w:pPr>
    </w:p>
    <w:p w14:paraId="16FC15DC">
      <w:pPr>
        <w:spacing w:line="360" w:lineRule="auto"/>
        <w:jc w:val="left"/>
        <w:rPr>
          <w:rFonts w:hint="eastAsia" w:ascii="宋体" w:hAnsi="宋体" w:cs="宋体"/>
          <w:sz w:val="24"/>
          <w:highlight w:val="none"/>
        </w:rPr>
      </w:pPr>
    </w:p>
    <w:p w14:paraId="40811134">
      <w:pPr>
        <w:spacing w:line="360" w:lineRule="auto"/>
        <w:jc w:val="left"/>
        <w:rPr>
          <w:rFonts w:hint="eastAsia" w:ascii="宋体" w:hAnsi="宋体" w:cs="宋体"/>
          <w:sz w:val="24"/>
          <w:highlight w:val="none"/>
        </w:rPr>
      </w:pPr>
    </w:p>
    <w:p w14:paraId="541A4095">
      <w:pPr>
        <w:spacing w:line="360" w:lineRule="auto"/>
        <w:jc w:val="left"/>
        <w:rPr>
          <w:rFonts w:hint="eastAsia" w:ascii="宋体" w:hAnsi="宋体" w:cs="宋体"/>
          <w:sz w:val="24"/>
          <w:highlight w:val="none"/>
        </w:rPr>
      </w:pPr>
    </w:p>
    <w:p w14:paraId="47F16434">
      <w:pPr>
        <w:spacing w:line="360" w:lineRule="auto"/>
        <w:jc w:val="left"/>
        <w:rPr>
          <w:rFonts w:hint="eastAsia" w:ascii="宋体" w:hAnsi="宋体" w:cs="宋体"/>
          <w:sz w:val="24"/>
          <w:highlight w:val="none"/>
        </w:rPr>
      </w:pPr>
    </w:p>
    <w:p w14:paraId="35CDA232">
      <w:pPr>
        <w:spacing w:line="360" w:lineRule="auto"/>
        <w:jc w:val="left"/>
        <w:rPr>
          <w:rFonts w:hint="eastAsia" w:ascii="宋体" w:hAnsi="宋体" w:cs="宋体"/>
          <w:sz w:val="24"/>
          <w:highlight w:val="none"/>
        </w:rPr>
      </w:pPr>
    </w:p>
    <w:p w14:paraId="709E6C84">
      <w:pPr>
        <w:spacing w:line="360" w:lineRule="auto"/>
        <w:jc w:val="left"/>
        <w:rPr>
          <w:rFonts w:hint="eastAsia" w:ascii="宋体" w:hAnsi="宋体" w:cs="宋体"/>
          <w:sz w:val="24"/>
          <w:highlight w:val="none"/>
        </w:rPr>
      </w:pPr>
    </w:p>
    <w:p w14:paraId="09648664">
      <w:pPr>
        <w:spacing w:line="360" w:lineRule="auto"/>
        <w:jc w:val="left"/>
        <w:rPr>
          <w:rFonts w:hint="eastAsia" w:ascii="宋体" w:hAnsi="宋体" w:cs="宋体"/>
          <w:sz w:val="24"/>
          <w:highlight w:val="none"/>
        </w:rPr>
      </w:pPr>
    </w:p>
    <w:p w14:paraId="465EDD66">
      <w:pPr>
        <w:spacing w:line="360" w:lineRule="auto"/>
        <w:jc w:val="left"/>
        <w:rPr>
          <w:rFonts w:hint="eastAsia" w:ascii="宋体" w:hAnsi="宋体" w:cs="宋体"/>
          <w:sz w:val="24"/>
          <w:highlight w:val="none"/>
        </w:rPr>
      </w:pPr>
    </w:p>
    <w:p w14:paraId="12FEB499">
      <w:pPr>
        <w:spacing w:line="360" w:lineRule="auto"/>
        <w:jc w:val="left"/>
        <w:rPr>
          <w:rFonts w:hint="eastAsia" w:ascii="宋体" w:hAnsi="宋体" w:cs="宋体"/>
          <w:sz w:val="24"/>
          <w:highlight w:val="none"/>
        </w:rPr>
      </w:pPr>
    </w:p>
    <w:p w14:paraId="5E82AE9F">
      <w:pPr>
        <w:spacing w:line="360" w:lineRule="auto"/>
        <w:jc w:val="left"/>
        <w:rPr>
          <w:rFonts w:hint="eastAsia" w:ascii="宋体" w:hAnsi="宋体" w:cs="宋体"/>
          <w:sz w:val="24"/>
          <w:highlight w:val="none"/>
        </w:rPr>
      </w:pPr>
    </w:p>
    <w:p w14:paraId="0D0DD7AE">
      <w:pPr>
        <w:spacing w:line="360" w:lineRule="auto"/>
        <w:jc w:val="left"/>
        <w:rPr>
          <w:rFonts w:hint="eastAsia" w:ascii="宋体" w:hAnsi="宋体" w:cs="宋体"/>
          <w:sz w:val="24"/>
          <w:highlight w:val="none"/>
        </w:rPr>
      </w:pPr>
    </w:p>
    <w:p w14:paraId="123D48DD">
      <w:pPr>
        <w:spacing w:line="360" w:lineRule="auto"/>
        <w:jc w:val="left"/>
        <w:rPr>
          <w:rFonts w:hint="eastAsia" w:ascii="宋体" w:hAnsi="宋体" w:cs="宋体"/>
          <w:sz w:val="24"/>
          <w:highlight w:val="none"/>
        </w:rPr>
      </w:pPr>
    </w:p>
    <w:p w14:paraId="0E297502">
      <w:pPr>
        <w:spacing w:line="360" w:lineRule="auto"/>
        <w:jc w:val="left"/>
        <w:rPr>
          <w:rFonts w:hint="eastAsia" w:ascii="宋体" w:hAnsi="宋体" w:cs="宋体"/>
          <w:sz w:val="24"/>
          <w:highlight w:val="none"/>
        </w:rPr>
      </w:pPr>
    </w:p>
    <w:p w14:paraId="0ABE28A3">
      <w:pPr>
        <w:rPr>
          <w:rFonts w:hint="eastAsia" w:ascii="宋体" w:hAnsi="宋体" w:cs="宋体"/>
          <w:b/>
          <w:bCs/>
          <w:sz w:val="24"/>
          <w:highlight w:val="none"/>
        </w:rPr>
      </w:pPr>
      <w:r>
        <w:rPr>
          <w:rFonts w:hint="eastAsia" w:ascii="宋体" w:hAnsi="宋体" w:cs="宋体"/>
          <w:b/>
          <w:bCs/>
          <w:sz w:val="24"/>
          <w:highlight w:val="none"/>
        </w:rPr>
        <w:br w:type="page"/>
      </w:r>
    </w:p>
    <w:p w14:paraId="7103E004">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 </w:t>
      </w:r>
      <w:r>
        <w:rPr>
          <w:rFonts w:hint="eastAsia" w:ascii="宋体" w:hAnsi="宋体" w:cs="宋体"/>
          <w:b/>
          <w:bCs/>
          <w:sz w:val="24"/>
          <w:highlight w:val="none"/>
        </w:rPr>
        <w:t>法定代表人身份证明书</w:t>
      </w:r>
    </w:p>
    <w:p w14:paraId="38B0D9E1">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5BE4BCE8">
      <w:pPr>
        <w:spacing w:line="360" w:lineRule="auto"/>
        <w:ind w:firstLine="480" w:firstLineChars="200"/>
        <w:rPr>
          <w:rFonts w:ascii="宋体" w:hAnsi="宋体" w:cs="宋体"/>
          <w:sz w:val="24"/>
          <w:highlight w:val="none"/>
        </w:rPr>
      </w:pPr>
    </w:p>
    <w:p w14:paraId="44546878">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同志，系我单位法定代表人，任职务。</w:t>
      </w:r>
    </w:p>
    <w:p w14:paraId="7081A106">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694FC367">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19829AC8">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30"/>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86E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FF28BCC">
            <w:pPr>
              <w:spacing w:line="480" w:lineRule="exact"/>
              <w:rPr>
                <w:rFonts w:ascii="宋体" w:hAnsi="宋体" w:cs="宋体"/>
                <w:b/>
                <w:bCs/>
                <w:sz w:val="24"/>
                <w:highlight w:val="none"/>
              </w:rPr>
            </w:pPr>
          </w:p>
          <w:p w14:paraId="65314BD8">
            <w:pPr>
              <w:spacing w:line="480" w:lineRule="exact"/>
              <w:rPr>
                <w:rFonts w:ascii="宋体" w:hAnsi="宋体" w:cs="宋体"/>
                <w:b/>
                <w:bCs/>
                <w:sz w:val="24"/>
                <w:highlight w:val="none"/>
              </w:rPr>
            </w:pPr>
          </w:p>
          <w:p w14:paraId="0FE14E37">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24C0C7B4">
            <w:pPr>
              <w:spacing w:line="480" w:lineRule="exact"/>
              <w:rPr>
                <w:rFonts w:ascii="宋体" w:hAnsi="宋体" w:cs="宋体"/>
                <w:sz w:val="24"/>
                <w:highlight w:val="none"/>
              </w:rPr>
            </w:pPr>
          </w:p>
          <w:p w14:paraId="0E87004E">
            <w:pPr>
              <w:spacing w:line="480" w:lineRule="exact"/>
              <w:rPr>
                <w:rFonts w:ascii="宋体" w:hAnsi="宋体" w:cs="宋体"/>
                <w:sz w:val="24"/>
                <w:highlight w:val="none"/>
              </w:rPr>
            </w:pPr>
          </w:p>
        </w:tc>
      </w:tr>
    </w:tbl>
    <w:p w14:paraId="6C9BF311">
      <w:pPr>
        <w:spacing w:line="360" w:lineRule="auto"/>
        <w:ind w:firstLine="960" w:firstLineChars="400"/>
        <w:rPr>
          <w:rFonts w:ascii="宋体" w:hAnsi="宋体" w:cs="宋体"/>
          <w:sz w:val="24"/>
          <w:highlight w:val="none"/>
        </w:rPr>
      </w:pPr>
    </w:p>
    <w:p w14:paraId="35BF4BB7">
      <w:pPr>
        <w:spacing w:line="360" w:lineRule="auto"/>
        <w:ind w:firstLine="3840" w:firstLineChars="1600"/>
        <w:rPr>
          <w:rFonts w:ascii="宋体" w:hAnsi="宋体" w:cs="宋体"/>
          <w:sz w:val="24"/>
          <w:highlight w:val="none"/>
        </w:rPr>
      </w:pPr>
    </w:p>
    <w:p w14:paraId="0492E4FB">
      <w:pPr>
        <w:spacing w:line="360" w:lineRule="auto"/>
        <w:ind w:firstLine="3840" w:firstLineChars="1600"/>
        <w:rPr>
          <w:rFonts w:ascii="宋体" w:hAnsi="宋体" w:cs="宋体"/>
          <w:sz w:val="24"/>
          <w:highlight w:val="none"/>
        </w:rPr>
      </w:pPr>
    </w:p>
    <w:p w14:paraId="363F199E">
      <w:pPr>
        <w:spacing w:line="360" w:lineRule="auto"/>
        <w:ind w:firstLine="3840" w:firstLineChars="1600"/>
        <w:rPr>
          <w:rFonts w:ascii="宋体" w:hAnsi="宋体" w:cs="宋体"/>
          <w:sz w:val="24"/>
          <w:highlight w:val="none"/>
        </w:rPr>
      </w:pPr>
    </w:p>
    <w:p w14:paraId="7B1046C0">
      <w:pPr>
        <w:spacing w:line="360" w:lineRule="auto"/>
        <w:jc w:val="center"/>
        <w:rPr>
          <w:rFonts w:ascii="宋体" w:hAnsi="宋体" w:cs="宋体"/>
          <w:sz w:val="24"/>
          <w:highlight w:val="none"/>
        </w:rPr>
      </w:pPr>
    </w:p>
    <w:p w14:paraId="21C85CBB">
      <w:pPr>
        <w:spacing w:line="360" w:lineRule="auto"/>
        <w:jc w:val="center"/>
        <w:rPr>
          <w:rFonts w:ascii="宋体" w:hAnsi="宋体" w:cs="宋体"/>
          <w:sz w:val="24"/>
          <w:highlight w:val="none"/>
        </w:rPr>
      </w:pPr>
    </w:p>
    <w:p w14:paraId="1545C727">
      <w:pPr>
        <w:spacing w:line="360" w:lineRule="auto"/>
        <w:jc w:val="center"/>
        <w:rPr>
          <w:rFonts w:ascii="宋体" w:hAnsi="宋体" w:cs="宋体"/>
          <w:sz w:val="24"/>
          <w:highlight w:val="none"/>
        </w:rPr>
      </w:pPr>
    </w:p>
    <w:p w14:paraId="7F33535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5E53BD8">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430348D">
      <w:pPr>
        <w:spacing w:line="360" w:lineRule="auto"/>
        <w:jc w:val="center"/>
        <w:rPr>
          <w:rFonts w:ascii="宋体" w:hAnsi="宋体" w:cs="宋体"/>
          <w:sz w:val="24"/>
          <w:highlight w:val="none"/>
        </w:rPr>
      </w:pPr>
    </w:p>
    <w:p w14:paraId="57A9FC11">
      <w:pPr>
        <w:spacing w:line="360" w:lineRule="auto"/>
        <w:jc w:val="center"/>
        <w:rPr>
          <w:rFonts w:ascii="宋体" w:hAnsi="宋体" w:cs="宋体"/>
          <w:sz w:val="24"/>
          <w:highlight w:val="none"/>
        </w:rPr>
      </w:pPr>
    </w:p>
    <w:p w14:paraId="746DA76A">
      <w:pPr>
        <w:widowControl/>
        <w:jc w:val="center"/>
        <w:rPr>
          <w:rFonts w:ascii="宋体" w:hAnsi="宋体" w:cs="宋体"/>
          <w:kern w:val="0"/>
          <w:sz w:val="24"/>
          <w:highlight w:val="none"/>
        </w:rPr>
      </w:pPr>
    </w:p>
    <w:p w14:paraId="3E8CC0D1">
      <w:pPr>
        <w:pStyle w:val="41"/>
        <w:ind w:firstLine="210"/>
        <w:rPr>
          <w:highlight w:val="none"/>
        </w:rPr>
      </w:pPr>
    </w:p>
    <w:p w14:paraId="3CF65017">
      <w:pPr>
        <w:rPr>
          <w:rFonts w:hint="eastAsia" w:ascii="宋体" w:hAnsi="宋体" w:cs="宋体"/>
          <w:sz w:val="24"/>
          <w:highlight w:val="none"/>
        </w:rPr>
      </w:pPr>
      <w:r>
        <w:rPr>
          <w:rFonts w:hint="eastAsia" w:ascii="宋体" w:hAnsi="宋体" w:cs="宋体"/>
          <w:sz w:val="24"/>
          <w:highlight w:val="none"/>
        </w:rPr>
        <w:br w:type="page"/>
      </w:r>
    </w:p>
    <w:p w14:paraId="29A032A8">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2 </w:t>
      </w:r>
      <w:r>
        <w:rPr>
          <w:rFonts w:hint="eastAsia" w:ascii="宋体" w:hAnsi="宋体" w:cs="宋体"/>
          <w:b/>
          <w:bCs/>
          <w:sz w:val="24"/>
          <w:highlight w:val="none"/>
        </w:rPr>
        <w:t>授权委托书</w:t>
      </w:r>
    </w:p>
    <w:p w14:paraId="38E85DFA">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03E360FD">
      <w:pPr>
        <w:spacing w:line="360" w:lineRule="auto"/>
        <w:ind w:firstLine="480" w:firstLineChars="200"/>
        <w:rPr>
          <w:rFonts w:ascii="宋体" w:hAnsi="宋体" w:cs="宋体"/>
          <w:sz w:val="24"/>
          <w:highlight w:val="none"/>
        </w:rPr>
      </w:pPr>
    </w:p>
    <w:p w14:paraId="53C16052">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0946F591">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267B4D70">
      <w:pPr>
        <w:spacing w:line="360" w:lineRule="auto"/>
        <w:rPr>
          <w:rFonts w:ascii="宋体" w:hAnsi="宋体" w:cs="宋体"/>
          <w:sz w:val="24"/>
          <w:highlight w:val="none"/>
        </w:rPr>
      </w:pPr>
    </w:p>
    <w:p w14:paraId="2151F627">
      <w:pPr>
        <w:spacing w:line="360" w:lineRule="auto"/>
        <w:ind w:firstLine="480" w:firstLineChars="200"/>
        <w:rPr>
          <w:rFonts w:ascii="宋体" w:hAnsi="宋体" w:cs="宋体"/>
          <w:sz w:val="24"/>
          <w:highlight w:val="none"/>
        </w:rPr>
      </w:pPr>
      <w:r>
        <w:rPr>
          <w:rFonts w:hint="eastAsia" w:ascii="宋体" w:hAnsi="宋体" w:cs="宋体"/>
          <w:sz w:val="24"/>
          <w:highlight w:val="none"/>
        </w:rPr>
        <w:t>委托人：</w:t>
      </w:r>
    </w:p>
    <w:p w14:paraId="3D31E344">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供应商电子签章：       </w:t>
      </w:r>
    </w:p>
    <w:p w14:paraId="7B93DE34">
      <w:pPr>
        <w:spacing w:line="360" w:lineRule="auto"/>
        <w:ind w:firstLine="480" w:firstLineChars="200"/>
        <w:rPr>
          <w:rFonts w:ascii="宋体" w:hAnsi="宋体" w:cs="宋体"/>
          <w:sz w:val="24"/>
          <w:highlight w:val="none"/>
        </w:rPr>
      </w:pPr>
      <w:r>
        <w:rPr>
          <w:rFonts w:hint="eastAsia" w:ascii="宋体" w:hAnsi="宋体" w:cs="宋体"/>
          <w:sz w:val="24"/>
          <w:highlight w:val="none"/>
        </w:rPr>
        <w:t>被委托人：</w:t>
      </w:r>
    </w:p>
    <w:p w14:paraId="532DF38D">
      <w:pPr>
        <w:spacing w:line="360" w:lineRule="auto"/>
        <w:ind w:firstLine="480" w:firstLineChars="200"/>
        <w:rPr>
          <w:rFonts w:ascii="宋体" w:hAnsi="宋体" w:cs="宋体"/>
          <w:sz w:val="24"/>
          <w:highlight w:val="none"/>
        </w:rPr>
      </w:pPr>
      <w:r>
        <w:rPr>
          <w:rFonts w:hint="eastAsia" w:ascii="宋体" w:hAnsi="宋体" w:cs="宋体"/>
          <w:sz w:val="24"/>
          <w:highlight w:val="none"/>
        </w:rPr>
        <w:t>法定代表人：</w:t>
      </w:r>
    </w:p>
    <w:tbl>
      <w:tblPr>
        <w:tblStyle w:val="30"/>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17B2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BA3F75F">
            <w:pPr>
              <w:spacing w:line="480" w:lineRule="exact"/>
              <w:rPr>
                <w:rFonts w:ascii="宋体" w:hAnsi="宋体" w:cs="宋体"/>
                <w:b/>
                <w:bCs/>
                <w:sz w:val="24"/>
                <w:highlight w:val="none"/>
              </w:rPr>
            </w:pPr>
          </w:p>
          <w:p w14:paraId="36FB1D3C">
            <w:pPr>
              <w:spacing w:line="480" w:lineRule="exact"/>
              <w:rPr>
                <w:rFonts w:ascii="宋体" w:hAnsi="宋体" w:cs="宋体"/>
                <w:b/>
                <w:bCs/>
                <w:sz w:val="24"/>
                <w:highlight w:val="none"/>
              </w:rPr>
            </w:pPr>
          </w:p>
          <w:p w14:paraId="3AB6C2D3">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39633559">
      <w:pPr>
        <w:spacing w:line="360" w:lineRule="auto"/>
        <w:ind w:firstLine="480" w:firstLineChars="200"/>
        <w:rPr>
          <w:rFonts w:ascii="宋体" w:hAnsi="宋体" w:cs="宋体"/>
          <w:sz w:val="24"/>
          <w:highlight w:val="none"/>
        </w:rPr>
      </w:pPr>
    </w:p>
    <w:p w14:paraId="7EB6B391">
      <w:pPr>
        <w:spacing w:line="360" w:lineRule="auto"/>
        <w:ind w:firstLine="480" w:firstLineChars="200"/>
        <w:rPr>
          <w:rFonts w:ascii="宋体" w:hAnsi="宋体" w:cs="宋体"/>
          <w:sz w:val="24"/>
          <w:highlight w:val="none"/>
        </w:rPr>
      </w:pPr>
    </w:p>
    <w:p w14:paraId="5476C7F2">
      <w:pPr>
        <w:spacing w:line="360" w:lineRule="auto"/>
        <w:ind w:firstLine="480" w:firstLineChars="200"/>
        <w:rPr>
          <w:rFonts w:ascii="宋体" w:hAnsi="宋体" w:cs="宋体"/>
          <w:sz w:val="24"/>
          <w:highlight w:val="none"/>
        </w:rPr>
      </w:pPr>
    </w:p>
    <w:p w14:paraId="0698F00B">
      <w:pPr>
        <w:spacing w:line="360" w:lineRule="auto"/>
        <w:ind w:firstLine="4920" w:firstLineChars="2050"/>
        <w:rPr>
          <w:rFonts w:ascii="宋体" w:hAnsi="宋体" w:cs="宋体"/>
          <w:sz w:val="24"/>
          <w:highlight w:val="none"/>
        </w:rPr>
      </w:pPr>
    </w:p>
    <w:p w14:paraId="2B54FA40">
      <w:pPr>
        <w:spacing w:line="360" w:lineRule="auto"/>
        <w:jc w:val="center"/>
        <w:rPr>
          <w:rFonts w:ascii="宋体" w:hAnsi="宋体" w:cs="宋体"/>
          <w:sz w:val="24"/>
          <w:highlight w:val="none"/>
        </w:rPr>
      </w:pPr>
    </w:p>
    <w:p w14:paraId="08864BC2">
      <w:pPr>
        <w:spacing w:line="360" w:lineRule="auto"/>
        <w:jc w:val="center"/>
        <w:rPr>
          <w:rFonts w:ascii="宋体" w:hAnsi="宋体" w:cs="宋体"/>
          <w:sz w:val="24"/>
          <w:highlight w:val="none"/>
        </w:rPr>
      </w:pPr>
    </w:p>
    <w:p w14:paraId="26B5A654">
      <w:pPr>
        <w:spacing w:line="360" w:lineRule="auto"/>
        <w:jc w:val="center"/>
        <w:rPr>
          <w:rFonts w:ascii="宋体" w:hAnsi="宋体" w:cs="宋体"/>
          <w:sz w:val="24"/>
          <w:highlight w:val="none"/>
        </w:rPr>
      </w:pPr>
    </w:p>
    <w:p w14:paraId="34BF0F2D">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D01CB59">
      <w:pPr>
        <w:spacing w:line="360" w:lineRule="auto"/>
        <w:jc w:val="center"/>
        <w:rPr>
          <w:rFonts w:ascii="宋体" w:hAnsi="宋体" w:cs="宋体"/>
          <w:sz w:val="24"/>
          <w:highlight w:val="none"/>
        </w:rPr>
      </w:pPr>
      <w:r>
        <w:rPr>
          <w:rFonts w:hint="eastAsia" w:ascii="宋体" w:hAnsi="宋体" w:cs="宋体"/>
          <w:sz w:val="24"/>
          <w:highlight w:val="none"/>
        </w:rPr>
        <w:t xml:space="preserve">                                      </w:t>
      </w:r>
    </w:p>
    <w:p w14:paraId="476F7C51">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6B2404AF">
      <w:pPr>
        <w:spacing w:line="360" w:lineRule="auto"/>
        <w:jc w:val="center"/>
        <w:rPr>
          <w:rFonts w:ascii="宋体" w:hAnsi="宋体" w:cs="宋体"/>
          <w:sz w:val="24"/>
          <w:highlight w:val="none"/>
        </w:rPr>
      </w:pPr>
    </w:p>
    <w:p w14:paraId="647FB3AC">
      <w:pPr>
        <w:pStyle w:val="41"/>
        <w:ind w:firstLine="240"/>
        <w:rPr>
          <w:rFonts w:ascii="宋体" w:hAnsi="宋体" w:cs="宋体"/>
          <w:sz w:val="24"/>
          <w:highlight w:val="none"/>
        </w:rPr>
      </w:pPr>
    </w:p>
    <w:p w14:paraId="2742E2F9">
      <w:pPr>
        <w:pStyle w:val="41"/>
        <w:ind w:firstLine="240"/>
        <w:rPr>
          <w:rFonts w:ascii="宋体" w:hAnsi="宋体" w:cs="宋体"/>
          <w:sz w:val="24"/>
          <w:highlight w:val="none"/>
        </w:rPr>
      </w:pPr>
    </w:p>
    <w:p w14:paraId="399B1873">
      <w:pPr>
        <w:pStyle w:val="41"/>
        <w:ind w:firstLine="240"/>
        <w:rPr>
          <w:rFonts w:ascii="宋体" w:hAnsi="宋体" w:cs="宋体"/>
          <w:sz w:val="24"/>
          <w:highlight w:val="none"/>
        </w:rPr>
      </w:pPr>
    </w:p>
    <w:p w14:paraId="4A5C0908">
      <w:pPr>
        <w:pStyle w:val="41"/>
        <w:ind w:firstLine="240"/>
        <w:rPr>
          <w:rFonts w:ascii="宋体" w:hAnsi="宋体" w:cs="宋体"/>
          <w:sz w:val="24"/>
          <w:highlight w:val="none"/>
        </w:rPr>
      </w:pPr>
    </w:p>
    <w:p w14:paraId="72335D9F">
      <w:pPr>
        <w:pStyle w:val="41"/>
        <w:ind w:firstLine="240"/>
        <w:rPr>
          <w:rFonts w:ascii="宋体" w:hAnsi="宋体" w:cs="宋体"/>
          <w:sz w:val="24"/>
          <w:highlight w:val="none"/>
        </w:rPr>
      </w:pPr>
    </w:p>
    <w:p w14:paraId="6D589F7A">
      <w:pPr>
        <w:spacing w:line="360" w:lineRule="auto"/>
        <w:jc w:val="center"/>
        <w:rPr>
          <w:rFonts w:ascii="宋体" w:hAnsi="宋体" w:cs="宋体"/>
          <w:sz w:val="24"/>
          <w:highlight w:val="none"/>
        </w:rPr>
      </w:pPr>
    </w:p>
    <w:p w14:paraId="5E811006">
      <w:pPr>
        <w:rPr>
          <w:rFonts w:hint="eastAsia" w:ascii="宋体" w:hAnsi="宋体" w:cs="宋体"/>
          <w:sz w:val="24"/>
          <w:highlight w:val="none"/>
        </w:rPr>
      </w:pPr>
      <w:r>
        <w:rPr>
          <w:rFonts w:hint="eastAsia" w:ascii="宋体" w:hAnsi="宋体" w:cs="宋体"/>
          <w:sz w:val="24"/>
          <w:highlight w:val="none"/>
        </w:rPr>
        <w:br w:type="page"/>
      </w:r>
    </w:p>
    <w:p w14:paraId="402D0371">
      <w:pPr>
        <w:spacing w:line="360" w:lineRule="auto"/>
        <w:jc w:val="center"/>
        <w:rPr>
          <w:rFonts w:hint="eastAsia" w:ascii="宋体" w:hAnsi="宋体" w:eastAsia="宋体" w:cs="宋体"/>
          <w:b/>
          <w:bCs/>
          <w:sz w:val="24"/>
          <w:highlight w:val="none"/>
          <w:lang w:eastAsia="zh-CN"/>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3  </w:t>
      </w:r>
      <w:r>
        <w:rPr>
          <w:rFonts w:hint="eastAsia" w:ascii="宋体" w:hAnsi="宋体" w:cs="宋体"/>
          <w:b/>
          <w:bCs/>
          <w:sz w:val="24"/>
          <w:highlight w:val="none"/>
        </w:rPr>
        <w:t>企业营业执照副本及</w:t>
      </w:r>
      <w:r>
        <w:rPr>
          <w:rFonts w:hint="eastAsia" w:ascii="宋体" w:hAnsi="宋体" w:cs="宋体"/>
          <w:b/>
          <w:bCs/>
          <w:kern w:val="0"/>
          <w:sz w:val="24"/>
          <w:highlight w:val="none"/>
        </w:rPr>
        <w:t>资格性证明材料</w:t>
      </w:r>
    </w:p>
    <w:p w14:paraId="021F3355">
      <w:pPr>
        <w:pStyle w:val="41"/>
        <w:ind w:firstLine="210"/>
        <w:rPr>
          <w:highlight w:val="none"/>
        </w:rPr>
      </w:pPr>
    </w:p>
    <w:p w14:paraId="7CDDF6E2">
      <w:pPr>
        <w:pStyle w:val="41"/>
        <w:ind w:firstLine="210"/>
        <w:rPr>
          <w:highlight w:val="none"/>
        </w:rPr>
      </w:pPr>
    </w:p>
    <w:p w14:paraId="014F088B">
      <w:pPr>
        <w:pStyle w:val="41"/>
        <w:ind w:firstLine="210"/>
        <w:rPr>
          <w:highlight w:val="none"/>
        </w:rPr>
      </w:pPr>
    </w:p>
    <w:p w14:paraId="11C3C249">
      <w:pPr>
        <w:pStyle w:val="41"/>
        <w:ind w:firstLine="210"/>
        <w:rPr>
          <w:highlight w:val="none"/>
        </w:rPr>
      </w:pPr>
    </w:p>
    <w:p w14:paraId="689281AA">
      <w:pPr>
        <w:rPr>
          <w:rFonts w:hint="eastAsia" w:ascii="宋体" w:hAnsi="宋体" w:cs="宋体"/>
          <w:sz w:val="24"/>
          <w:highlight w:val="none"/>
        </w:rPr>
      </w:pPr>
      <w:r>
        <w:rPr>
          <w:rFonts w:hint="eastAsia" w:ascii="宋体" w:hAnsi="宋体" w:cs="宋体"/>
          <w:sz w:val="24"/>
          <w:highlight w:val="none"/>
        </w:rPr>
        <w:br w:type="page"/>
      </w:r>
    </w:p>
    <w:p w14:paraId="545A98F0">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4 </w:t>
      </w:r>
      <w:r>
        <w:rPr>
          <w:rFonts w:hint="eastAsia" w:ascii="宋体" w:hAnsi="宋体" w:cs="宋体"/>
          <w:b/>
          <w:bCs/>
          <w:sz w:val="24"/>
          <w:highlight w:val="none"/>
        </w:rPr>
        <w:t>政府采购法第二十二条及参加政府采购活动前三年内无重大违法记录的书面声明</w:t>
      </w:r>
    </w:p>
    <w:p w14:paraId="1FD61A92">
      <w:pPr>
        <w:spacing w:line="360" w:lineRule="auto"/>
        <w:jc w:val="left"/>
        <w:rPr>
          <w:rFonts w:ascii="宋体" w:hAnsi="宋体" w:cs="宋体"/>
          <w:sz w:val="24"/>
          <w:highlight w:val="none"/>
        </w:rPr>
      </w:pPr>
    </w:p>
    <w:p w14:paraId="0DE59771">
      <w:pPr>
        <w:spacing w:line="360" w:lineRule="auto"/>
        <w:jc w:val="left"/>
        <w:rPr>
          <w:rFonts w:hint="eastAsia" w:ascii="宋体" w:hAnsi="宋体" w:cs="宋体"/>
          <w:sz w:val="24"/>
          <w:highlight w:val="none"/>
        </w:rPr>
      </w:pPr>
    </w:p>
    <w:p w14:paraId="48C29977">
      <w:pPr>
        <w:rPr>
          <w:rFonts w:hint="eastAsia" w:ascii="宋体" w:hAnsi="宋体" w:cs="宋体"/>
          <w:sz w:val="24"/>
          <w:highlight w:val="none"/>
        </w:rPr>
      </w:pPr>
      <w:r>
        <w:rPr>
          <w:rFonts w:hint="eastAsia" w:ascii="宋体" w:hAnsi="宋体" w:cs="宋体"/>
          <w:sz w:val="24"/>
          <w:highlight w:val="none"/>
        </w:rPr>
        <w:br w:type="page"/>
      </w:r>
    </w:p>
    <w:p w14:paraId="6B5BE717">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5 </w:t>
      </w:r>
      <w:r>
        <w:rPr>
          <w:rFonts w:hint="eastAsia" w:ascii="宋体" w:hAnsi="宋体" w:cs="宋体"/>
          <w:b/>
          <w:bCs/>
          <w:sz w:val="24"/>
          <w:highlight w:val="none"/>
        </w:rPr>
        <w:t>投标函</w:t>
      </w:r>
    </w:p>
    <w:p w14:paraId="4A17315E">
      <w:pPr>
        <w:pStyle w:val="27"/>
        <w:shd w:val="clear" w:color="auto" w:fill="FFFFFF"/>
        <w:adjustRightInd w:val="0"/>
        <w:snapToGrid w:val="0"/>
        <w:spacing w:before="0" w:beforeAutospacing="0" w:after="0" w:afterAutospacing="0" w:line="360" w:lineRule="auto"/>
        <w:rPr>
          <w:rFonts w:cs="宋体"/>
          <w:highlight w:val="none"/>
        </w:rPr>
      </w:pPr>
      <w:r>
        <w:rPr>
          <w:rFonts w:hint="eastAsia" w:cs="宋体"/>
          <w:szCs w:val="24"/>
          <w:highlight w:val="none"/>
        </w:rPr>
        <w:t>致：</w:t>
      </w:r>
      <w:r>
        <w:rPr>
          <w:rFonts w:hint="eastAsia" w:cs="宋体"/>
          <w:kern w:val="2"/>
          <w:highlight w:val="none"/>
        </w:rPr>
        <w:t>（采购人</w:t>
      </w:r>
      <w:r>
        <w:rPr>
          <w:rFonts w:hint="eastAsia" w:cs="宋体"/>
          <w:kern w:val="2"/>
          <w:highlight w:val="none"/>
          <w:lang w:val="en-US" w:eastAsia="zh-CN"/>
        </w:rPr>
        <w:t>和</w:t>
      </w:r>
      <w:r>
        <w:rPr>
          <w:rFonts w:hint="eastAsia" w:cs="宋体"/>
          <w:kern w:val="2"/>
          <w:highlight w:val="none"/>
        </w:rPr>
        <w:t>采购代理机构）</w:t>
      </w:r>
    </w:p>
    <w:p w14:paraId="0E5332E6">
      <w:pPr>
        <w:pStyle w:val="62"/>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（本项目名称）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），委托代理人 (全名、职务)代表 供应商名称、地址)提交投标文件，报价为</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14:paraId="6FC0E36B">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62BE7E29">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7F4A5061">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5D55E951">
      <w:pPr>
        <w:numPr>
          <w:ilvl w:val="0"/>
          <w:numId w:val="3"/>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4264C39B">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1240F0CC">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36C4D6E3">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35FB5F04">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我方愿按《中华人民共和国民法典》履行我方的全部责任。</w:t>
      </w:r>
    </w:p>
    <w:p w14:paraId="4AC611CF">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74D28A7D">
      <w:pPr>
        <w:ind w:firstLine="480" w:firstLineChars="200"/>
        <w:rPr>
          <w:rFonts w:ascii="宋体" w:hAnsi="宋体" w:cs="宋体"/>
          <w:sz w:val="24"/>
          <w:highlight w:val="none"/>
        </w:rPr>
      </w:pPr>
      <w:r>
        <w:rPr>
          <w:rFonts w:hint="eastAsia" w:ascii="宋体" w:hAnsi="宋体" w:cs="宋体"/>
          <w:sz w:val="24"/>
          <w:highlight w:val="none"/>
        </w:rPr>
        <w:t>地 址：                  邮 编：</w:t>
      </w:r>
    </w:p>
    <w:p w14:paraId="45998168">
      <w:pPr>
        <w:ind w:firstLine="480" w:firstLineChars="200"/>
        <w:rPr>
          <w:rFonts w:ascii="宋体" w:hAnsi="宋体" w:cs="宋体"/>
          <w:sz w:val="24"/>
          <w:highlight w:val="none"/>
        </w:rPr>
      </w:pPr>
      <w:r>
        <w:rPr>
          <w:rFonts w:hint="eastAsia" w:ascii="宋体" w:hAnsi="宋体" w:cs="宋体"/>
          <w:sz w:val="24"/>
          <w:highlight w:val="none"/>
        </w:rPr>
        <w:t>电 话：                  电子信箱：</w:t>
      </w:r>
    </w:p>
    <w:p w14:paraId="40D2093E">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5FF66689">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49784F70">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381E3E2F">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0C12F540">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579EEF1A">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70958E59">
      <w:pPr>
        <w:spacing w:line="560" w:lineRule="exact"/>
        <w:jc w:val="left"/>
        <w:rPr>
          <w:rFonts w:ascii="宋体" w:hAnsi="宋体" w:cs="宋体"/>
          <w:sz w:val="24"/>
          <w:highlight w:val="none"/>
        </w:rPr>
      </w:pPr>
    </w:p>
    <w:p w14:paraId="56330442">
      <w:pPr>
        <w:spacing w:line="560" w:lineRule="exact"/>
        <w:jc w:val="left"/>
        <w:rPr>
          <w:rFonts w:ascii="宋体" w:hAnsi="宋体" w:cs="宋体"/>
          <w:sz w:val="24"/>
          <w:highlight w:val="none"/>
        </w:rPr>
      </w:pPr>
      <w:r>
        <w:rPr>
          <w:rFonts w:hint="eastAsia" w:ascii="宋体" w:hAnsi="宋体" w:cs="宋体"/>
          <w:sz w:val="24"/>
          <w:highlight w:val="none"/>
        </w:rPr>
        <w:t xml:space="preserve">     联系人：              联系电话：</w:t>
      </w:r>
    </w:p>
    <w:p w14:paraId="4714304E">
      <w:pPr>
        <w:spacing w:line="360" w:lineRule="auto"/>
        <w:jc w:val="left"/>
        <w:rPr>
          <w:rFonts w:ascii="宋体" w:hAnsi="宋体" w:cs="宋体"/>
          <w:sz w:val="24"/>
          <w:highlight w:val="none"/>
        </w:rPr>
      </w:pPr>
    </w:p>
    <w:p w14:paraId="5297EAEC">
      <w:pPr>
        <w:spacing w:line="360" w:lineRule="auto"/>
        <w:jc w:val="left"/>
        <w:rPr>
          <w:rFonts w:ascii="宋体" w:hAnsi="宋体" w:cs="宋体"/>
          <w:sz w:val="24"/>
          <w:highlight w:val="none"/>
        </w:rPr>
      </w:pPr>
    </w:p>
    <w:p w14:paraId="2AA068C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33BA2944">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76ADDB18">
      <w:pPr>
        <w:spacing w:line="360" w:lineRule="auto"/>
        <w:jc w:val="center"/>
        <w:rPr>
          <w:rFonts w:ascii="宋体" w:hAnsi="宋体" w:cs="宋体"/>
          <w:b w:val="0"/>
          <w:sz w:val="24"/>
          <w:szCs w:val="24"/>
          <w:highlight w:val="none"/>
        </w:rPr>
      </w:pPr>
      <w:r>
        <w:rPr>
          <w:rFonts w:hint="eastAsia" w:ascii="宋体" w:hAnsi="宋体" w:cs="宋体"/>
          <w:sz w:val="24"/>
          <w:highlight w:val="none"/>
        </w:rPr>
        <w:br w:type="page"/>
      </w:r>
      <w:r>
        <w:rPr>
          <w:rFonts w:hint="eastAsia" w:ascii="宋体" w:hAnsi="宋体" w:cs="宋体"/>
          <w:b/>
          <w:bCs/>
          <w:sz w:val="24"/>
          <w:highlight w:val="none"/>
        </w:rPr>
        <w:t>格式</w:t>
      </w:r>
      <w:r>
        <w:rPr>
          <w:rFonts w:hint="eastAsia" w:ascii="宋体" w:hAnsi="宋体" w:cs="宋体"/>
          <w:b/>
          <w:bCs/>
          <w:sz w:val="24"/>
          <w:highlight w:val="none"/>
          <w:lang w:val="en-US" w:eastAsia="zh-CN"/>
        </w:rPr>
        <w:t>6</w:t>
      </w:r>
      <w:bookmarkStart w:id="34" w:name="_Toc495414231"/>
      <w:bookmarkStart w:id="35" w:name="_Toc197934561"/>
      <w:r>
        <w:rPr>
          <w:rFonts w:hint="eastAsia" w:ascii="宋体" w:hAnsi="宋体" w:cs="宋体"/>
          <w:b/>
          <w:bCs/>
          <w:sz w:val="24"/>
          <w:highlight w:val="none"/>
          <w:lang w:val="en-US" w:eastAsia="zh-CN"/>
        </w:rPr>
        <w:t xml:space="preserve"> </w:t>
      </w:r>
      <w:r>
        <w:rPr>
          <w:rFonts w:hint="eastAsia" w:ascii="宋体" w:hAnsi="宋体" w:cs="宋体"/>
          <w:b/>
          <w:bCs/>
          <w:sz w:val="24"/>
          <w:szCs w:val="24"/>
          <w:highlight w:val="none"/>
        </w:rPr>
        <w:t>报价一览表</w:t>
      </w:r>
      <w:bookmarkEnd w:id="34"/>
      <w:bookmarkEnd w:id="35"/>
    </w:p>
    <w:tbl>
      <w:tblPr>
        <w:tblStyle w:val="30"/>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BA1F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6D6E6A3">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5E28EDDF">
            <w:pPr>
              <w:spacing w:line="360" w:lineRule="exact"/>
              <w:jc w:val="center"/>
              <w:rPr>
                <w:rFonts w:ascii="宋体" w:hAnsi="宋体" w:cs="宋体"/>
                <w:sz w:val="24"/>
                <w:highlight w:val="none"/>
              </w:rPr>
            </w:pPr>
          </w:p>
        </w:tc>
      </w:tr>
      <w:tr w14:paraId="25A38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8186317">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24773F39">
            <w:pPr>
              <w:spacing w:line="360" w:lineRule="auto"/>
              <w:rPr>
                <w:rFonts w:ascii="宋体" w:hAnsi="宋体" w:cs="宋体"/>
                <w:sz w:val="24"/>
                <w:highlight w:val="none"/>
              </w:rPr>
            </w:pPr>
          </w:p>
        </w:tc>
      </w:tr>
      <w:tr w14:paraId="6BFF8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9E60060">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296B3AE6">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535E6CAF">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546B2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1EB7722">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301C7209">
            <w:pPr>
              <w:spacing w:line="360" w:lineRule="auto"/>
              <w:jc w:val="left"/>
              <w:rPr>
                <w:rFonts w:ascii="宋体" w:hAnsi="宋体" w:cs="宋体"/>
                <w:sz w:val="24"/>
                <w:highlight w:val="none"/>
              </w:rPr>
            </w:pPr>
          </w:p>
        </w:tc>
      </w:tr>
    </w:tbl>
    <w:p w14:paraId="5252317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6A540EE3">
      <w:pPr>
        <w:spacing w:line="360" w:lineRule="auto"/>
        <w:rPr>
          <w:rFonts w:ascii="宋体" w:hAnsi="宋体" w:cs="宋体"/>
          <w:sz w:val="24"/>
          <w:highlight w:val="none"/>
        </w:rPr>
      </w:pPr>
      <w:r>
        <w:rPr>
          <w:rFonts w:hint="eastAsia" w:ascii="宋体" w:hAnsi="宋体" w:cs="宋体"/>
          <w:sz w:val="24"/>
          <w:highlight w:val="none"/>
        </w:rPr>
        <w:t>备注：</w:t>
      </w:r>
    </w:p>
    <w:p w14:paraId="3F3103F8">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695BCF68">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086B88E7">
      <w:pPr>
        <w:spacing w:line="360" w:lineRule="auto"/>
        <w:jc w:val="left"/>
        <w:rPr>
          <w:rFonts w:ascii="宋体" w:hAnsi="宋体" w:cs="宋体"/>
          <w:sz w:val="24"/>
          <w:highlight w:val="none"/>
        </w:rPr>
      </w:pPr>
      <w:bookmarkStart w:id="36" w:name="_Toc220232409"/>
      <w:bookmarkStart w:id="37" w:name="_Toc495414234"/>
    </w:p>
    <w:p w14:paraId="15A51FC9">
      <w:pPr>
        <w:pStyle w:val="41"/>
        <w:ind w:firstLine="240"/>
        <w:rPr>
          <w:rFonts w:ascii="宋体" w:hAnsi="宋体" w:cs="宋体"/>
          <w:sz w:val="24"/>
          <w:highlight w:val="none"/>
        </w:rPr>
      </w:pPr>
    </w:p>
    <w:p w14:paraId="0AF5410C">
      <w:pPr>
        <w:pStyle w:val="41"/>
        <w:ind w:firstLine="240"/>
        <w:rPr>
          <w:rFonts w:ascii="宋体" w:hAnsi="宋体" w:cs="宋体"/>
          <w:sz w:val="24"/>
          <w:highlight w:val="none"/>
        </w:rPr>
      </w:pPr>
    </w:p>
    <w:p w14:paraId="36C60824">
      <w:pPr>
        <w:pStyle w:val="41"/>
        <w:ind w:firstLine="240"/>
        <w:rPr>
          <w:rFonts w:ascii="宋体" w:hAnsi="宋体" w:cs="宋体"/>
          <w:sz w:val="24"/>
          <w:highlight w:val="none"/>
        </w:rPr>
      </w:pPr>
    </w:p>
    <w:p w14:paraId="35A34597">
      <w:pPr>
        <w:pStyle w:val="41"/>
        <w:ind w:firstLine="240"/>
        <w:rPr>
          <w:rFonts w:ascii="宋体" w:hAnsi="宋体" w:cs="宋体"/>
          <w:sz w:val="24"/>
          <w:highlight w:val="none"/>
        </w:rPr>
      </w:pPr>
    </w:p>
    <w:p w14:paraId="5A8EFA76">
      <w:pPr>
        <w:pStyle w:val="41"/>
        <w:ind w:firstLine="240"/>
        <w:rPr>
          <w:rFonts w:ascii="宋体" w:hAnsi="宋体" w:cs="宋体"/>
          <w:sz w:val="24"/>
          <w:highlight w:val="none"/>
        </w:rPr>
      </w:pPr>
    </w:p>
    <w:p w14:paraId="35705D53">
      <w:pPr>
        <w:pStyle w:val="41"/>
        <w:ind w:firstLine="240"/>
        <w:rPr>
          <w:rFonts w:ascii="宋体" w:hAnsi="宋体" w:cs="宋体"/>
          <w:sz w:val="24"/>
          <w:highlight w:val="none"/>
        </w:rPr>
      </w:pPr>
    </w:p>
    <w:p w14:paraId="48BEE3DB">
      <w:pPr>
        <w:rPr>
          <w:rFonts w:hint="eastAsia" w:ascii="宋体" w:hAnsi="宋体" w:cs="宋体"/>
          <w:sz w:val="24"/>
          <w:highlight w:val="none"/>
        </w:rPr>
      </w:pPr>
      <w:r>
        <w:rPr>
          <w:rFonts w:hint="eastAsia" w:ascii="宋体" w:hAnsi="宋体" w:cs="宋体"/>
          <w:sz w:val="24"/>
          <w:highlight w:val="none"/>
        </w:rPr>
        <w:br w:type="page"/>
      </w:r>
    </w:p>
    <w:p w14:paraId="7CCECEA6">
      <w:pPr>
        <w:spacing w:line="360" w:lineRule="auto"/>
        <w:jc w:val="center"/>
        <w:rPr>
          <w:rFonts w:ascii="宋体" w:hAnsi="宋体" w:cs="宋体"/>
          <w:b/>
          <w:bCs/>
          <w:sz w:val="24"/>
          <w:szCs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7 </w:t>
      </w:r>
      <w:r>
        <w:rPr>
          <w:rFonts w:hint="eastAsia" w:ascii="宋体" w:hAnsi="宋体" w:cs="宋体"/>
          <w:b/>
          <w:bCs/>
          <w:sz w:val="24"/>
          <w:szCs w:val="24"/>
          <w:highlight w:val="none"/>
        </w:rPr>
        <w:t>投标分项报价表</w:t>
      </w:r>
      <w:bookmarkEnd w:id="36"/>
      <w:bookmarkEnd w:id="37"/>
    </w:p>
    <w:tbl>
      <w:tblPr>
        <w:tblStyle w:val="30"/>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0CBD0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53BFD4F">
            <w:pPr>
              <w:pStyle w:val="66"/>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5B135F78">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7319D5CA">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23254101">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3785F1FB">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3590FEE1">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477E6F5E">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52A7D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05045F1">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5C17A661">
            <w:pPr>
              <w:spacing w:line="340" w:lineRule="exact"/>
              <w:rPr>
                <w:rFonts w:ascii="宋体" w:hAnsi="宋体" w:cs="宋体"/>
                <w:sz w:val="24"/>
                <w:highlight w:val="none"/>
              </w:rPr>
            </w:pPr>
          </w:p>
        </w:tc>
        <w:tc>
          <w:tcPr>
            <w:tcW w:w="957" w:type="dxa"/>
          </w:tcPr>
          <w:p w14:paraId="64DB81DA">
            <w:pPr>
              <w:spacing w:line="340" w:lineRule="exact"/>
              <w:rPr>
                <w:rFonts w:ascii="宋体" w:hAnsi="宋体" w:cs="宋体"/>
                <w:sz w:val="24"/>
                <w:highlight w:val="none"/>
              </w:rPr>
            </w:pPr>
          </w:p>
        </w:tc>
        <w:tc>
          <w:tcPr>
            <w:tcW w:w="840" w:type="dxa"/>
          </w:tcPr>
          <w:p w14:paraId="5D98CC36">
            <w:pPr>
              <w:spacing w:line="340" w:lineRule="exact"/>
              <w:rPr>
                <w:rFonts w:ascii="宋体" w:hAnsi="宋体" w:cs="宋体"/>
                <w:sz w:val="24"/>
                <w:highlight w:val="none"/>
              </w:rPr>
            </w:pPr>
          </w:p>
        </w:tc>
        <w:tc>
          <w:tcPr>
            <w:tcW w:w="1260" w:type="dxa"/>
          </w:tcPr>
          <w:p w14:paraId="21BA970E">
            <w:pPr>
              <w:spacing w:line="340" w:lineRule="exact"/>
              <w:rPr>
                <w:rFonts w:ascii="宋体" w:hAnsi="宋体" w:cs="宋体"/>
                <w:sz w:val="24"/>
                <w:highlight w:val="none"/>
              </w:rPr>
            </w:pPr>
          </w:p>
        </w:tc>
        <w:tc>
          <w:tcPr>
            <w:tcW w:w="1340" w:type="dxa"/>
          </w:tcPr>
          <w:p w14:paraId="2E09D807">
            <w:pPr>
              <w:spacing w:line="340" w:lineRule="exact"/>
              <w:rPr>
                <w:rFonts w:ascii="宋体" w:hAnsi="宋体" w:cs="宋体"/>
                <w:sz w:val="24"/>
                <w:highlight w:val="none"/>
              </w:rPr>
            </w:pPr>
          </w:p>
        </w:tc>
        <w:tc>
          <w:tcPr>
            <w:tcW w:w="1347" w:type="dxa"/>
          </w:tcPr>
          <w:p w14:paraId="1A35BC35">
            <w:pPr>
              <w:spacing w:line="340" w:lineRule="exact"/>
              <w:rPr>
                <w:rFonts w:ascii="宋体" w:hAnsi="宋体" w:cs="宋体"/>
                <w:sz w:val="24"/>
                <w:highlight w:val="none"/>
              </w:rPr>
            </w:pPr>
          </w:p>
        </w:tc>
      </w:tr>
      <w:tr w14:paraId="1C36B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CCEAB56">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7FD01946">
            <w:pPr>
              <w:spacing w:line="340" w:lineRule="exact"/>
              <w:rPr>
                <w:rFonts w:ascii="宋体" w:hAnsi="宋体" w:cs="宋体"/>
                <w:sz w:val="24"/>
                <w:highlight w:val="none"/>
              </w:rPr>
            </w:pPr>
          </w:p>
        </w:tc>
        <w:tc>
          <w:tcPr>
            <w:tcW w:w="957" w:type="dxa"/>
          </w:tcPr>
          <w:p w14:paraId="62BE43E3">
            <w:pPr>
              <w:spacing w:line="340" w:lineRule="exact"/>
              <w:rPr>
                <w:rFonts w:ascii="宋体" w:hAnsi="宋体" w:cs="宋体"/>
                <w:sz w:val="24"/>
                <w:highlight w:val="none"/>
              </w:rPr>
            </w:pPr>
          </w:p>
        </w:tc>
        <w:tc>
          <w:tcPr>
            <w:tcW w:w="840" w:type="dxa"/>
          </w:tcPr>
          <w:p w14:paraId="75C7C957">
            <w:pPr>
              <w:spacing w:line="340" w:lineRule="exact"/>
              <w:rPr>
                <w:rFonts w:ascii="宋体" w:hAnsi="宋体" w:cs="宋体"/>
                <w:sz w:val="24"/>
                <w:highlight w:val="none"/>
              </w:rPr>
            </w:pPr>
          </w:p>
        </w:tc>
        <w:tc>
          <w:tcPr>
            <w:tcW w:w="1260" w:type="dxa"/>
          </w:tcPr>
          <w:p w14:paraId="426FB99E">
            <w:pPr>
              <w:spacing w:line="340" w:lineRule="exact"/>
              <w:rPr>
                <w:rFonts w:ascii="宋体" w:hAnsi="宋体" w:cs="宋体"/>
                <w:sz w:val="24"/>
                <w:highlight w:val="none"/>
              </w:rPr>
            </w:pPr>
          </w:p>
        </w:tc>
        <w:tc>
          <w:tcPr>
            <w:tcW w:w="1340" w:type="dxa"/>
          </w:tcPr>
          <w:p w14:paraId="34C2A5C4">
            <w:pPr>
              <w:spacing w:line="340" w:lineRule="exact"/>
              <w:rPr>
                <w:rFonts w:ascii="宋体" w:hAnsi="宋体" w:cs="宋体"/>
                <w:sz w:val="24"/>
                <w:highlight w:val="none"/>
              </w:rPr>
            </w:pPr>
          </w:p>
        </w:tc>
        <w:tc>
          <w:tcPr>
            <w:tcW w:w="1347" w:type="dxa"/>
          </w:tcPr>
          <w:p w14:paraId="025A73D6">
            <w:pPr>
              <w:spacing w:line="340" w:lineRule="exact"/>
              <w:rPr>
                <w:rFonts w:ascii="宋体" w:hAnsi="宋体" w:cs="宋体"/>
                <w:sz w:val="24"/>
                <w:highlight w:val="none"/>
              </w:rPr>
            </w:pPr>
          </w:p>
        </w:tc>
      </w:tr>
      <w:tr w14:paraId="2A66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132A34E">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518FE268">
            <w:pPr>
              <w:spacing w:line="340" w:lineRule="exact"/>
              <w:rPr>
                <w:rFonts w:ascii="宋体" w:hAnsi="宋体" w:cs="宋体"/>
                <w:sz w:val="24"/>
                <w:highlight w:val="none"/>
              </w:rPr>
            </w:pPr>
          </w:p>
        </w:tc>
        <w:tc>
          <w:tcPr>
            <w:tcW w:w="957" w:type="dxa"/>
          </w:tcPr>
          <w:p w14:paraId="5FAF20F1">
            <w:pPr>
              <w:spacing w:line="340" w:lineRule="exact"/>
              <w:rPr>
                <w:rFonts w:ascii="宋体" w:hAnsi="宋体" w:cs="宋体"/>
                <w:sz w:val="24"/>
                <w:highlight w:val="none"/>
              </w:rPr>
            </w:pPr>
          </w:p>
        </w:tc>
        <w:tc>
          <w:tcPr>
            <w:tcW w:w="840" w:type="dxa"/>
          </w:tcPr>
          <w:p w14:paraId="4EC65352">
            <w:pPr>
              <w:spacing w:line="340" w:lineRule="exact"/>
              <w:rPr>
                <w:rFonts w:ascii="宋体" w:hAnsi="宋体" w:cs="宋体"/>
                <w:sz w:val="24"/>
                <w:highlight w:val="none"/>
              </w:rPr>
            </w:pPr>
          </w:p>
        </w:tc>
        <w:tc>
          <w:tcPr>
            <w:tcW w:w="1260" w:type="dxa"/>
          </w:tcPr>
          <w:p w14:paraId="19A22D03">
            <w:pPr>
              <w:spacing w:line="340" w:lineRule="exact"/>
              <w:rPr>
                <w:rFonts w:ascii="宋体" w:hAnsi="宋体" w:cs="宋体"/>
                <w:sz w:val="24"/>
                <w:highlight w:val="none"/>
              </w:rPr>
            </w:pPr>
          </w:p>
        </w:tc>
        <w:tc>
          <w:tcPr>
            <w:tcW w:w="1340" w:type="dxa"/>
          </w:tcPr>
          <w:p w14:paraId="59023DD4">
            <w:pPr>
              <w:spacing w:line="340" w:lineRule="exact"/>
              <w:rPr>
                <w:rFonts w:ascii="宋体" w:hAnsi="宋体" w:cs="宋体"/>
                <w:sz w:val="24"/>
                <w:highlight w:val="none"/>
              </w:rPr>
            </w:pPr>
          </w:p>
        </w:tc>
        <w:tc>
          <w:tcPr>
            <w:tcW w:w="1347" w:type="dxa"/>
          </w:tcPr>
          <w:p w14:paraId="4E2DF76B">
            <w:pPr>
              <w:spacing w:line="340" w:lineRule="exact"/>
              <w:rPr>
                <w:rFonts w:ascii="宋体" w:hAnsi="宋体" w:cs="宋体"/>
                <w:sz w:val="24"/>
                <w:highlight w:val="none"/>
              </w:rPr>
            </w:pPr>
          </w:p>
        </w:tc>
      </w:tr>
      <w:tr w14:paraId="25E81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25174F7">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7428E95E">
            <w:pPr>
              <w:spacing w:line="340" w:lineRule="exact"/>
              <w:rPr>
                <w:rFonts w:ascii="宋体" w:hAnsi="宋体" w:cs="宋体"/>
                <w:sz w:val="24"/>
                <w:highlight w:val="none"/>
              </w:rPr>
            </w:pPr>
          </w:p>
        </w:tc>
        <w:tc>
          <w:tcPr>
            <w:tcW w:w="957" w:type="dxa"/>
          </w:tcPr>
          <w:p w14:paraId="60124C2E">
            <w:pPr>
              <w:spacing w:line="340" w:lineRule="exact"/>
              <w:rPr>
                <w:rFonts w:ascii="宋体" w:hAnsi="宋体" w:cs="宋体"/>
                <w:sz w:val="24"/>
                <w:highlight w:val="none"/>
              </w:rPr>
            </w:pPr>
          </w:p>
        </w:tc>
        <w:tc>
          <w:tcPr>
            <w:tcW w:w="840" w:type="dxa"/>
          </w:tcPr>
          <w:p w14:paraId="0C7EBFFB">
            <w:pPr>
              <w:spacing w:line="340" w:lineRule="exact"/>
              <w:rPr>
                <w:rFonts w:ascii="宋体" w:hAnsi="宋体" w:cs="宋体"/>
                <w:sz w:val="24"/>
                <w:highlight w:val="none"/>
              </w:rPr>
            </w:pPr>
          </w:p>
        </w:tc>
        <w:tc>
          <w:tcPr>
            <w:tcW w:w="1260" w:type="dxa"/>
          </w:tcPr>
          <w:p w14:paraId="0689A97E">
            <w:pPr>
              <w:spacing w:line="340" w:lineRule="exact"/>
              <w:rPr>
                <w:rFonts w:ascii="宋体" w:hAnsi="宋体" w:cs="宋体"/>
                <w:sz w:val="24"/>
                <w:highlight w:val="none"/>
              </w:rPr>
            </w:pPr>
          </w:p>
        </w:tc>
        <w:tc>
          <w:tcPr>
            <w:tcW w:w="1340" w:type="dxa"/>
          </w:tcPr>
          <w:p w14:paraId="116CE20F">
            <w:pPr>
              <w:spacing w:line="340" w:lineRule="exact"/>
              <w:rPr>
                <w:rFonts w:ascii="宋体" w:hAnsi="宋体" w:cs="宋体"/>
                <w:sz w:val="24"/>
                <w:highlight w:val="none"/>
              </w:rPr>
            </w:pPr>
          </w:p>
        </w:tc>
        <w:tc>
          <w:tcPr>
            <w:tcW w:w="1347" w:type="dxa"/>
          </w:tcPr>
          <w:p w14:paraId="42FA2E7B">
            <w:pPr>
              <w:spacing w:line="340" w:lineRule="exact"/>
              <w:rPr>
                <w:rFonts w:ascii="宋体" w:hAnsi="宋体" w:cs="宋体"/>
                <w:sz w:val="24"/>
                <w:highlight w:val="none"/>
              </w:rPr>
            </w:pPr>
          </w:p>
        </w:tc>
      </w:tr>
      <w:tr w14:paraId="30997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7C39DB3">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1BD1F7C3">
            <w:pPr>
              <w:spacing w:line="340" w:lineRule="exact"/>
              <w:rPr>
                <w:rFonts w:ascii="宋体" w:hAnsi="宋体" w:cs="宋体"/>
                <w:sz w:val="24"/>
                <w:highlight w:val="none"/>
              </w:rPr>
            </w:pPr>
          </w:p>
        </w:tc>
        <w:tc>
          <w:tcPr>
            <w:tcW w:w="957" w:type="dxa"/>
          </w:tcPr>
          <w:p w14:paraId="0C9A4849">
            <w:pPr>
              <w:spacing w:line="340" w:lineRule="exact"/>
              <w:rPr>
                <w:rFonts w:ascii="宋体" w:hAnsi="宋体" w:cs="宋体"/>
                <w:sz w:val="24"/>
                <w:highlight w:val="none"/>
              </w:rPr>
            </w:pPr>
          </w:p>
        </w:tc>
        <w:tc>
          <w:tcPr>
            <w:tcW w:w="840" w:type="dxa"/>
          </w:tcPr>
          <w:p w14:paraId="2632B76A">
            <w:pPr>
              <w:spacing w:line="340" w:lineRule="exact"/>
              <w:rPr>
                <w:rFonts w:ascii="宋体" w:hAnsi="宋体" w:cs="宋体"/>
                <w:sz w:val="24"/>
                <w:highlight w:val="none"/>
              </w:rPr>
            </w:pPr>
          </w:p>
        </w:tc>
        <w:tc>
          <w:tcPr>
            <w:tcW w:w="1260" w:type="dxa"/>
          </w:tcPr>
          <w:p w14:paraId="3C38B810">
            <w:pPr>
              <w:spacing w:line="340" w:lineRule="exact"/>
              <w:rPr>
                <w:rFonts w:ascii="宋体" w:hAnsi="宋体" w:cs="宋体"/>
                <w:sz w:val="24"/>
                <w:highlight w:val="none"/>
              </w:rPr>
            </w:pPr>
          </w:p>
        </w:tc>
        <w:tc>
          <w:tcPr>
            <w:tcW w:w="1340" w:type="dxa"/>
          </w:tcPr>
          <w:p w14:paraId="56619F08">
            <w:pPr>
              <w:spacing w:line="340" w:lineRule="exact"/>
              <w:rPr>
                <w:rFonts w:ascii="宋体" w:hAnsi="宋体" w:cs="宋体"/>
                <w:sz w:val="24"/>
                <w:highlight w:val="none"/>
              </w:rPr>
            </w:pPr>
          </w:p>
        </w:tc>
        <w:tc>
          <w:tcPr>
            <w:tcW w:w="1347" w:type="dxa"/>
          </w:tcPr>
          <w:p w14:paraId="0FE6D4A3">
            <w:pPr>
              <w:spacing w:line="340" w:lineRule="exact"/>
              <w:rPr>
                <w:rFonts w:ascii="宋体" w:hAnsi="宋体" w:cs="宋体"/>
                <w:sz w:val="24"/>
                <w:highlight w:val="none"/>
              </w:rPr>
            </w:pPr>
          </w:p>
        </w:tc>
      </w:tr>
      <w:tr w14:paraId="332B0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612F5B8">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20212E56">
            <w:pPr>
              <w:spacing w:line="340" w:lineRule="exact"/>
              <w:rPr>
                <w:rFonts w:ascii="宋体" w:hAnsi="宋体" w:cs="宋体"/>
                <w:sz w:val="24"/>
                <w:highlight w:val="none"/>
              </w:rPr>
            </w:pPr>
          </w:p>
        </w:tc>
        <w:tc>
          <w:tcPr>
            <w:tcW w:w="957" w:type="dxa"/>
          </w:tcPr>
          <w:p w14:paraId="3D0DE544">
            <w:pPr>
              <w:spacing w:line="340" w:lineRule="exact"/>
              <w:rPr>
                <w:rFonts w:ascii="宋体" w:hAnsi="宋体" w:cs="宋体"/>
                <w:sz w:val="24"/>
                <w:highlight w:val="none"/>
              </w:rPr>
            </w:pPr>
          </w:p>
        </w:tc>
        <w:tc>
          <w:tcPr>
            <w:tcW w:w="840" w:type="dxa"/>
          </w:tcPr>
          <w:p w14:paraId="25AB6B9B">
            <w:pPr>
              <w:spacing w:line="340" w:lineRule="exact"/>
              <w:rPr>
                <w:rFonts w:ascii="宋体" w:hAnsi="宋体" w:cs="宋体"/>
                <w:sz w:val="24"/>
                <w:highlight w:val="none"/>
              </w:rPr>
            </w:pPr>
          </w:p>
        </w:tc>
        <w:tc>
          <w:tcPr>
            <w:tcW w:w="1260" w:type="dxa"/>
          </w:tcPr>
          <w:p w14:paraId="3C70F20F">
            <w:pPr>
              <w:spacing w:line="340" w:lineRule="exact"/>
              <w:rPr>
                <w:rFonts w:ascii="宋体" w:hAnsi="宋体" w:cs="宋体"/>
                <w:sz w:val="24"/>
                <w:highlight w:val="none"/>
              </w:rPr>
            </w:pPr>
          </w:p>
        </w:tc>
        <w:tc>
          <w:tcPr>
            <w:tcW w:w="1340" w:type="dxa"/>
          </w:tcPr>
          <w:p w14:paraId="385CFF74">
            <w:pPr>
              <w:spacing w:line="340" w:lineRule="exact"/>
              <w:rPr>
                <w:rFonts w:ascii="宋体" w:hAnsi="宋体" w:cs="宋体"/>
                <w:sz w:val="24"/>
                <w:highlight w:val="none"/>
              </w:rPr>
            </w:pPr>
          </w:p>
        </w:tc>
        <w:tc>
          <w:tcPr>
            <w:tcW w:w="1347" w:type="dxa"/>
          </w:tcPr>
          <w:p w14:paraId="152A6963">
            <w:pPr>
              <w:spacing w:line="340" w:lineRule="exact"/>
              <w:rPr>
                <w:rFonts w:ascii="宋体" w:hAnsi="宋体" w:cs="宋体"/>
                <w:sz w:val="24"/>
                <w:highlight w:val="none"/>
              </w:rPr>
            </w:pPr>
          </w:p>
        </w:tc>
      </w:tr>
      <w:tr w14:paraId="125E0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C2AA7BC">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14:paraId="2129E396">
            <w:pPr>
              <w:spacing w:line="340" w:lineRule="exact"/>
              <w:rPr>
                <w:rFonts w:ascii="宋体" w:hAnsi="宋体" w:cs="宋体"/>
                <w:sz w:val="24"/>
                <w:highlight w:val="none"/>
              </w:rPr>
            </w:pPr>
          </w:p>
        </w:tc>
        <w:tc>
          <w:tcPr>
            <w:tcW w:w="957" w:type="dxa"/>
          </w:tcPr>
          <w:p w14:paraId="097D6DCE">
            <w:pPr>
              <w:spacing w:line="340" w:lineRule="exact"/>
              <w:rPr>
                <w:rFonts w:ascii="宋体" w:hAnsi="宋体" w:cs="宋体"/>
                <w:sz w:val="24"/>
                <w:highlight w:val="none"/>
              </w:rPr>
            </w:pPr>
          </w:p>
        </w:tc>
        <w:tc>
          <w:tcPr>
            <w:tcW w:w="840" w:type="dxa"/>
          </w:tcPr>
          <w:p w14:paraId="48792163">
            <w:pPr>
              <w:spacing w:line="340" w:lineRule="exact"/>
              <w:rPr>
                <w:rFonts w:ascii="宋体" w:hAnsi="宋体" w:cs="宋体"/>
                <w:sz w:val="24"/>
                <w:highlight w:val="none"/>
              </w:rPr>
            </w:pPr>
          </w:p>
        </w:tc>
        <w:tc>
          <w:tcPr>
            <w:tcW w:w="1260" w:type="dxa"/>
          </w:tcPr>
          <w:p w14:paraId="5609D017">
            <w:pPr>
              <w:spacing w:line="340" w:lineRule="exact"/>
              <w:rPr>
                <w:rFonts w:ascii="宋体" w:hAnsi="宋体" w:cs="宋体"/>
                <w:sz w:val="24"/>
                <w:highlight w:val="none"/>
              </w:rPr>
            </w:pPr>
          </w:p>
        </w:tc>
        <w:tc>
          <w:tcPr>
            <w:tcW w:w="1340" w:type="dxa"/>
          </w:tcPr>
          <w:p w14:paraId="73803AB8">
            <w:pPr>
              <w:spacing w:line="340" w:lineRule="exact"/>
              <w:rPr>
                <w:rFonts w:ascii="宋体" w:hAnsi="宋体" w:cs="宋体"/>
                <w:sz w:val="24"/>
                <w:highlight w:val="none"/>
              </w:rPr>
            </w:pPr>
          </w:p>
        </w:tc>
        <w:tc>
          <w:tcPr>
            <w:tcW w:w="1347" w:type="dxa"/>
          </w:tcPr>
          <w:p w14:paraId="0E4F78DE">
            <w:pPr>
              <w:spacing w:line="340" w:lineRule="exact"/>
              <w:rPr>
                <w:rFonts w:ascii="宋体" w:hAnsi="宋体" w:cs="宋体"/>
                <w:sz w:val="24"/>
                <w:highlight w:val="none"/>
              </w:rPr>
            </w:pPr>
          </w:p>
        </w:tc>
      </w:tr>
      <w:tr w14:paraId="4F524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354554D">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14:paraId="6F508598">
            <w:pPr>
              <w:spacing w:line="340" w:lineRule="exact"/>
              <w:rPr>
                <w:rFonts w:ascii="宋体" w:hAnsi="宋体" w:cs="宋体"/>
                <w:sz w:val="24"/>
                <w:highlight w:val="none"/>
              </w:rPr>
            </w:pPr>
          </w:p>
        </w:tc>
        <w:tc>
          <w:tcPr>
            <w:tcW w:w="957" w:type="dxa"/>
          </w:tcPr>
          <w:p w14:paraId="44EDA2B1">
            <w:pPr>
              <w:spacing w:line="340" w:lineRule="exact"/>
              <w:rPr>
                <w:rFonts w:ascii="宋体" w:hAnsi="宋体" w:cs="宋体"/>
                <w:sz w:val="24"/>
                <w:highlight w:val="none"/>
              </w:rPr>
            </w:pPr>
          </w:p>
        </w:tc>
        <w:tc>
          <w:tcPr>
            <w:tcW w:w="840" w:type="dxa"/>
          </w:tcPr>
          <w:p w14:paraId="3F737539">
            <w:pPr>
              <w:spacing w:line="340" w:lineRule="exact"/>
              <w:rPr>
                <w:rFonts w:ascii="宋体" w:hAnsi="宋体" w:cs="宋体"/>
                <w:sz w:val="24"/>
                <w:highlight w:val="none"/>
              </w:rPr>
            </w:pPr>
          </w:p>
        </w:tc>
        <w:tc>
          <w:tcPr>
            <w:tcW w:w="1260" w:type="dxa"/>
          </w:tcPr>
          <w:p w14:paraId="06B9766C">
            <w:pPr>
              <w:spacing w:line="340" w:lineRule="exact"/>
              <w:rPr>
                <w:rFonts w:ascii="宋体" w:hAnsi="宋体" w:cs="宋体"/>
                <w:sz w:val="24"/>
                <w:highlight w:val="none"/>
              </w:rPr>
            </w:pPr>
          </w:p>
        </w:tc>
        <w:tc>
          <w:tcPr>
            <w:tcW w:w="1340" w:type="dxa"/>
          </w:tcPr>
          <w:p w14:paraId="7F02FADE">
            <w:pPr>
              <w:spacing w:line="340" w:lineRule="exact"/>
              <w:rPr>
                <w:rFonts w:ascii="宋体" w:hAnsi="宋体" w:cs="宋体"/>
                <w:sz w:val="24"/>
                <w:highlight w:val="none"/>
              </w:rPr>
            </w:pPr>
          </w:p>
        </w:tc>
        <w:tc>
          <w:tcPr>
            <w:tcW w:w="1347" w:type="dxa"/>
          </w:tcPr>
          <w:p w14:paraId="0D23363A">
            <w:pPr>
              <w:spacing w:line="340" w:lineRule="exact"/>
              <w:rPr>
                <w:rFonts w:ascii="宋体" w:hAnsi="宋体" w:cs="宋体"/>
                <w:sz w:val="24"/>
                <w:highlight w:val="none"/>
              </w:rPr>
            </w:pPr>
          </w:p>
        </w:tc>
      </w:tr>
      <w:tr w14:paraId="2B0A2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A93171">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14:paraId="584C5602">
            <w:pPr>
              <w:spacing w:line="340" w:lineRule="exact"/>
              <w:rPr>
                <w:rFonts w:ascii="宋体" w:hAnsi="宋体" w:cs="宋体"/>
                <w:sz w:val="24"/>
                <w:highlight w:val="none"/>
              </w:rPr>
            </w:pPr>
          </w:p>
        </w:tc>
        <w:tc>
          <w:tcPr>
            <w:tcW w:w="957" w:type="dxa"/>
          </w:tcPr>
          <w:p w14:paraId="3DC6B0E1">
            <w:pPr>
              <w:spacing w:line="340" w:lineRule="exact"/>
              <w:rPr>
                <w:rFonts w:ascii="宋体" w:hAnsi="宋体" w:cs="宋体"/>
                <w:sz w:val="24"/>
                <w:highlight w:val="none"/>
              </w:rPr>
            </w:pPr>
          </w:p>
        </w:tc>
        <w:tc>
          <w:tcPr>
            <w:tcW w:w="840" w:type="dxa"/>
          </w:tcPr>
          <w:p w14:paraId="369E05C7">
            <w:pPr>
              <w:spacing w:line="340" w:lineRule="exact"/>
              <w:rPr>
                <w:rFonts w:ascii="宋体" w:hAnsi="宋体" w:cs="宋体"/>
                <w:sz w:val="24"/>
                <w:highlight w:val="none"/>
              </w:rPr>
            </w:pPr>
          </w:p>
        </w:tc>
        <w:tc>
          <w:tcPr>
            <w:tcW w:w="1260" w:type="dxa"/>
          </w:tcPr>
          <w:p w14:paraId="6259CB90">
            <w:pPr>
              <w:spacing w:line="340" w:lineRule="exact"/>
              <w:rPr>
                <w:rFonts w:ascii="宋体" w:hAnsi="宋体" w:cs="宋体"/>
                <w:sz w:val="24"/>
                <w:highlight w:val="none"/>
              </w:rPr>
            </w:pPr>
          </w:p>
        </w:tc>
        <w:tc>
          <w:tcPr>
            <w:tcW w:w="1340" w:type="dxa"/>
          </w:tcPr>
          <w:p w14:paraId="7CCC23A2">
            <w:pPr>
              <w:spacing w:line="340" w:lineRule="exact"/>
              <w:rPr>
                <w:rFonts w:ascii="宋体" w:hAnsi="宋体" w:cs="宋体"/>
                <w:sz w:val="24"/>
                <w:highlight w:val="none"/>
              </w:rPr>
            </w:pPr>
          </w:p>
        </w:tc>
        <w:tc>
          <w:tcPr>
            <w:tcW w:w="1347" w:type="dxa"/>
          </w:tcPr>
          <w:p w14:paraId="1922FB68">
            <w:pPr>
              <w:spacing w:line="340" w:lineRule="exact"/>
              <w:rPr>
                <w:rFonts w:ascii="宋体" w:hAnsi="宋体" w:cs="宋体"/>
                <w:sz w:val="24"/>
                <w:highlight w:val="none"/>
              </w:rPr>
            </w:pPr>
          </w:p>
        </w:tc>
      </w:tr>
      <w:tr w14:paraId="23689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4B17341">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14:paraId="71CD3189">
            <w:pPr>
              <w:spacing w:line="340" w:lineRule="exact"/>
              <w:rPr>
                <w:rFonts w:ascii="宋体" w:hAnsi="宋体" w:cs="宋体"/>
                <w:sz w:val="24"/>
                <w:highlight w:val="none"/>
              </w:rPr>
            </w:pPr>
          </w:p>
        </w:tc>
        <w:tc>
          <w:tcPr>
            <w:tcW w:w="957" w:type="dxa"/>
          </w:tcPr>
          <w:p w14:paraId="01C9BD1E">
            <w:pPr>
              <w:spacing w:line="340" w:lineRule="exact"/>
              <w:rPr>
                <w:rFonts w:ascii="宋体" w:hAnsi="宋体" w:cs="宋体"/>
                <w:sz w:val="24"/>
                <w:highlight w:val="none"/>
              </w:rPr>
            </w:pPr>
          </w:p>
        </w:tc>
        <w:tc>
          <w:tcPr>
            <w:tcW w:w="840" w:type="dxa"/>
          </w:tcPr>
          <w:p w14:paraId="01898C06">
            <w:pPr>
              <w:spacing w:line="340" w:lineRule="exact"/>
              <w:rPr>
                <w:rFonts w:ascii="宋体" w:hAnsi="宋体" w:cs="宋体"/>
                <w:sz w:val="24"/>
                <w:highlight w:val="none"/>
              </w:rPr>
            </w:pPr>
          </w:p>
        </w:tc>
        <w:tc>
          <w:tcPr>
            <w:tcW w:w="1260" w:type="dxa"/>
          </w:tcPr>
          <w:p w14:paraId="1DF4CE1A">
            <w:pPr>
              <w:spacing w:line="340" w:lineRule="exact"/>
              <w:rPr>
                <w:rFonts w:ascii="宋体" w:hAnsi="宋体" w:cs="宋体"/>
                <w:sz w:val="24"/>
                <w:highlight w:val="none"/>
              </w:rPr>
            </w:pPr>
          </w:p>
        </w:tc>
        <w:tc>
          <w:tcPr>
            <w:tcW w:w="1340" w:type="dxa"/>
          </w:tcPr>
          <w:p w14:paraId="2E76B80D">
            <w:pPr>
              <w:spacing w:line="340" w:lineRule="exact"/>
              <w:rPr>
                <w:rFonts w:ascii="宋体" w:hAnsi="宋体" w:cs="宋体"/>
                <w:sz w:val="24"/>
                <w:highlight w:val="none"/>
              </w:rPr>
            </w:pPr>
          </w:p>
        </w:tc>
        <w:tc>
          <w:tcPr>
            <w:tcW w:w="1347" w:type="dxa"/>
          </w:tcPr>
          <w:p w14:paraId="27684540">
            <w:pPr>
              <w:spacing w:line="340" w:lineRule="exact"/>
              <w:rPr>
                <w:rFonts w:ascii="宋体" w:hAnsi="宋体" w:cs="宋体"/>
                <w:sz w:val="24"/>
                <w:highlight w:val="none"/>
              </w:rPr>
            </w:pPr>
          </w:p>
        </w:tc>
      </w:tr>
      <w:tr w14:paraId="0306F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84E48CD">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14:paraId="0576BD7E">
            <w:pPr>
              <w:spacing w:line="340" w:lineRule="exact"/>
              <w:rPr>
                <w:rFonts w:ascii="宋体" w:hAnsi="宋体" w:cs="宋体"/>
                <w:sz w:val="24"/>
                <w:highlight w:val="none"/>
              </w:rPr>
            </w:pPr>
          </w:p>
        </w:tc>
        <w:tc>
          <w:tcPr>
            <w:tcW w:w="957" w:type="dxa"/>
          </w:tcPr>
          <w:p w14:paraId="631339DE">
            <w:pPr>
              <w:spacing w:line="340" w:lineRule="exact"/>
              <w:rPr>
                <w:rFonts w:ascii="宋体" w:hAnsi="宋体" w:cs="宋体"/>
                <w:sz w:val="24"/>
                <w:highlight w:val="none"/>
              </w:rPr>
            </w:pPr>
          </w:p>
        </w:tc>
        <w:tc>
          <w:tcPr>
            <w:tcW w:w="840" w:type="dxa"/>
          </w:tcPr>
          <w:p w14:paraId="5532CAA8">
            <w:pPr>
              <w:spacing w:line="340" w:lineRule="exact"/>
              <w:rPr>
                <w:rFonts w:ascii="宋体" w:hAnsi="宋体" w:cs="宋体"/>
                <w:sz w:val="24"/>
                <w:highlight w:val="none"/>
              </w:rPr>
            </w:pPr>
          </w:p>
        </w:tc>
        <w:tc>
          <w:tcPr>
            <w:tcW w:w="1260" w:type="dxa"/>
          </w:tcPr>
          <w:p w14:paraId="111003FD">
            <w:pPr>
              <w:spacing w:line="340" w:lineRule="exact"/>
              <w:rPr>
                <w:rFonts w:ascii="宋体" w:hAnsi="宋体" w:cs="宋体"/>
                <w:sz w:val="24"/>
                <w:highlight w:val="none"/>
              </w:rPr>
            </w:pPr>
          </w:p>
        </w:tc>
        <w:tc>
          <w:tcPr>
            <w:tcW w:w="1340" w:type="dxa"/>
          </w:tcPr>
          <w:p w14:paraId="244614B6">
            <w:pPr>
              <w:spacing w:line="340" w:lineRule="exact"/>
              <w:rPr>
                <w:rFonts w:ascii="宋体" w:hAnsi="宋体" w:cs="宋体"/>
                <w:sz w:val="24"/>
                <w:highlight w:val="none"/>
              </w:rPr>
            </w:pPr>
          </w:p>
        </w:tc>
        <w:tc>
          <w:tcPr>
            <w:tcW w:w="1347" w:type="dxa"/>
          </w:tcPr>
          <w:p w14:paraId="2A0E5A39">
            <w:pPr>
              <w:spacing w:line="340" w:lineRule="exact"/>
              <w:rPr>
                <w:rFonts w:ascii="宋体" w:hAnsi="宋体" w:cs="宋体"/>
                <w:sz w:val="24"/>
                <w:highlight w:val="none"/>
              </w:rPr>
            </w:pPr>
          </w:p>
        </w:tc>
      </w:tr>
      <w:tr w14:paraId="2FE8E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171D41">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14:paraId="2E84E320">
            <w:pPr>
              <w:spacing w:line="340" w:lineRule="exact"/>
              <w:rPr>
                <w:rFonts w:ascii="宋体" w:hAnsi="宋体" w:cs="宋体"/>
                <w:sz w:val="24"/>
                <w:highlight w:val="none"/>
              </w:rPr>
            </w:pPr>
          </w:p>
        </w:tc>
        <w:tc>
          <w:tcPr>
            <w:tcW w:w="957" w:type="dxa"/>
          </w:tcPr>
          <w:p w14:paraId="31D2DC0C">
            <w:pPr>
              <w:spacing w:line="340" w:lineRule="exact"/>
              <w:rPr>
                <w:rFonts w:ascii="宋体" w:hAnsi="宋体" w:cs="宋体"/>
                <w:sz w:val="24"/>
                <w:highlight w:val="none"/>
              </w:rPr>
            </w:pPr>
          </w:p>
        </w:tc>
        <w:tc>
          <w:tcPr>
            <w:tcW w:w="840" w:type="dxa"/>
          </w:tcPr>
          <w:p w14:paraId="15C7878F">
            <w:pPr>
              <w:spacing w:line="340" w:lineRule="exact"/>
              <w:rPr>
                <w:rFonts w:ascii="宋体" w:hAnsi="宋体" w:cs="宋体"/>
                <w:sz w:val="24"/>
                <w:highlight w:val="none"/>
              </w:rPr>
            </w:pPr>
          </w:p>
        </w:tc>
        <w:tc>
          <w:tcPr>
            <w:tcW w:w="1260" w:type="dxa"/>
          </w:tcPr>
          <w:p w14:paraId="20EAD244">
            <w:pPr>
              <w:spacing w:line="340" w:lineRule="exact"/>
              <w:rPr>
                <w:rFonts w:ascii="宋体" w:hAnsi="宋体" w:cs="宋体"/>
                <w:sz w:val="24"/>
                <w:highlight w:val="none"/>
              </w:rPr>
            </w:pPr>
          </w:p>
        </w:tc>
        <w:tc>
          <w:tcPr>
            <w:tcW w:w="1340" w:type="dxa"/>
          </w:tcPr>
          <w:p w14:paraId="7FBA7EA4">
            <w:pPr>
              <w:spacing w:line="340" w:lineRule="exact"/>
              <w:rPr>
                <w:rFonts w:ascii="宋体" w:hAnsi="宋体" w:cs="宋体"/>
                <w:sz w:val="24"/>
                <w:highlight w:val="none"/>
              </w:rPr>
            </w:pPr>
          </w:p>
        </w:tc>
        <w:tc>
          <w:tcPr>
            <w:tcW w:w="1347" w:type="dxa"/>
          </w:tcPr>
          <w:p w14:paraId="70BECBE7">
            <w:pPr>
              <w:spacing w:line="340" w:lineRule="exact"/>
              <w:rPr>
                <w:rFonts w:ascii="宋体" w:hAnsi="宋体" w:cs="宋体"/>
                <w:sz w:val="24"/>
                <w:highlight w:val="none"/>
              </w:rPr>
            </w:pPr>
          </w:p>
        </w:tc>
      </w:tr>
      <w:tr w14:paraId="47710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9C7267A">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14:paraId="32AE461F">
            <w:pPr>
              <w:spacing w:line="340" w:lineRule="exact"/>
              <w:rPr>
                <w:rFonts w:ascii="宋体" w:hAnsi="宋体" w:cs="宋体"/>
                <w:sz w:val="24"/>
                <w:highlight w:val="none"/>
              </w:rPr>
            </w:pPr>
          </w:p>
        </w:tc>
        <w:tc>
          <w:tcPr>
            <w:tcW w:w="957" w:type="dxa"/>
          </w:tcPr>
          <w:p w14:paraId="5C9F4A63">
            <w:pPr>
              <w:spacing w:line="340" w:lineRule="exact"/>
              <w:rPr>
                <w:rFonts w:ascii="宋体" w:hAnsi="宋体" w:cs="宋体"/>
                <w:sz w:val="24"/>
                <w:highlight w:val="none"/>
              </w:rPr>
            </w:pPr>
          </w:p>
        </w:tc>
        <w:tc>
          <w:tcPr>
            <w:tcW w:w="840" w:type="dxa"/>
          </w:tcPr>
          <w:p w14:paraId="3BF350E2">
            <w:pPr>
              <w:spacing w:line="340" w:lineRule="exact"/>
              <w:rPr>
                <w:rFonts w:ascii="宋体" w:hAnsi="宋体" w:cs="宋体"/>
                <w:sz w:val="24"/>
                <w:highlight w:val="none"/>
              </w:rPr>
            </w:pPr>
          </w:p>
        </w:tc>
        <w:tc>
          <w:tcPr>
            <w:tcW w:w="1260" w:type="dxa"/>
          </w:tcPr>
          <w:p w14:paraId="5DBB9FC5">
            <w:pPr>
              <w:spacing w:line="340" w:lineRule="exact"/>
              <w:rPr>
                <w:rFonts w:ascii="宋体" w:hAnsi="宋体" w:cs="宋体"/>
                <w:sz w:val="24"/>
                <w:highlight w:val="none"/>
              </w:rPr>
            </w:pPr>
          </w:p>
        </w:tc>
        <w:tc>
          <w:tcPr>
            <w:tcW w:w="1340" w:type="dxa"/>
          </w:tcPr>
          <w:p w14:paraId="791974B1">
            <w:pPr>
              <w:spacing w:line="340" w:lineRule="exact"/>
              <w:rPr>
                <w:rFonts w:ascii="宋体" w:hAnsi="宋体" w:cs="宋体"/>
                <w:sz w:val="24"/>
                <w:highlight w:val="none"/>
              </w:rPr>
            </w:pPr>
          </w:p>
        </w:tc>
        <w:tc>
          <w:tcPr>
            <w:tcW w:w="1347" w:type="dxa"/>
          </w:tcPr>
          <w:p w14:paraId="52B6666A">
            <w:pPr>
              <w:spacing w:line="340" w:lineRule="exact"/>
              <w:rPr>
                <w:rFonts w:ascii="宋体" w:hAnsi="宋体" w:cs="宋体"/>
                <w:sz w:val="24"/>
                <w:highlight w:val="none"/>
              </w:rPr>
            </w:pPr>
          </w:p>
        </w:tc>
      </w:tr>
      <w:tr w14:paraId="50B2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414506D">
            <w:pPr>
              <w:spacing w:line="340" w:lineRule="exact"/>
              <w:jc w:val="center"/>
              <w:rPr>
                <w:rFonts w:ascii="宋体" w:hAnsi="宋体" w:cs="宋体"/>
                <w:sz w:val="24"/>
                <w:highlight w:val="none"/>
              </w:rPr>
            </w:pPr>
          </w:p>
        </w:tc>
        <w:tc>
          <w:tcPr>
            <w:tcW w:w="2205" w:type="dxa"/>
            <w:vAlign w:val="center"/>
          </w:tcPr>
          <w:p w14:paraId="256F474E">
            <w:pPr>
              <w:pStyle w:val="67"/>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2DA9F526">
            <w:pPr>
              <w:spacing w:line="340" w:lineRule="exact"/>
              <w:rPr>
                <w:rFonts w:ascii="宋体" w:hAnsi="宋体" w:cs="宋体"/>
                <w:sz w:val="24"/>
                <w:highlight w:val="none"/>
              </w:rPr>
            </w:pPr>
          </w:p>
        </w:tc>
        <w:tc>
          <w:tcPr>
            <w:tcW w:w="840" w:type="dxa"/>
          </w:tcPr>
          <w:p w14:paraId="2AE0E147">
            <w:pPr>
              <w:spacing w:line="340" w:lineRule="exact"/>
              <w:rPr>
                <w:rFonts w:ascii="宋体" w:hAnsi="宋体" w:cs="宋体"/>
                <w:sz w:val="24"/>
                <w:highlight w:val="none"/>
              </w:rPr>
            </w:pPr>
          </w:p>
        </w:tc>
        <w:tc>
          <w:tcPr>
            <w:tcW w:w="1260" w:type="dxa"/>
          </w:tcPr>
          <w:p w14:paraId="3AE4F712">
            <w:pPr>
              <w:spacing w:line="340" w:lineRule="exact"/>
              <w:rPr>
                <w:rFonts w:ascii="宋体" w:hAnsi="宋体" w:cs="宋体"/>
                <w:sz w:val="24"/>
                <w:highlight w:val="none"/>
              </w:rPr>
            </w:pPr>
          </w:p>
        </w:tc>
        <w:tc>
          <w:tcPr>
            <w:tcW w:w="1340" w:type="dxa"/>
          </w:tcPr>
          <w:p w14:paraId="61AB971C">
            <w:pPr>
              <w:spacing w:line="340" w:lineRule="exact"/>
              <w:rPr>
                <w:rFonts w:ascii="宋体" w:hAnsi="宋体" w:cs="宋体"/>
                <w:sz w:val="24"/>
                <w:highlight w:val="none"/>
              </w:rPr>
            </w:pPr>
          </w:p>
        </w:tc>
        <w:tc>
          <w:tcPr>
            <w:tcW w:w="1347" w:type="dxa"/>
          </w:tcPr>
          <w:p w14:paraId="262283B6">
            <w:pPr>
              <w:spacing w:line="340" w:lineRule="exact"/>
              <w:rPr>
                <w:rFonts w:ascii="宋体" w:hAnsi="宋体" w:cs="宋体"/>
                <w:sz w:val="24"/>
                <w:highlight w:val="none"/>
              </w:rPr>
            </w:pPr>
          </w:p>
        </w:tc>
      </w:tr>
      <w:tr w14:paraId="0BB70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82DA8DD">
            <w:pPr>
              <w:spacing w:line="340" w:lineRule="exact"/>
              <w:jc w:val="center"/>
              <w:rPr>
                <w:rFonts w:ascii="宋体" w:hAnsi="宋体" w:cs="宋体"/>
                <w:sz w:val="24"/>
                <w:highlight w:val="none"/>
              </w:rPr>
            </w:pPr>
          </w:p>
        </w:tc>
        <w:tc>
          <w:tcPr>
            <w:tcW w:w="2205" w:type="dxa"/>
          </w:tcPr>
          <w:p w14:paraId="545FE64B">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0481F8CD">
            <w:pPr>
              <w:spacing w:line="340" w:lineRule="exact"/>
              <w:rPr>
                <w:rFonts w:ascii="宋体" w:hAnsi="宋体" w:cs="宋体"/>
                <w:sz w:val="24"/>
                <w:highlight w:val="none"/>
              </w:rPr>
            </w:pPr>
          </w:p>
        </w:tc>
        <w:tc>
          <w:tcPr>
            <w:tcW w:w="840" w:type="dxa"/>
          </w:tcPr>
          <w:p w14:paraId="14AE350F">
            <w:pPr>
              <w:spacing w:line="340" w:lineRule="exact"/>
              <w:rPr>
                <w:rFonts w:ascii="宋体" w:hAnsi="宋体" w:cs="宋体"/>
                <w:sz w:val="24"/>
                <w:highlight w:val="none"/>
              </w:rPr>
            </w:pPr>
          </w:p>
        </w:tc>
        <w:tc>
          <w:tcPr>
            <w:tcW w:w="1260" w:type="dxa"/>
          </w:tcPr>
          <w:p w14:paraId="751D58F2">
            <w:pPr>
              <w:spacing w:line="340" w:lineRule="exact"/>
              <w:rPr>
                <w:rFonts w:ascii="宋体" w:hAnsi="宋体" w:cs="宋体"/>
                <w:sz w:val="24"/>
                <w:highlight w:val="none"/>
              </w:rPr>
            </w:pPr>
          </w:p>
        </w:tc>
        <w:tc>
          <w:tcPr>
            <w:tcW w:w="1340" w:type="dxa"/>
          </w:tcPr>
          <w:p w14:paraId="41118FCB">
            <w:pPr>
              <w:spacing w:line="340" w:lineRule="exact"/>
              <w:rPr>
                <w:rFonts w:ascii="宋体" w:hAnsi="宋体" w:cs="宋体"/>
                <w:sz w:val="24"/>
                <w:highlight w:val="none"/>
              </w:rPr>
            </w:pPr>
          </w:p>
        </w:tc>
        <w:tc>
          <w:tcPr>
            <w:tcW w:w="1347" w:type="dxa"/>
          </w:tcPr>
          <w:p w14:paraId="239A6B6B">
            <w:pPr>
              <w:spacing w:line="340" w:lineRule="exact"/>
              <w:rPr>
                <w:rFonts w:ascii="宋体" w:hAnsi="宋体" w:cs="宋体"/>
                <w:sz w:val="24"/>
                <w:highlight w:val="none"/>
              </w:rPr>
            </w:pPr>
          </w:p>
        </w:tc>
      </w:tr>
      <w:tr w14:paraId="56CE6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339EB60">
            <w:pPr>
              <w:spacing w:line="340" w:lineRule="exact"/>
              <w:jc w:val="center"/>
              <w:rPr>
                <w:rFonts w:ascii="宋体" w:hAnsi="宋体" w:cs="宋体"/>
                <w:sz w:val="24"/>
                <w:highlight w:val="none"/>
              </w:rPr>
            </w:pPr>
          </w:p>
        </w:tc>
        <w:tc>
          <w:tcPr>
            <w:tcW w:w="2205" w:type="dxa"/>
          </w:tcPr>
          <w:p w14:paraId="78827416">
            <w:pPr>
              <w:pStyle w:val="67"/>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76E9DC56">
            <w:pPr>
              <w:spacing w:line="340" w:lineRule="exact"/>
              <w:rPr>
                <w:rFonts w:ascii="宋体" w:hAnsi="宋体" w:cs="宋体"/>
                <w:sz w:val="24"/>
                <w:highlight w:val="none"/>
              </w:rPr>
            </w:pPr>
          </w:p>
        </w:tc>
        <w:tc>
          <w:tcPr>
            <w:tcW w:w="840" w:type="dxa"/>
          </w:tcPr>
          <w:p w14:paraId="266B220A">
            <w:pPr>
              <w:spacing w:line="340" w:lineRule="exact"/>
              <w:rPr>
                <w:rFonts w:ascii="宋体" w:hAnsi="宋体" w:cs="宋体"/>
                <w:sz w:val="24"/>
                <w:highlight w:val="none"/>
              </w:rPr>
            </w:pPr>
          </w:p>
        </w:tc>
        <w:tc>
          <w:tcPr>
            <w:tcW w:w="1260" w:type="dxa"/>
          </w:tcPr>
          <w:p w14:paraId="1BEF6035">
            <w:pPr>
              <w:spacing w:line="340" w:lineRule="exact"/>
              <w:rPr>
                <w:rFonts w:ascii="宋体" w:hAnsi="宋体" w:cs="宋体"/>
                <w:sz w:val="24"/>
                <w:highlight w:val="none"/>
              </w:rPr>
            </w:pPr>
          </w:p>
        </w:tc>
        <w:tc>
          <w:tcPr>
            <w:tcW w:w="1340" w:type="dxa"/>
          </w:tcPr>
          <w:p w14:paraId="3678BBE5">
            <w:pPr>
              <w:spacing w:line="340" w:lineRule="exact"/>
              <w:rPr>
                <w:rFonts w:ascii="宋体" w:hAnsi="宋体" w:cs="宋体"/>
                <w:sz w:val="24"/>
                <w:highlight w:val="none"/>
              </w:rPr>
            </w:pPr>
          </w:p>
        </w:tc>
        <w:tc>
          <w:tcPr>
            <w:tcW w:w="1347" w:type="dxa"/>
          </w:tcPr>
          <w:p w14:paraId="36A91DF1">
            <w:pPr>
              <w:spacing w:line="340" w:lineRule="exact"/>
              <w:rPr>
                <w:rFonts w:ascii="宋体" w:hAnsi="宋体" w:cs="宋体"/>
                <w:sz w:val="24"/>
                <w:highlight w:val="none"/>
              </w:rPr>
            </w:pPr>
          </w:p>
        </w:tc>
      </w:tr>
      <w:tr w14:paraId="4F7E8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83AD5F">
            <w:pPr>
              <w:spacing w:line="340" w:lineRule="exact"/>
              <w:jc w:val="center"/>
              <w:rPr>
                <w:rFonts w:ascii="宋体" w:hAnsi="宋体" w:cs="宋体"/>
                <w:sz w:val="24"/>
                <w:highlight w:val="none"/>
              </w:rPr>
            </w:pPr>
          </w:p>
        </w:tc>
        <w:tc>
          <w:tcPr>
            <w:tcW w:w="2205" w:type="dxa"/>
          </w:tcPr>
          <w:p w14:paraId="0AC6CF60">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67A1D64B">
            <w:pPr>
              <w:spacing w:line="340" w:lineRule="exact"/>
              <w:rPr>
                <w:rFonts w:ascii="宋体" w:hAnsi="宋体" w:cs="宋体"/>
                <w:sz w:val="24"/>
                <w:highlight w:val="none"/>
              </w:rPr>
            </w:pPr>
          </w:p>
        </w:tc>
        <w:tc>
          <w:tcPr>
            <w:tcW w:w="840" w:type="dxa"/>
          </w:tcPr>
          <w:p w14:paraId="503D179D">
            <w:pPr>
              <w:spacing w:line="340" w:lineRule="exact"/>
              <w:rPr>
                <w:rFonts w:ascii="宋体" w:hAnsi="宋体" w:cs="宋体"/>
                <w:sz w:val="24"/>
                <w:highlight w:val="none"/>
              </w:rPr>
            </w:pPr>
          </w:p>
        </w:tc>
        <w:tc>
          <w:tcPr>
            <w:tcW w:w="1260" w:type="dxa"/>
          </w:tcPr>
          <w:p w14:paraId="1AA63B6E">
            <w:pPr>
              <w:spacing w:line="340" w:lineRule="exact"/>
              <w:rPr>
                <w:rFonts w:ascii="宋体" w:hAnsi="宋体" w:cs="宋体"/>
                <w:sz w:val="24"/>
                <w:highlight w:val="none"/>
              </w:rPr>
            </w:pPr>
          </w:p>
        </w:tc>
        <w:tc>
          <w:tcPr>
            <w:tcW w:w="1340" w:type="dxa"/>
          </w:tcPr>
          <w:p w14:paraId="6FD06877">
            <w:pPr>
              <w:spacing w:line="340" w:lineRule="exact"/>
              <w:rPr>
                <w:rFonts w:ascii="宋体" w:hAnsi="宋体" w:cs="宋体"/>
                <w:sz w:val="24"/>
                <w:highlight w:val="none"/>
              </w:rPr>
            </w:pPr>
          </w:p>
        </w:tc>
        <w:tc>
          <w:tcPr>
            <w:tcW w:w="1347" w:type="dxa"/>
          </w:tcPr>
          <w:p w14:paraId="7A0B1F78">
            <w:pPr>
              <w:spacing w:line="340" w:lineRule="exact"/>
              <w:rPr>
                <w:rFonts w:ascii="宋体" w:hAnsi="宋体" w:cs="宋体"/>
                <w:sz w:val="24"/>
                <w:highlight w:val="none"/>
              </w:rPr>
            </w:pPr>
          </w:p>
        </w:tc>
      </w:tr>
      <w:tr w14:paraId="761C1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14332DA">
            <w:pPr>
              <w:spacing w:line="340" w:lineRule="exact"/>
              <w:jc w:val="center"/>
              <w:rPr>
                <w:rFonts w:ascii="宋体" w:hAnsi="宋体" w:cs="宋体"/>
                <w:sz w:val="24"/>
                <w:highlight w:val="none"/>
              </w:rPr>
            </w:pPr>
          </w:p>
        </w:tc>
        <w:tc>
          <w:tcPr>
            <w:tcW w:w="2205" w:type="dxa"/>
            <w:vAlign w:val="center"/>
          </w:tcPr>
          <w:p w14:paraId="01ACCE54">
            <w:pPr>
              <w:pStyle w:val="67"/>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1BCAE08E">
            <w:pPr>
              <w:spacing w:line="340" w:lineRule="exact"/>
              <w:rPr>
                <w:rFonts w:ascii="宋体" w:hAnsi="宋体" w:cs="宋体"/>
                <w:sz w:val="24"/>
                <w:highlight w:val="none"/>
              </w:rPr>
            </w:pPr>
          </w:p>
        </w:tc>
        <w:tc>
          <w:tcPr>
            <w:tcW w:w="840" w:type="dxa"/>
          </w:tcPr>
          <w:p w14:paraId="3783F640">
            <w:pPr>
              <w:spacing w:line="340" w:lineRule="exact"/>
              <w:rPr>
                <w:rFonts w:ascii="宋体" w:hAnsi="宋体" w:cs="宋体"/>
                <w:sz w:val="24"/>
                <w:highlight w:val="none"/>
              </w:rPr>
            </w:pPr>
          </w:p>
        </w:tc>
        <w:tc>
          <w:tcPr>
            <w:tcW w:w="1260" w:type="dxa"/>
          </w:tcPr>
          <w:p w14:paraId="0CD0D90B">
            <w:pPr>
              <w:spacing w:line="340" w:lineRule="exact"/>
              <w:rPr>
                <w:rFonts w:ascii="宋体" w:hAnsi="宋体" w:cs="宋体"/>
                <w:sz w:val="24"/>
                <w:highlight w:val="none"/>
              </w:rPr>
            </w:pPr>
          </w:p>
        </w:tc>
        <w:tc>
          <w:tcPr>
            <w:tcW w:w="1340" w:type="dxa"/>
          </w:tcPr>
          <w:p w14:paraId="3E8A92E5">
            <w:pPr>
              <w:spacing w:line="340" w:lineRule="exact"/>
              <w:rPr>
                <w:rFonts w:ascii="宋体" w:hAnsi="宋体" w:cs="宋体"/>
                <w:sz w:val="24"/>
                <w:highlight w:val="none"/>
              </w:rPr>
            </w:pPr>
          </w:p>
        </w:tc>
        <w:tc>
          <w:tcPr>
            <w:tcW w:w="1347" w:type="dxa"/>
          </w:tcPr>
          <w:p w14:paraId="516B28FD">
            <w:pPr>
              <w:spacing w:line="340" w:lineRule="exact"/>
              <w:rPr>
                <w:rFonts w:ascii="宋体" w:hAnsi="宋体" w:cs="宋体"/>
                <w:sz w:val="24"/>
                <w:highlight w:val="none"/>
              </w:rPr>
            </w:pPr>
          </w:p>
        </w:tc>
      </w:tr>
    </w:tbl>
    <w:p w14:paraId="28447531">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2D28852">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78A0C06C">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458C095C">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5143D731">
      <w:pPr>
        <w:spacing w:line="360" w:lineRule="auto"/>
        <w:jc w:val="center"/>
        <w:rPr>
          <w:rFonts w:ascii="宋体" w:hAnsi="宋体" w:cs="宋体"/>
          <w:b/>
          <w:sz w:val="24"/>
          <w:highlight w:val="none"/>
        </w:rPr>
      </w:pPr>
    </w:p>
    <w:p w14:paraId="57FA49EB">
      <w:pPr>
        <w:spacing w:line="360" w:lineRule="auto"/>
        <w:jc w:val="center"/>
        <w:rPr>
          <w:rFonts w:ascii="宋体" w:hAnsi="宋体" w:cs="宋体"/>
          <w:b/>
          <w:sz w:val="24"/>
          <w:highlight w:val="none"/>
        </w:rPr>
      </w:pPr>
    </w:p>
    <w:p w14:paraId="29A7D5AD">
      <w:pPr>
        <w:pStyle w:val="41"/>
        <w:ind w:firstLine="241"/>
        <w:rPr>
          <w:rFonts w:ascii="宋体" w:hAnsi="宋体" w:cs="宋体"/>
          <w:b/>
          <w:sz w:val="24"/>
          <w:highlight w:val="none"/>
        </w:rPr>
      </w:pPr>
    </w:p>
    <w:p w14:paraId="7912DE7A">
      <w:pPr>
        <w:pStyle w:val="41"/>
        <w:ind w:firstLine="241"/>
        <w:rPr>
          <w:rFonts w:ascii="宋体" w:hAnsi="宋体" w:cs="宋体"/>
          <w:b/>
          <w:sz w:val="24"/>
          <w:highlight w:val="none"/>
        </w:rPr>
      </w:pPr>
    </w:p>
    <w:p w14:paraId="30C107AB">
      <w:pPr>
        <w:rPr>
          <w:rFonts w:hint="eastAsia" w:ascii="宋体" w:hAnsi="宋体" w:cs="宋体"/>
          <w:sz w:val="24"/>
          <w:highlight w:val="none"/>
        </w:rPr>
      </w:pPr>
      <w:r>
        <w:rPr>
          <w:rFonts w:hint="eastAsia" w:ascii="宋体" w:hAnsi="宋体" w:cs="宋体"/>
          <w:sz w:val="24"/>
          <w:highlight w:val="none"/>
        </w:rPr>
        <w:br w:type="page"/>
      </w:r>
    </w:p>
    <w:p w14:paraId="1D67FC91">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8</w:t>
      </w:r>
      <w:r>
        <w:rPr>
          <w:rFonts w:hint="eastAsia" w:ascii="宋体" w:hAnsi="宋体" w:cs="宋体"/>
          <w:b/>
          <w:bCs/>
          <w:sz w:val="24"/>
          <w:highlight w:val="none"/>
        </w:rPr>
        <w:t xml:space="preserve">  技术参数响应表</w:t>
      </w:r>
    </w:p>
    <w:p w14:paraId="1816FF0B">
      <w:pPr>
        <w:rPr>
          <w:rFonts w:ascii="宋体" w:hAnsi="宋体" w:cs="宋体"/>
          <w:sz w:val="24"/>
          <w:highlight w:val="none"/>
        </w:rPr>
      </w:pPr>
    </w:p>
    <w:p w14:paraId="5799E704">
      <w:pPr>
        <w:rPr>
          <w:rFonts w:ascii="宋体" w:hAnsi="宋体" w:cs="宋体"/>
          <w:sz w:val="24"/>
          <w:highlight w:val="none"/>
        </w:rPr>
      </w:pPr>
    </w:p>
    <w:tbl>
      <w:tblPr>
        <w:tblStyle w:val="30"/>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2417A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77CAAFD7">
            <w:pPr>
              <w:pStyle w:val="15"/>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15F49CAD">
            <w:pPr>
              <w:pStyle w:val="15"/>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0CB7B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63CE6BBD">
            <w:pPr>
              <w:pStyle w:val="15"/>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43863C73">
            <w:pPr>
              <w:pStyle w:val="15"/>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7336A35D">
            <w:pPr>
              <w:pStyle w:val="15"/>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29DBA5CA">
            <w:pPr>
              <w:pStyle w:val="15"/>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109CEE25">
            <w:pPr>
              <w:pStyle w:val="15"/>
              <w:jc w:val="center"/>
              <w:rPr>
                <w:rFonts w:hAnsi="宋体" w:cs="宋体"/>
                <w:bCs/>
                <w:sz w:val="24"/>
                <w:szCs w:val="24"/>
                <w:highlight w:val="none"/>
              </w:rPr>
            </w:pPr>
            <w:r>
              <w:rPr>
                <w:rFonts w:hint="eastAsia" w:hAnsi="宋体" w:cs="宋体"/>
                <w:bCs/>
                <w:sz w:val="24"/>
                <w:szCs w:val="24"/>
                <w:highlight w:val="none"/>
              </w:rPr>
              <w:t>偏离说明</w:t>
            </w:r>
          </w:p>
        </w:tc>
      </w:tr>
      <w:tr w14:paraId="4AA9A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0DB2726">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01CC0179">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0B82D472">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7A923838">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48682F42">
            <w:pPr>
              <w:jc w:val="center"/>
              <w:rPr>
                <w:rFonts w:ascii="宋体" w:hAnsi="宋体" w:cs="宋体"/>
                <w:sz w:val="24"/>
                <w:highlight w:val="none"/>
              </w:rPr>
            </w:pPr>
          </w:p>
        </w:tc>
      </w:tr>
      <w:tr w14:paraId="351B3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4EFFA9D">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27D5BBFF">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FD157DE">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6E6F7FD1">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7D8276E">
            <w:pPr>
              <w:jc w:val="center"/>
              <w:rPr>
                <w:rFonts w:ascii="宋体" w:hAnsi="宋体" w:cs="宋体"/>
                <w:sz w:val="24"/>
                <w:highlight w:val="none"/>
              </w:rPr>
            </w:pPr>
          </w:p>
        </w:tc>
      </w:tr>
      <w:tr w14:paraId="300AD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F30D54B">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5229465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5F6AB64D">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243FD5D">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67A2ADC7">
            <w:pPr>
              <w:jc w:val="center"/>
              <w:rPr>
                <w:rFonts w:ascii="宋体" w:hAnsi="宋体" w:cs="宋体"/>
                <w:sz w:val="24"/>
                <w:highlight w:val="none"/>
              </w:rPr>
            </w:pPr>
          </w:p>
        </w:tc>
      </w:tr>
      <w:tr w14:paraId="418C2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7AD0711">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7BD56BA3">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BDCFF69">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8C5C28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0780819B">
            <w:pPr>
              <w:jc w:val="center"/>
              <w:rPr>
                <w:rFonts w:ascii="宋体" w:hAnsi="宋体" w:cs="宋体"/>
                <w:sz w:val="24"/>
                <w:highlight w:val="none"/>
              </w:rPr>
            </w:pPr>
          </w:p>
        </w:tc>
      </w:tr>
      <w:tr w14:paraId="49EE3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3AF2B42">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356B8B9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607BD1F0">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4EBCB197">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336E050C">
            <w:pPr>
              <w:jc w:val="center"/>
              <w:rPr>
                <w:rFonts w:ascii="宋体" w:hAnsi="宋体" w:cs="宋体"/>
                <w:sz w:val="24"/>
                <w:highlight w:val="none"/>
              </w:rPr>
            </w:pPr>
          </w:p>
        </w:tc>
      </w:tr>
      <w:tr w14:paraId="3162D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73D04D0">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6648A3F9">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19FC8F29">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3B5A534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D3649FC">
            <w:pPr>
              <w:jc w:val="center"/>
              <w:rPr>
                <w:rFonts w:ascii="宋体" w:hAnsi="宋体" w:cs="宋体"/>
                <w:sz w:val="24"/>
                <w:highlight w:val="none"/>
              </w:rPr>
            </w:pPr>
          </w:p>
        </w:tc>
      </w:tr>
    </w:tbl>
    <w:p w14:paraId="4287EA45">
      <w:pPr>
        <w:rPr>
          <w:rFonts w:ascii="宋体" w:hAnsi="宋体" w:cs="宋体"/>
          <w:sz w:val="24"/>
          <w:highlight w:val="none"/>
        </w:rPr>
      </w:pPr>
    </w:p>
    <w:p w14:paraId="5FE611CE">
      <w:pPr>
        <w:rPr>
          <w:rFonts w:ascii="宋体" w:hAnsi="宋体" w:cs="宋体"/>
          <w:sz w:val="24"/>
          <w:highlight w:val="none"/>
        </w:rPr>
      </w:pPr>
      <w:r>
        <w:rPr>
          <w:rFonts w:hint="eastAsia" w:ascii="宋体" w:hAnsi="宋体" w:cs="宋体"/>
          <w:sz w:val="24"/>
          <w:highlight w:val="none"/>
        </w:rPr>
        <w:t>(可根据需求自行更改)</w:t>
      </w:r>
    </w:p>
    <w:p w14:paraId="5DD3B43E">
      <w:pPr>
        <w:rPr>
          <w:rFonts w:ascii="宋体" w:hAnsi="宋体" w:cs="宋体"/>
          <w:sz w:val="24"/>
          <w:highlight w:val="none"/>
        </w:rPr>
      </w:pPr>
    </w:p>
    <w:p w14:paraId="43A201D6">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08C7E74">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3E9B9379">
      <w:pPr>
        <w:spacing w:line="360" w:lineRule="auto"/>
        <w:rPr>
          <w:rFonts w:ascii="宋体" w:hAnsi="宋体" w:cs="宋体"/>
          <w:b/>
          <w:sz w:val="24"/>
          <w:highlight w:val="none"/>
        </w:rPr>
      </w:pPr>
    </w:p>
    <w:p w14:paraId="2E2BD127">
      <w:pPr>
        <w:spacing w:line="360" w:lineRule="auto"/>
        <w:rPr>
          <w:rFonts w:ascii="宋体" w:hAnsi="宋体" w:cs="宋体"/>
          <w:b/>
          <w:sz w:val="24"/>
          <w:highlight w:val="none"/>
        </w:rPr>
      </w:pPr>
    </w:p>
    <w:p w14:paraId="1E406EDC">
      <w:pPr>
        <w:spacing w:line="360" w:lineRule="auto"/>
        <w:rPr>
          <w:rFonts w:ascii="宋体" w:hAnsi="宋体" w:cs="宋体"/>
          <w:b/>
          <w:sz w:val="24"/>
          <w:highlight w:val="none"/>
        </w:rPr>
      </w:pPr>
    </w:p>
    <w:p w14:paraId="5B240E40">
      <w:pPr>
        <w:spacing w:line="360" w:lineRule="auto"/>
        <w:rPr>
          <w:rFonts w:ascii="宋体" w:hAnsi="宋体" w:cs="宋体"/>
          <w:b/>
          <w:sz w:val="24"/>
          <w:highlight w:val="none"/>
        </w:rPr>
      </w:pPr>
    </w:p>
    <w:p w14:paraId="5444D33D">
      <w:pPr>
        <w:spacing w:line="360" w:lineRule="auto"/>
        <w:jc w:val="center"/>
        <w:rPr>
          <w:rFonts w:ascii="宋体" w:hAnsi="宋体" w:cs="宋体"/>
          <w:sz w:val="24"/>
          <w:highlight w:val="none"/>
        </w:rPr>
      </w:pPr>
      <w:r>
        <w:rPr>
          <w:rFonts w:hint="eastAsia" w:ascii="宋体" w:hAnsi="宋体" w:cs="宋体"/>
          <w:sz w:val="24"/>
          <w:highlight w:val="none"/>
        </w:rPr>
        <w:br w:type="page"/>
      </w: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9  </w:t>
      </w:r>
      <w:r>
        <w:rPr>
          <w:rFonts w:hint="eastAsia" w:ascii="宋体" w:hAnsi="宋体" w:cs="宋体"/>
          <w:b/>
          <w:bCs/>
          <w:sz w:val="24"/>
          <w:highlight w:val="none"/>
        </w:rPr>
        <w:t>服务方案及服务承诺</w:t>
      </w:r>
    </w:p>
    <w:p w14:paraId="2D82E204">
      <w:pPr>
        <w:spacing w:line="380" w:lineRule="exact"/>
        <w:jc w:val="center"/>
        <w:rPr>
          <w:rFonts w:ascii="宋体" w:hAnsi="宋体" w:cs="宋体"/>
          <w:sz w:val="24"/>
          <w:highlight w:val="none"/>
        </w:rPr>
      </w:pPr>
    </w:p>
    <w:p w14:paraId="5F827551">
      <w:pPr>
        <w:spacing w:line="380" w:lineRule="exact"/>
        <w:ind w:firstLine="360" w:firstLineChars="150"/>
        <w:rPr>
          <w:rFonts w:ascii="宋体" w:hAnsi="宋体" w:cs="宋体"/>
          <w:sz w:val="24"/>
          <w:highlight w:val="none"/>
        </w:rPr>
      </w:pPr>
    </w:p>
    <w:p w14:paraId="24D894AC">
      <w:pPr>
        <w:pStyle w:val="39"/>
        <w:rPr>
          <w:rFonts w:ascii="宋体" w:hAnsi="宋体" w:cs="宋体"/>
          <w:sz w:val="24"/>
          <w:szCs w:val="24"/>
          <w:highlight w:val="none"/>
        </w:rPr>
      </w:pPr>
    </w:p>
    <w:p w14:paraId="51726D06">
      <w:pPr>
        <w:pStyle w:val="39"/>
        <w:rPr>
          <w:rFonts w:ascii="宋体" w:hAnsi="宋体" w:cs="宋体"/>
          <w:sz w:val="24"/>
          <w:szCs w:val="24"/>
          <w:highlight w:val="none"/>
        </w:rPr>
      </w:pPr>
    </w:p>
    <w:p w14:paraId="5CF83A87">
      <w:pPr>
        <w:pStyle w:val="39"/>
        <w:rPr>
          <w:rFonts w:ascii="宋体" w:hAnsi="宋体" w:cs="宋体"/>
          <w:sz w:val="24"/>
          <w:szCs w:val="24"/>
          <w:highlight w:val="none"/>
        </w:rPr>
      </w:pPr>
    </w:p>
    <w:p w14:paraId="6949FCEF">
      <w:pPr>
        <w:pStyle w:val="39"/>
        <w:rPr>
          <w:rFonts w:ascii="宋体" w:hAnsi="宋体" w:cs="宋体"/>
          <w:sz w:val="24"/>
          <w:szCs w:val="24"/>
          <w:highlight w:val="none"/>
        </w:rPr>
      </w:pPr>
    </w:p>
    <w:p w14:paraId="66079CD5">
      <w:pPr>
        <w:pStyle w:val="39"/>
        <w:rPr>
          <w:rFonts w:ascii="宋体" w:hAnsi="宋体" w:cs="宋体"/>
          <w:sz w:val="24"/>
          <w:szCs w:val="24"/>
          <w:highlight w:val="none"/>
        </w:rPr>
      </w:pPr>
    </w:p>
    <w:p w14:paraId="2955110F">
      <w:pPr>
        <w:pStyle w:val="39"/>
        <w:rPr>
          <w:rFonts w:ascii="宋体" w:hAnsi="宋体" w:cs="宋体"/>
          <w:sz w:val="24"/>
          <w:szCs w:val="24"/>
          <w:highlight w:val="none"/>
        </w:rPr>
      </w:pPr>
    </w:p>
    <w:p w14:paraId="1C638FC5">
      <w:pPr>
        <w:spacing w:line="380" w:lineRule="exact"/>
        <w:rPr>
          <w:rFonts w:ascii="宋体" w:hAnsi="宋体" w:cs="宋体"/>
          <w:sz w:val="24"/>
          <w:highlight w:val="none"/>
        </w:rPr>
      </w:pPr>
    </w:p>
    <w:p w14:paraId="4DBB835C">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47322052">
      <w:pPr>
        <w:spacing w:line="380" w:lineRule="exact"/>
        <w:ind w:firstLine="3600" w:firstLineChars="1500"/>
        <w:jc w:val="right"/>
        <w:rPr>
          <w:rFonts w:ascii="宋体" w:hAnsi="宋体" w:cs="宋体"/>
          <w:sz w:val="24"/>
          <w:highlight w:val="none"/>
        </w:rPr>
      </w:pPr>
      <w:r>
        <w:rPr>
          <w:rFonts w:hint="eastAsia" w:ascii="宋体" w:hAnsi="宋体" w:cs="宋体"/>
          <w:sz w:val="24"/>
          <w:highlight w:val="none"/>
        </w:rPr>
        <w:t xml:space="preserve">  年   月    日</w:t>
      </w:r>
    </w:p>
    <w:p w14:paraId="745FA17F">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551B9E4A">
      <w:pPr>
        <w:spacing w:line="380" w:lineRule="exact"/>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10  </w:t>
      </w:r>
      <w:r>
        <w:rPr>
          <w:rFonts w:hint="eastAsia" w:ascii="宋体" w:hAnsi="宋体" w:cs="宋体"/>
          <w:b/>
          <w:bCs/>
          <w:sz w:val="24"/>
          <w:highlight w:val="none"/>
        </w:rPr>
        <w:t>合格供应商的声明函和承诺书</w:t>
      </w:r>
    </w:p>
    <w:p w14:paraId="081E26D8">
      <w:pPr>
        <w:spacing w:line="360" w:lineRule="auto"/>
        <w:rPr>
          <w:rFonts w:ascii="宋体" w:hAnsi="宋体" w:cs="宋体"/>
          <w:sz w:val="24"/>
          <w:highlight w:val="none"/>
        </w:rPr>
      </w:pPr>
    </w:p>
    <w:p w14:paraId="0C5DB269">
      <w:pPr>
        <w:spacing w:line="360" w:lineRule="auto"/>
        <w:jc w:val="center"/>
        <w:rPr>
          <w:rFonts w:ascii="宋体" w:hAnsi="宋体" w:cs="宋体"/>
          <w:b/>
          <w:bCs/>
          <w:sz w:val="24"/>
          <w:highlight w:val="none"/>
        </w:rPr>
      </w:pPr>
    </w:p>
    <w:p w14:paraId="516455FB">
      <w:pPr>
        <w:pStyle w:val="39"/>
        <w:rPr>
          <w:highlight w:val="none"/>
        </w:rPr>
      </w:pPr>
    </w:p>
    <w:p w14:paraId="2C069958">
      <w:pPr>
        <w:spacing w:line="360" w:lineRule="auto"/>
        <w:jc w:val="center"/>
        <w:rPr>
          <w:rFonts w:ascii="宋体" w:hAnsi="宋体" w:cs="宋体"/>
          <w:b/>
          <w:sz w:val="24"/>
          <w:highlight w:val="none"/>
        </w:rPr>
      </w:pPr>
    </w:p>
    <w:p w14:paraId="5D485750">
      <w:pPr>
        <w:spacing w:line="360" w:lineRule="auto"/>
        <w:jc w:val="center"/>
        <w:rPr>
          <w:rFonts w:ascii="宋体" w:hAnsi="宋体" w:cs="宋体"/>
          <w:b/>
          <w:sz w:val="24"/>
          <w:highlight w:val="none"/>
        </w:rPr>
      </w:pPr>
    </w:p>
    <w:p w14:paraId="5FE6EA15">
      <w:pPr>
        <w:spacing w:line="360" w:lineRule="auto"/>
        <w:jc w:val="center"/>
        <w:rPr>
          <w:rFonts w:ascii="宋体" w:hAnsi="宋体" w:cs="宋体"/>
          <w:b/>
          <w:sz w:val="24"/>
          <w:highlight w:val="none"/>
        </w:rPr>
      </w:pPr>
    </w:p>
    <w:p w14:paraId="1732916A">
      <w:pPr>
        <w:spacing w:line="360" w:lineRule="auto"/>
        <w:jc w:val="center"/>
        <w:rPr>
          <w:rFonts w:ascii="宋体" w:hAnsi="宋体" w:cs="宋体"/>
          <w:b/>
          <w:sz w:val="24"/>
          <w:highlight w:val="none"/>
        </w:rPr>
      </w:pPr>
    </w:p>
    <w:p w14:paraId="73928446">
      <w:pPr>
        <w:spacing w:line="360" w:lineRule="auto"/>
        <w:jc w:val="center"/>
        <w:rPr>
          <w:rFonts w:ascii="宋体" w:hAnsi="宋体" w:cs="宋体"/>
          <w:b/>
          <w:sz w:val="24"/>
          <w:highlight w:val="none"/>
        </w:rPr>
      </w:pPr>
    </w:p>
    <w:p w14:paraId="188ED707">
      <w:pPr>
        <w:spacing w:line="360" w:lineRule="auto"/>
        <w:jc w:val="center"/>
        <w:rPr>
          <w:rFonts w:ascii="宋体" w:hAnsi="宋体" w:cs="宋体"/>
          <w:b/>
          <w:sz w:val="24"/>
          <w:highlight w:val="none"/>
        </w:rPr>
      </w:pPr>
    </w:p>
    <w:p w14:paraId="3EA179EB">
      <w:pPr>
        <w:spacing w:line="360" w:lineRule="auto"/>
        <w:jc w:val="center"/>
        <w:rPr>
          <w:rFonts w:ascii="宋体" w:hAnsi="宋体" w:cs="宋体"/>
          <w:b/>
          <w:sz w:val="24"/>
          <w:highlight w:val="none"/>
        </w:rPr>
      </w:pPr>
    </w:p>
    <w:p w14:paraId="5DD07151">
      <w:pPr>
        <w:spacing w:line="360" w:lineRule="auto"/>
        <w:jc w:val="center"/>
        <w:rPr>
          <w:rFonts w:ascii="宋体" w:hAnsi="宋体" w:cs="宋体"/>
          <w:b/>
          <w:sz w:val="24"/>
          <w:highlight w:val="none"/>
        </w:rPr>
      </w:pPr>
    </w:p>
    <w:p w14:paraId="641F8622">
      <w:pPr>
        <w:spacing w:line="360" w:lineRule="auto"/>
        <w:jc w:val="center"/>
        <w:rPr>
          <w:rFonts w:ascii="宋体" w:hAnsi="宋体" w:cs="宋体"/>
          <w:b/>
          <w:sz w:val="24"/>
          <w:highlight w:val="none"/>
        </w:rPr>
      </w:pPr>
    </w:p>
    <w:p w14:paraId="466F60A8">
      <w:pPr>
        <w:spacing w:line="360" w:lineRule="auto"/>
        <w:jc w:val="center"/>
        <w:rPr>
          <w:rFonts w:ascii="宋体" w:hAnsi="宋体" w:cs="宋体"/>
          <w:b/>
          <w:sz w:val="24"/>
          <w:highlight w:val="none"/>
        </w:rPr>
      </w:pPr>
    </w:p>
    <w:p w14:paraId="091BF15A">
      <w:pPr>
        <w:spacing w:line="360" w:lineRule="auto"/>
        <w:jc w:val="center"/>
        <w:rPr>
          <w:rFonts w:ascii="宋体" w:hAnsi="宋体" w:cs="宋体"/>
          <w:b/>
          <w:sz w:val="24"/>
          <w:highlight w:val="none"/>
        </w:rPr>
      </w:pPr>
    </w:p>
    <w:p w14:paraId="317731C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7114701E">
      <w:pPr>
        <w:spacing w:line="380" w:lineRule="exact"/>
        <w:ind w:right="640" w:firstLine="1560" w:firstLineChars="650"/>
        <w:rPr>
          <w:rFonts w:ascii="宋体" w:hAnsi="宋体" w:cs="宋体"/>
          <w:sz w:val="24"/>
          <w:highlight w:val="none"/>
        </w:rPr>
      </w:pPr>
    </w:p>
    <w:p w14:paraId="0687DB83">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1911FF4">
      <w:pPr>
        <w:spacing w:line="360" w:lineRule="auto"/>
        <w:rPr>
          <w:rFonts w:ascii="宋体" w:hAnsi="宋体" w:cs="宋体"/>
          <w:sz w:val="24"/>
          <w:highlight w:val="none"/>
        </w:rPr>
      </w:pPr>
    </w:p>
    <w:p w14:paraId="4FEF615B">
      <w:pPr>
        <w:spacing w:line="360" w:lineRule="auto"/>
        <w:rPr>
          <w:rFonts w:ascii="宋体" w:hAnsi="宋体" w:cs="宋体"/>
          <w:sz w:val="24"/>
          <w:highlight w:val="none"/>
        </w:rPr>
      </w:pPr>
    </w:p>
    <w:p w14:paraId="17DCB40B">
      <w:pPr>
        <w:spacing w:line="360" w:lineRule="auto"/>
        <w:rPr>
          <w:rFonts w:ascii="宋体" w:hAnsi="宋体" w:cs="宋体"/>
          <w:sz w:val="24"/>
          <w:highlight w:val="none"/>
        </w:rPr>
      </w:pPr>
    </w:p>
    <w:p w14:paraId="5DA0C515">
      <w:pPr>
        <w:spacing w:line="360" w:lineRule="auto"/>
        <w:rPr>
          <w:rFonts w:ascii="宋体" w:hAnsi="宋体" w:cs="宋体"/>
          <w:sz w:val="24"/>
          <w:highlight w:val="none"/>
        </w:rPr>
      </w:pPr>
    </w:p>
    <w:p w14:paraId="01461145">
      <w:pPr>
        <w:spacing w:line="380" w:lineRule="exact"/>
        <w:jc w:val="center"/>
        <w:rPr>
          <w:rFonts w:ascii="宋体" w:hAnsi="宋体" w:cs="宋体"/>
          <w:sz w:val="24"/>
          <w:highlight w:val="none"/>
        </w:rPr>
      </w:pPr>
    </w:p>
    <w:p w14:paraId="6EA5B862">
      <w:pPr>
        <w:spacing w:line="380" w:lineRule="exact"/>
        <w:jc w:val="center"/>
        <w:rPr>
          <w:rFonts w:ascii="宋体" w:hAnsi="宋体" w:cs="宋体"/>
          <w:sz w:val="24"/>
          <w:highlight w:val="none"/>
        </w:rPr>
      </w:pPr>
    </w:p>
    <w:p w14:paraId="2CB15047">
      <w:pPr>
        <w:spacing w:line="380" w:lineRule="exact"/>
        <w:jc w:val="center"/>
        <w:rPr>
          <w:rFonts w:ascii="宋体" w:hAnsi="宋体" w:cs="宋体"/>
          <w:sz w:val="24"/>
          <w:highlight w:val="none"/>
        </w:rPr>
      </w:pPr>
    </w:p>
    <w:p w14:paraId="4D5BFB8F">
      <w:pPr>
        <w:spacing w:line="380" w:lineRule="exact"/>
        <w:jc w:val="center"/>
        <w:rPr>
          <w:rFonts w:ascii="宋体" w:hAnsi="宋体" w:cs="宋体"/>
          <w:sz w:val="24"/>
          <w:highlight w:val="none"/>
        </w:rPr>
      </w:pPr>
    </w:p>
    <w:p w14:paraId="138CF947">
      <w:pPr>
        <w:spacing w:line="380" w:lineRule="exact"/>
        <w:jc w:val="center"/>
        <w:rPr>
          <w:rFonts w:ascii="宋体" w:hAnsi="宋体" w:cs="宋体"/>
          <w:sz w:val="24"/>
          <w:highlight w:val="none"/>
        </w:rPr>
      </w:pPr>
    </w:p>
    <w:p w14:paraId="2A533F02">
      <w:pPr>
        <w:spacing w:line="380" w:lineRule="exact"/>
        <w:jc w:val="center"/>
        <w:rPr>
          <w:rFonts w:ascii="宋体" w:hAnsi="宋体" w:cs="宋体"/>
          <w:sz w:val="24"/>
          <w:highlight w:val="none"/>
        </w:rPr>
      </w:pPr>
    </w:p>
    <w:p w14:paraId="767022E9">
      <w:pPr>
        <w:spacing w:line="380" w:lineRule="exact"/>
        <w:jc w:val="center"/>
        <w:rPr>
          <w:rFonts w:ascii="宋体" w:hAnsi="宋体" w:cs="宋体"/>
          <w:sz w:val="24"/>
          <w:highlight w:val="none"/>
        </w:rPr>
      </w:pPr>
    </w:p>
    <w:p w14:paraId="0D8711F8">
      <w:pPr>
        <w:spacing w:line="380" w:lineRule="exact"/>
        <w:jc w:val="center"/>
        <w:rPr>
          <w:rFonts w:ascii="宋体" w:hAnsi="宋体" w:cs="宋体"/>
          <w:sz w:val="24"/>
          <w:highlight w:val="none"/>
        </w:rPr>
      </w:pPr>
    </w:p>
    <w:p w14:paraId="41B6239B">
      <w:pPr>
        <w:spacing w:line="380" w:lineRule="exact"/>
        <w:jc w:val="center"/>
        <w:rPr>
          <w:rFonts w:ascii="宋体" w:hAnsi="宋体" w:cs="宋体"/>
          <w:sz w:val="24"/>
          <w:highlight w:val="none"/>
        </w:rPr>
      </w:pPr>
    </w:p>
    <w:p w14:paraId="6347B520">
      <w:pPr>
        <w:spacing w:line="380" w:lineRule="exact"/>
        <w:jc w:val="center"/>
        <w:rPr>
          <w:rFonts w:ascii="宋体" w:hAnsi="宋体" w:cs="宋体"/>
          <w:sz w:val="24"/>
          <w:highlight w:val="none"/>
        </w:rPr>
      </w:pPr>
    </w:p>
    <w:p w14:paraId="64EC1C59">
      <w:pPr>
        <w:spacing w:line="380" w:lineRule="exact"/>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11  </w:t>
      </w:r>
      <w:r>
        <w:rPr>
          <w:rFonts w:hint="eastAsia" w:ascii="宋体" w:hAnsi="宋体" w:cs="宋体"/>
          <w:b/>
          <w:bCs/>
          <w:sz w:val="24"/>
          <w:highlight w:val="none"/>
        </w:rPr>
        <w:t>中小企业声明函（工程、服务）</w:t>
      </w:r>
    </w:p>
    <w:p w14:paraId="53723B76">
      <w:pPr>
        <w:spacing w:line="360" w:lineRule="auto"/>
        <w:ind w:firstLine="480" w:firstLineChars="200"/>
        <w:rPr>
          <w:rFonts w:ascii="宋体" w:hAnsi="宋体" w:cs="宋体"/>
          <w:sz w:val="24"/>
          <w:highlight w:val="none"/>
        </w:rPr>
      </w:pPr>
      <w:r>
        <w:rPr>
          <w:rFonts w:hint="eastAsia" w:ascii="宋体" w:hAnsi="宋体" w:cs="宋体"/>
          <w:sz w:val="24"/>
          <w:highlight w:val="none"/>
        </w:rPr>
        <w:t>本公司（联合体）郑重声明，根据《政府采购促进中小企业发展管理办法》（财库﹝2020﹞46号）的规定，本公司（联合体）参加</w:t>
      </w:r>
      <w:r>
        <w:rPr>
          <w:rFonts w:hint="eastAsia" w:ascii="宋体" w:hAnsi="宋体" w:cs="宋体"/>
          <w:sz w:val="24"/>
          <w:highlight w:val="none"/>
          <w:u w:val="single"/>
        </w:rPr>
        <w:t>（单位名称）</w:t>
      </w:r>
      <w:r>
        <w:rPr>
          <w:rFonts w:hint="eastAsia" w:ascii="宋体" w:hAnsi="宋体" w:cs="宋体"/>
          <w:sz w:val="24"/>
          <w:highlight w:val="none"/>
        </w:rPr>
        <w:t>的</w:t>
      </w:r>
      <w:r>
        <w:rPr>
          <w:rFonts w:hint="eastAsia" w:ascii="宋体" w:hAnsi="宋体" w:cs="宋体"/>
          <w:sz w:val="24"/>
          <w:highlight w:val="none"/>
          <w:u w:val="single"/>
        </w:rPr>
        <w:t>（项目名称）</w:t>
      </w:r>
      <w:r>
        <w:rPr>
          <w:rFonts w:hint="eastAsia" w:ascii="宋体" w:hAnsi="宋体" w:cs="宋体"/>
          <w:sz w:val="24"/>
          <w:highlight w:val="none"/>
        </w:rPr>
        <w:t>采购活动，工程的施工单位全部为符合政策要求的中小企业</w:t>
      </w:r>
      <w:r>
        <w:rPr>
          <w:rFonts w:hint="eastAsia" w:ascii="宋体" w:hAnsi="宋体" w:cs="宋体"/>
          <w:sz w:val="24"/>
          <w:highlight w:val="none"/>
          <w:u w:val="single"/>
        </w:rPr>
        <w:t>（或者：服务全部由符合政策要求的中小企业承接）</w:t>
      </w:r>
      <w:r>
        <w:rPr>
          <w:rFonts w:hint="eastAsia" w:ascii="宋体" w:hAnsi="宋体" w:cs="宋体"/>
          <w:sz w:val="24"/>
          <w:highlight w:val="none"/>
        </w:rPr>
        <w:t>。相关企业</w:t>
      </w:r>
      <w:r>
        <w:rPr>
          <w:rFonts w:hint="eastAsia" w:ascii="宋体" w:hAnsi="宋体" w:cs="宋体"/>
          <w:sz w:val="24"/>
          <w:highlight w:val="none"/>
          <w:u w:val="single"/>
        </w:rPr>
        <w:t>（含联合 体中的中小企业、签订分包意向协议的中小企业）</w:t>
      </w:r>
      <w:r>
        <w:rPr>
          <w:rFonts w:hint="eastAsia" w:ascii="宋体" w:hAnsi="宋体" w:cs="宋体"/>
          <w:sz w:val="24"/>
          <w:highlight w:val="none"/>
        </w:rPr>
        <w:t>的具体情 况如下：</w:t>
      </w:r>
    </w:p>
    <w:p w14:paraId="003837AC">
      <w:pPr>
        <w:spacing w:line="360" w:lineRule="auto"/>
        <w:ind w:firstLine="480" w:firstLineChars="200"/>
        <w:rPr>
          <w:rFonts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承建（承接）企业为（企业名称），从业人员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 xml:space="preserve">万元，属于（中型企业、小型企业、微型企业）； </w:t>
      </w:r>
    </w:p>
    <w:p w14:paraId="77A6CE77">
      <w:pPr>
        <w:spacing w:line="360" w:lineRule="auto"/>
        <w:ind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w:t>
      </w:r>
      <w:r>
        <w:rPr>
          <w:rFonts w:hint="eastAsia" w:ascii="宋体" w:hAnsi="宋体" w:cs="宋体"/>
          <w:sz w:val="24"/>
          <w:highlight w:val="none"/>
          <w:u w:val="single"/>
        </w:rPr>
        <w:t>（企业名称）</w:t>
      </w:r>
      <w:r>
        <w:rPr>
          <w:rFonts w:hint="eastAsia" w:ascii="宋体" w:hAnsi="宋体" w:cs="宋体"/>
          <w:sz w:val="24"/>
          <w:highlight w:val="none"/>
        </w:rPr>
        <w:t>，从业人员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万元，属于</w:t>
      </w:r>
      <w:r>
        <w:rPr>
          <w:rFonts w:hint="eastAsia" w:ascii="宋体" w:hAnsi="宋体" w:cs="宋体"/>
          <w:sz w:val="24"/>
          <w:highlight w:val="none"/>
          <w:u w:val="single"/>
        </w:rPr>
        <w:t>（中型企业、 小型企业、微型企业）</w:t>
      </w:r>
      <w:r>
        <w:rPr>
          <w:rFonts w:hint="eastAsia" w:ascii="宋体" w:hAnsi="宋体" w:cs="宋体"/>
          <w:sz w:val="24"/>
          <w:highlight w:val="none"/>
        </w:rPr>
        <w:t>； ……</w:t>
      </w:r>
    </w:p>
    <w:p w14:paraId="2D9B609D">
      <w:pPr>
        <w:spacing w:line="360" w:lineRule="auto"/>
        <w:ind w:firstLine="480" w:firstLineChars="200"/>
        <w:rPr>
          <w:rFonts w:ascii="宋体" w:hAnsi="宋体" w:cs="宋体"/>
          <w:sz w:val="24"/>
          <w:highlight w:val="none"/>
        </w:rPr>
      </w:pPr>
      <w:r>
        <w:rPr>
          <w:rFonts w:hint="eastAsia" w:ascii="宋体" w:hAnsi="宋体" w:cs="宋体"/>
          <w:sz w:val="24"/>
          <w:highlight w:val="none"/>
        </w:rPr>
        <w:t>以上企业，不属于大企业的分支机构，不存在控股股东 为大企业的情形，也不存在与大企业的负责人为同一人的情形。</w:t>
      </w:r>
    </w:p>
    <w:p w14:paraId="408E5261">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本企业对上述声明内容的真实性负责。如有虚假，将依 法承担相应责任。 </w:t>
      </w:r>
    </w:p>
    <w:p w14:paraId="717529F2">
      <w:pPr>
        <w:spacing w:line="360" w:lineRule="auto"/>
        <w:ind w:firstLine="3600" w:firstLineChars="1500"/>
        <w:rPr>
          <w:rFonts w:ascii="宋体" w:hAnsi="宋体" w:cs="宋体"/>
          <w:sz w:val="24"/>
          <w:highlight w:val="none"/>
        </w:rPr>
      </w:pPr>
      <w:r>
        <w:rPr>
          <w:rFonts w:hint="eastAsia" w:ascii="宋体" w:hAnsi="宋体" w:cs="宋体"/>
          <w:sz w:val="24"/>
          <w:highlight w:val="none"/>
        </w:rPr>
        <w:t xml:space="preserve">企业名称（盖章）： </w:t>
      </w:r>
    </w:p>
    <w:p w14:paraId="0AE9BEB2">
      <w:pPr>
        <w:spacing w:line="360" w:lineRule="auto"/>
        <w:ind w:firstLine="4800" w:firstLineChars="2000"/>
        <w:rPr>
          <w:rFonts w:ascii="宋体" w:hAnsi="宋体" w:cs="宋体"/>
          <w:sz w:val="24"/>
          <w:highlight w:val="none"/>
        </w:rPr>
      </w:pPr>
      <w:r>
        <w:rPr>
          <w:rFonts w:hint="eastAsia" w:ascii="宋体" w:hAnsi="宋体" w:cs="宋体"/>
          <w:sz w:val="24"/>
          <w:highlight w:val="none"/>
        </w:rPr>
        <w:t xml:space="preserve">日 期： </w:t>
      </w:r>
    </w:p>
    <w:p w14:paraId="0D8F2B0E">
      <w:pPr>
        <w:pStyle w:val="39"/>
        <w:rPr>
          <w:rFonts w:ascii="宋体" w:hAnsi="宋体" w:cs="宋体"/>
          <w:sz w:val="24"/>
          <w:szCs w:val="24"/>
          <w:highlight w:val="none"/>
        </w:rPr>
      </w:pPr>
    </w:p>
    <w:p w14:paraId="05C4B55B">
      <w:pPr>
        <w:pStyle w:val="7"/>
        <w:rPr>
          <w:rFonts w:ascii="宋体" w:hAnsi="宋体" w:eastAsia="宋体" w:cs="宋体"/>
          <w:sz w:val="24"/>
          <w:highlight w:val="none"/>
        </w:rPr>
      </w:pPr>
    </w:p>
    <w:p w14:paraId="4F4099A1">
      <w:pPr>
        <w:rPr>
          <w:rFonts w:ascii="宋体" w:hAnsi="宋体" w:cs="宋体"/>
          <w:sz w:val="24"/>
          <w:highlight w:val="none"/>
        </w:rPr>
      </w:pPr>
    </w:p>
    <w:p w14:paraId="742CDDD6">
      <w:pPr>
        <w:pStyle w:val="39"/>
        <w:rPr>
          <w:rFonts w:ascii="宋体" w:hAnsi="宋体" w:cs="宋体"/>
          <w:sz w:val="24"/>
          <w:szCs w:val="24"/>
          <w:highlight w:val="none"/>
        </w:rPr>
      </w:pPr>
    </w:p>
    <w:p w14:paraId="4A130160">
      <w:pPr>
        <w:pStyle w:val="7"/>
        <w:rPr>
          <w:highlight w:val="none"/>
        </w:rPr>
      </w:pPr>
    </w:p>
    <w:p w14:paraId="2C9F1573">
      <w:pPr>
        <w:spacing w:line="360" w:lineRule="auto"/>
        <w:ind w:firstLine="420" w:firstLineChars="200"/>
        <w:rPr>
          <w:highlight w:val="none"/>
        </w:rPr>
      </w:pPr>
      <w:r>
        <w:rPr>
          <w:rFonts w:hint="eastAsia"/>
          <w:highlight w:val="none"/>
        </w:rPr>
        <w:t>注：1.从业人员、营业收入、资产总额填报上一年度数据，无上一年度数据的新成立企业可不填报。</w:t>
      </w:r>
    </w:p>
    <w:p w14:paraId="2D7DD052">
      <w:pPr>
        <w:numPr>
          <w:ilvl w:val="0"/>
          <w:numId w:val="4"/>
        </w:numPr>
        <w:spacing w:line="360" w:lineRule="auto"/>
        <w:ind w:firstLine="420" w:firstLineChars="200"/>
        <w:rPr>
          <w:rFonts w:hint="eastAsia"/>
          <w:highlight w:val="none"/>
        </w:rPr>
      </w:pPr>
      <w:r>
        <w:rPr>
          <w:rFonts w:hint="eastAsia"/>
          <w:highlight w:val="none"/>
        </w:rPr>
        <w:t>本项目如是只面向中小企业采购的应当必须提供。</w:t>
      </w:r>
    </w:p>
    <w:p w14:paraId="20A32EF1">
      <w:pPr>
        <w:numPr>
          <w:ilvl w:val="0"/>
          <w:numId w:val="4"/>
        </w:numPr>
        <w:spacing w:line="360" w:lineRule="auto"/>
        <w:ind w:firstLine="420" w:firstLineChars="200"/>
        <w:rPr>
          <w:rFonts w:hint="default" w:eastAsia="宋体"/>
          <w:highlight w:val="none"/>
          <w:lang w:val="en-US" w:eastAsia="zh-CN"/>
        </w:rPr>
      </w:pPr>
      <w:r>
        <w:rPr>
          <w:rFonts w:hint="eastAsia"/>
          <w:highlight w:val="none"/>
          <w:lang w:val="en-US" w:eastAsia="zh-CN"/>
        </w:rPr>
        <w:t>此格式仅供参考。</w:t>
      </w:r>
    </w:p>
    <w:p w14:paraId="5FBB0084">
      <w:pPr>
        <w:spacing w:line="360" w:lineRule="auto"/>
        <w:jc w:val="center"/>
        <w:rPr>
          <w:rFonts w:ascii="宋体" w:hAnsi="宋体" w:cs="宋体"/>
          <w:b/>
          <w:bCs/>
          <w:sz w:val="24"/>
          <w:highlight w:val="none"/>
        </w:rPr>
      </w:pPr>
    </w:p>
    <w:p w14:paraId="226F2A93"/>
    <w:p w14:paraId="04AD51EB">
      <w:pPr>
        <w:spacing w:line="360" w:lineRule="auto"/>
        <w:rPr>
          <w:rFonts w:ascii="宋体" w:hAnsi="宋体" w:cs="宋体"/>
          <w:sz w:val="24"/>
          <w:highlight w:val="none"/>
        </w:rPr>
      </w:pPr>
    </w:p>
    <w:p w14:paraId="31AEC000">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12  </w:t>
      </w:r>
      <w:r>
        <w:rPr>
          <w:rStyle w:val="73"/>
          <w:rFonts w:hint="eastAsia" w:ascii="宋体" w:hAnsi="宋体" w:eastAsia="宋体" w:cs="宋体"/>
          <w:b/>
          <w:bCs/>
          <w:sz w:val="24"/>
          <w:szCs w:val="24"/>
          <w:highlight w:val="none"/>
        </w:rPr>
        <w:t>其他资料</w:t>
      </w:r>
    </w:p>
    <w:p w14:paraId="7AC91CC2">
      <w:pPr>
        <w:rPr>
          <w:rFonts w:hint="eastAsia" w:ascii="宋体" w:hAnsi="宋体" w:cs="宋体"/>
          <w:sz w:val="24"/>
          <w:highlight w:val="none"/>
        </w:rPr>
      </w:pPr>
      <w:r>
        <w:rPr>
          <w:rFonts w:hint="eastAsia" w:ascii="宋体" w:hAnsi="宋体" w:cs="宋体"/>
          <w:sz w:val="24"/>
          <w:highlight w:val="none"/>
        </w:rPr>
        <w:br w:type="page"/>
      </w:r>
    </w:p>
    <w:p w14:paraId="46F6620B">
      <w:pPr>
        <w:spacing w:line="360" w:lineRule="auto"/>
        <w:jc w:val="center"/>
        <w:rPr>
          <w:rStyle w:val="73"/>
          <w:rFonts w:ascii="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13 </w:t>
      </w:r>
      <w:r>
        <w:rPr>
          <w:rStyle w:val="73"/>
          <w:rFonts w:hint="eastAsia" w:ascii="宋体" w:hAnsi="宋体" w:cs="宋体"/>
          <w:b/>
          <w:bCs/>
          <w:sz w:val="24"/>
          <w:szCs w:val="24"/>
          <w:highlight w:val="none"/>
        </w:rPr>
        <w:t>政府采购供应商诚信承诺书</w:t>
      </w:r>
    </w:p>
    <w:p w14:paraId="4AD96ACA">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D76C4A0">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05823B5D">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3FE8CA58">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34C0420E">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1B415AF4">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6B48C509">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15B82D62">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1CB1CBD7">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16C5273F">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17BC1E03">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44BB6235">
      <w:pPr>
        <w:spacing w:line="380" w:lineRule="exact"/>
        <w:rPr>
          <w:rFonts w:ascii="宋体" w:hAnsi="宋体" w:cs="宋体"/>
          <w:sz w:val="24"/>
          <w:highlight w:val="none"/>
        </w:rPr>
      </w:pPr>
      <w:r>
        <w:rPr>
          <w:rFonts w:hint="eastAsia" w:ascii="宋体" w:hAnsi="宋体" w:cs="宋体"/>
          <w:sz w:val="24"/>
          <w:highlight w:val="none"/>
        </w:rPr>
        <w:t>（十一）</w:t>
      </w:r>
      <w:r>
        <w:rPr>
          <w:rFonts w:hint="eastAsia" w:ascii="宋体" w:hAnsi="宋体" w:cs="宋体"/>
          <w:sz w:val="24"/>
          <w:highlight w:val="none"/>
          <w:lang w:val="en-US" w:eastAsia="zh-CN"/>
        </w:rPr>
        <w:t>擅自</w:t>
      </w:r>
      <w:r>
        <w:rPr>
          <w:rFonts w:hint="eastAsia" w:ascii="宋体" w:hAnsi="宋体" w:cs="宋体"/>
          <w:sz w:val="24"/>
          <w:highlight w:val="none"/>
        </w:rPr>
        <w:t>与采购人串通或接受采购人要求，在履约合同中通过减少货物数量，更换品牌、降低配置、技术要求、质量和服务标准等，却仍按原合同进行虚假验收或终止政府采购合同;</w:t>
      </w:r>
    </w:p>
    <w:p w14:paraId="1D0B5812">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4111E236">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266B6758">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520264D2">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5C3A1FE6">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046BC101">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6C258E8A">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343A2328">
      <w:pPr>
        <w:spacing w:line="380" w:lineRule="exact"/>
        <w:ind w:firstLine="3360" w:firstLineChars="1400"/>
        <w:rPr>
          <w:rFonts w:ascii="宋体" w:hAnsi="宋体" w:cs="宋体"/>
          <w:sz w:val="24"/>
          <w:highlight w:val="none"/>
        </w:rPr>
      </w:pPr>
      <w:r>
        <w:rPr>
          <w:rFonts w:hint="eastAsia" w:ascii="宋体" w:hAnsi="宋体" w:cs="宋体"/>
          <w:sz w:val="24"/>
          <w:highlight w:val="none"/>
        </w:rPr>
        <w:t>法定代表人：（签字）</w:t>
      </w:r>
    </w:p>
    <w:p w14:paraId="6443F440">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2C3910FB">
      <w:pPr>
        <w:pStyle w:val="41"/>
        <w:ind w:firstLine="0" w:firstLineChars="0"/>
        <w:rPr>
          <w:rFonts w:ascii="宋体" w:hAnsi="宋体" w:cs="宋体"/>
          <w:b/>
          <w:sz w:val="24"/>
          <w:highlight w:val="none"/>
        </w:rPr>
      </w:pPr>
    </w:p>
    <w:p w14:paraId="730AB31B">
      <w:pPr>
        <w:rPr>
          <w:rFonts w:hint="eastAsia" w:ascii="宋体" w:hAnsi="宋体" w:cs="宋体"/>
          <w:b/>
          <w:sz w:val="32"/>
          <w:szCs w:val="32"/>
          <w:highlight w:val="none"/>
        </w:rPr>
      </w:pPr>
      <w:r>
        <w:rPr>
          <w:rFonts w:hint="eastAsia" w:ascii="宋体" w:hAnsi="宋体" w:cs="宋体"/>
          <w:b/>
          <w:sz w:val="32"/>
          <w:szCs w:val="32"/>
          <w:highlight w:val="none"/>
        </w:rPr>
        <w:br w:type="page"/>
      </w:r>
    </w:p>
    <w:p w14:paraId="61C8DEE4">
      <w:pPr>
        <w:pStyle w:val="3"/>
        <w:spacing w:line="500" w:lineRule="exact"/>
        <w:rPr>
          <w:rFonts w:ascii="宋体" w:hAnsi="宋体" w:cs="宋体"/>
          <w:b/>
          <w:sz w:val="32"/>
          <w:szCs w:val="32"/>
          <w:highlight w:val="none"/>
        </w:rPr>
      </w:pPr>
      <w:r>
        <w:rPr>
          <w:rFonts w:hint="eastAsia" w:ascii="宋体" w:hAnsi="宋体" w:cs="宋体"/>
          <w:b/>
          <w:sz w:val="32"/>
          <w:szCs w:val="32"/>
          <w:highlight w:val="none"/>
        </w:rPr>
        <w:t xml:space="preserve">第五章  </w:t>
      </w:r>
      <w:r>
        <w:rPr>
          <w:rFonts w:hint="eastAsia" w:ascii="宋体" w:hAnsi="宋体" w:cs="宋体"/>
          <w:b/>
          <w:w w:val="92"/>
          <w:sz w:val="32"/>
          <w:szCs w:val="32"/>
          <w:highlight w:val="none"/>
        </w:rPr>
        <w:t>周口市</w:t>
      </w:r>
      <w:r>
        <w:rPr>
          <w:rFonts w:hint="eastAsia" w:ascii="宋体" w:hAnsi="宋体" w:cs="宋体"/>
          <w:b/>
          <w:sz w:val="32"/>
          <w:szCs w:val="32"/>
          <w:highlight w:val="none"/>
        </w:rPr>
        <w:t>政府采购合同（服务类）标准文本</w:t>
      </w:r>
    </w:p>
    <w:p w14:paraId="12636967">
      <w:pPr>
        <w:ind w:firstLine="640" w:firstLineChars="200"/>
        <w:rPr>
          <w:rFonts w:ascii="宋体" w:hAnsi="宋体" w:cs="宋体"/>
          <w:sz w:val="32"/>
          <w:szCs w:val="32"/>
          <w:highlight w:val="none"/>
        </w:rPr>
      </w:pPr>
    </w:p>
    <w:p w14:paraId="54A7639E">
      <w:pPr>
        <w:pStyle w:val="86"/>
        <w:spacing w:beforeLines="0" w:afterLines="0"/>
        <w:ind w:left="0" w:firstLine="640" w:firstLineChars="200"/>
        <w:rPr>
          <w:rFonts w:ascii="宋体" w:hAnsi="宋体" w:cs="宋体"/>
          <w:sz w:val="32"/>
          <w:szCs w:val="32"/>
          <w:highlight w:val="none"/>
        </w:rPr>
      </w:pPr>
    </w:p>
    <w:p w14:paraId="71DFBF10">
      <w:pPr>
        <w:pStyle w:val="86"/>
        <w:spacing w:beforeLines="0" w:afterLines="0"/>
        <w:ind w:left="0" w:firstLine="640" w:firstLineChars="200"/>
        <w:rPr>
          <w:rFonts w:ascii="宋体" w:hAnsi="宋体" w:cs="宋体"/>
          <w:sz w:val="32"/>
          <w:szCs w:val="32"/>
          <w:highlight w:val="none"/>
        </w:rPr>
      </w:pPr>
    </w:p>
    <w:p w14:paraId="226AD88D">
      <w:pPr>
        <w:pStyle w:val="86"/>
        <w:spacing w:beforeLines="0" w:afterLines="0"/>
        <w:ind w:left="0" w:firstLine="600" w:firstLineChars="200"/>
        <w:rPr>
          <w:rFonts w:ascii="宋体" w:hAnsi="宋体" w:cs="宋体"/>
          <w:sz w:val="30"/>
          <w:szCs w:val="30"/>
          <w:highlight w:val="none"/>
        </w:rPr>
      </w:pPr>
    </w:p>
    <w:p w14:paraId="42E9FDFB">
      <w:pPr>
        <w:pStyle w:val="86"/>
        <w:spacing w:beforeLines="0" w:afterLines="0"/>
        <w:ind w:left="0" w:firstLine="600" w:firstLineChars="200"/>
        <w:rPr>
          <w:rFonts w:ascii="宋体" w:hAnsi="宋体" w:cs="宋体"/>
          <w:sz w:val="30"/>
          <w:szCs w:val="30"/>
          <w:highlight w:val="none"/>
        </w:rPr>
      </w:pPr>
    </w:p>
    <w:p w14:paraId="2F5AB4FE">
      <w:pPr>
        <w:pStyle w:val="86"/>
        <w:spacing w:beforeLines="0" w:afterLines="0"/>
        <w:ind w:left="0" w:firstLine="600" w:firstLineChars="200"/>
        <w:rPr>
          <w:rFonts w:ascii="宋体" w:hAnsi="宋体" w:cs="宋体"/>
          <w:sz w:val="30"/>
          <w:szCs w:val="30"/>
          <w:highlight w:val="none"/>
        </w:rPr>
      </w:pPr>
    </w:p>
    <w:p w14:paraId="27D7FCB6">
      <w:pPr>
        <w:pStyle w:val="86"/>
        <w:spacing w:beforeLines="0" w:afterLines="0"/>
        <w:ind w:left="0" w:firstLine="600" w:firstLineChars="200"/>
        <w:rPr>
          <w:rFonts w:ascii="宋体" w:hAnsi="宋体" w:cs="宋体"/>
          <w:sz w:val="30"/>
          <w:szCs w:val="30"/>
          <w:highlight w:val="none"/>
        </w:rPr>
      </w:pPr>
    </w:p>
    <w:p w14:paraId="561789D6">
      <w:pPr>
        <w:pStyle w:val="86"/>
        <w:spacing w:beforeLines="0" w:afterLines="0"/>
        <w:ind w:left="0" w:firstLine="600" w:firstLineChars="200"/>
        <w:rPr>
          <w:rFonts w:ascii="宋体" w:hAnsi="宋体" w:cs="宋体"/>
          <w:sz w:val="30"/>
          <w:szCs w:val="30"/>
          <w:highlight w:val="none"/>
        </w:rPr>
      </w:pPr>
    </w:p>
    <w:p w14:paraId="74A9D594">
      <w:pPr>
        <w:pStyle w:val="86"/>
        <w:spacing w:beforeLines="0" w:afterLines="0"/>
        <w:ind w:left="0" w:firstLine="600" w:firstLineChars="200"/>
        <w:rPr>
          <w:rFonts w:ascii="宋体" w:hAnsi="宋体" w:cs="宋体"/>
          <w:sz w:val="30"/>
          <w:szCs w:val="30"/>
          <w:highlight w:val="none"/>
        </w:rPr>
      </w:pPr>
    </w:p>
    <w:p w14:paraId="45155C0E">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政府采购项目名称：</w:t>
      </w:r>
    </w:p>
    <w:p w14:paraId="11BAE1BE">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政府采购项目编号：</w:t>
      </w:r>
    </w:p>
    <w:p w14:paraId="09D80AAD">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采      购    人：</w:t>
      </w:r>
    </w:p>
    <w:p w14:paraId="1DF3F538">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供      应    商：</w:t>
      </w:r>
    </w:p>
    <w:p w14:paraId="079794F8">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 订 地：</w:t>
      </w:r>
    </w:p>
    <w:p w14:paraId="189F4AF1">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签订 时 间：</w:t>
      </w:r>
    </w:p>
    <w:p w14:paraId="6B58C17D">
      <w:pPr>
        <w:pStyle w:val="86"/>
        <w:spacing w:beforeLines="0" w:afterLines="0"/>
        <w:ind w:left="0" w:firstLine="600" w:firstLineChars="200"/>
        <w:rPr>
          <w:rFonts w:ascii="宋体" w:hAnsi="宋体" w:cs="宋体"/>
          <w:sz w:val="30"/>
          <w:szCs w:val="30"/>
          <w:highlight w:val="none"/>
        </w:rPr>
      </w:pPr>
    </w:p>
    <w:p w14:paraId="17C569B3">
      <w:pPr>
        <w:pStyle w:val="86"/>
        <w:spacing w:beforeLines="0" w:afterLines="0"/>
        <w:ind w:left="0" w:firstLine="600" w:firstLineChars="200"/>
        <w:rPr>
          <w:rFonts w:ascii="宋体" w:hAnsi="宋体" w:cs="宋体"/>
          <w:sz w:val="30"/>
          <w:szCs w:val="30"/>
          <w:highlight w:val="none"/>
        </w:rPr>
      </w:pPr>
    </w:p>
    <w:p w14:paraId="267B9FD9">
      <w:pPr>
        <w:pStyle w:val="86"/>
        <w:spacing w:beforeLines="0" w:afterLines="0"/>
        <w:ind w:left="0" w:firstLine="600" w:firstLineChars="200"/>
        <w:rPr>
          <w:rFonts w:ascii="宋体" w:hAnsi="宋体" w:cs="宋体"/>
          <w:sz w:val="30"/>
          <w:szCs w:val="30"/>
          <w:highlight w:val="none"/>
        </w:rPr>
      </w:pPr>
    </w:p>
    <w:p w14:paraId="529D7325">
      <w:pPr>
        <w:pStyle w:val="86"/>
        <w:spacing w:beforeLines="0" w:afterLines="0" w:line="440" w:lineRule="exact"/>
        <w:ind w:left="0"/>
        <w:jc w:val="center"/>
        <w:rPr>
          <w:rFonts w:ascii="宋体" w:hAnsi="宋体" w:cs="宋体"/>
          <w:sz w:val="32"/>
          <w:szCs w:val="32"/>
          <w:highlight w:val="none"/>
        </w:rPr>
      </w:pPr>
      <w:r>
        <w:rPr>
          <w:rFonts w:hint="eastAsia" w:ascii="宋体" w:hAnsi="宋体" w:cs="宋体"/>
          <w:sz w:val="32"/>
          <w:szCs w:val="32"/>
          <w:highlight w:val="none"/>
        </w:rPr>
        <w:t>合同签订指引</w:t>
      </w:r>
    </w:p>
    <w:p w14:paraId="35F7ADCC">
      <w:pPr>
        <w:pStyle w:val="86"/>
        <w:spacing w:beforeLines="0" w:afterLines="0" w:line="440" w:lineRule="exact"/>
        <w:ind w:left="0"/>
        <w:rPr>
          <w:rFonts w:ascii="宋体" w:hAnsi="宋体" w:cs="宋体"/>
          <w:sz w:val="30"/>
          <w:szCs w:val="30"/>
          <w:highlight w:val="none"/>
        </w:rPr>
      </w:pPr>
    </w:p>
    <w:p w14:paraId="476B4E2F">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一、采购人在签订合同时应提供的资料：</w:t>
      </w:r>
    </w:p>
    <w:p w14:paraId="69047C9C">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1、该政府采购项目的招标采购文件（以网上发布内容为准）；</w:t>
      </w:r>
    </w:p>
    <w:p w14:paraId="349A7B13">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2、该政府采购项目招标文件的澄清和修改内容（公告内容）；</w:t>
      </w:r>
    </w:p>
    <w:p w14:paraId="0DD6EE2C">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3、该政府采购项目评审报告；</w:t>
      </w:r>
    </w:p>
    <w:p w14:paraId="2D252227">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4、采购单位法人授权委托书（法人到场并签字的除外）；</w:t>
      </w:r>
    </w:p>
    <w:p w14:paraId="778B0EF7">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5、采购单位被授权人身份证件（法人到场并签字的除外）；</w:t>
      </w:r>
    </w:p>
    <w:p w14:paraId="3AE80392">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6、采购人和中标供应商（或服务商，下同）约定的其它内容（不得超出招标采购文件实质性内容）。</w:t>
      </w:r>
    </w:p>
    <w:p w14:paraId="3BE77B84">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二、供应商在签订合同时应提供的资料：</w:t>
      </w:r>
    </w:p>
    <w:p w14:paraId="1D5EDE58">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1、该政府采购项目的投标文件（纸质或DPF格式的电子投标文件）；</w:t>
      </w:r>
    </w:p>
    <w:p w14:paraId="25FA3AE1">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2、针对该项目评审时评审委员会提出的质询答复（纸质并签章）；</w:t>
      </w:r>
    </w:p>
    <w:p w14:paraId="7379E1CE">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3、该政府采购项目中标通知书；</w:t>
      </w:r>
    </w:p>
    <w:p w14:paraId="67AAD20F">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4、供应商法人授权委托书（法人到场并签字的除外）；</w:t>
      </w:r>
    </w:p>
    <w:p w14:paraId="0ECED971">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5、供应商被授权人身份证件（法人到场并签字的除外）；</w:t>
      </w:r>
    </w:p>
    <w:p w14:paraId="316E5E8F">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6、供应商和采购人约定的其它内容（不得超出招标采购文件实质性内容）。</w:t>
      </w:r>
    </w:p>
    <w:p w14:paraId="4A2262F4">
      <w:pPr>
        <w:pStyle w:val="86"/>
        <w:spacing w:beforeLines="0" w:afterLines="0" w:line="440" w:lineRule="exact"/>
        <w:ind w:left="0" w:firstLine="420" w:firstLineChars="200"/>
        <w:rPr>
          <w:rFonts w:ascii="宋体" w:hAnsi="宋体" w:cs="宋体"/>
          <w:sz w:val="30"/>
          <w:szCs w:val="30"/>
          <w:highlight w:val="none"/>
        </w:rPr>
      </w:pPr>
      <w:r>
        <w:rPr>
          <w:rFonts w:hint="eastAsia" w:ascii="宋体" w:hAnsi="宋体" w:cs="宋体"/>
          <w:szCs w:val="21"/>
          <w:highlight w:val="none"/>
        </w:rPr>
        <w:t>三、本合同签订后二个工作日内有采购人在“周口市政府采购网”上进行合同公示。</w:t>
      </w:r>
    </w:p>
    <w:p w14:paraId="1ECAA697">
      <w:pPr>
        <w:pStyle w:val="86"/>
        <w:spacing w:beforeLines="0" w:afterLines="0" w:line="440" w:lineRule="exact"/>
        <w:ind w:left="0"/>
        <w:jc w:val="center"/>
        <w:rPr>
          <w:rFonts w:ascii="宋体" w:hAnsi="宋体" w:cs="宋体"/>
          <w:bCs/>
          <w:sz w:val="32"/>
          <w:szCs w:val="32"/>
          <w:highlight w:val="none"/>
        </w:rPr>
      </w:pPr>
    </w:p>
    <w:p w14:paraId="4F09D6F1">
      <w:pPr>
        <w:pStyle w:val="86"/>
        <w:spacing w:beforeLines="0" w:afterLines="0" w:line="440" w:lineRule="exact"/>
        <w:ind w:left="0"/>
        <w:jc w:val="center"/>
        <w:rPr>
          <w:rFonts w:ascii="宋体" w:hAnsi="宋体" w:cs="宋体"/>
          <w:sz w:val="32"/>
          <w:szCs w:val="32"/>
          <w:highlight w:val="none"/>
        </w:rPr>
      </w:pPr>
      <w:r>
        <w:rPr>
          <w:rFonts w:hint="eastAsia" w:ascii="宋体" w:hAnsi="宋体" w:cs="宋体"/>
          <w:bCs/>
          <w:sz w:val="32"/>
          <w:szCs w:val="32"/>
          <w:highlight w:val="none"/>
        </w:rPr>
        <w:t>供应商履约验收指引</w:t>
      </w:r>
    </w:p>
    <w:p w14:paraId="5950AF48">
      <w:pPr>
        <w:pStyle w:val="86"/>
        <w:spacing w:beforeLines="0" w:afterLines="0" w:line="440" w:lineRule="exact"/>
        <w:ind w:left="0" w:firstLine="420" w:firstLineChars="200"/>
        <w:rPr>
          <w:rFonts w:ascii="宋体" w:hAnsi="宋体" w:cs="宋体"/>
          <w:szCs w:val="27"/>
          <w:highlight w:val="none"/>
        </w:rPr>
      </w:pPr>
      <w:r>
        <w:rPr>
          <w:rFonts w:hint="eastAsia" w:ascii="宋体" w:hAnsi="宋体" w:cs="宋体"/>
          <w:szCs w:val="21"/>
          <w:highlight w:val="none"/>
        </w:rPr>
        <w:t>1、供应商不得擅自变更合同标的服务内容；</w:t>
      </w:r>
    </w:p>
    <w:p w14:paraId="4E3BCDF4">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2、不得以次充优，随意降低服务标准和水平；</w:t>
      </w:r>
    </w:p>
    <w:p w14:paraId="52726C28">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3、对因客观上采购人采购需求发生变化造成的，应提供采、供双方的纸质备忘录材料；</w:t>
      </w:r>
    </w:p>
    <w:p w14:paraId="0BC6BD0D">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4、在满足验收条件5个工作日内通知采购人组织验收；</w:t>
      </w:r>
    </w:p>
    <w:p w14:paraId="0443B35E">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5、供应商应提供需验收服务的清单、标准、达到的水平等量化资料；</w:t>
      </w:r>
    </w:p>
    <w:p w14:paraId="1BF1857B">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6、采、供双方约定的验收机构及相关人员组成情况。</w:t>
      </w:r>
    </w:p>
    <w:p w14:paraId="4385E17A">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7、督促采购人在项目验收结束并达到相关要求后一个工作日内，在“周口市政府采购网”上进行“履约验收”公示。</w:t>
      </w:r>
    </w:p>
    <w:p w14:paraId="4A1C5B18">
      <w:pPr>
        <w:pStyle w:val="3"/>
        <w:spacing w:line="500" w:lineRule="exact"/>
        <w:jc w:val="both"/>
        <w:rPr>
          <w:rFonts w:ascii="宋体" w:hAnsi="宋体" w:cs="宋体"/>
          <w:sz w:val="21"/>
          <w:szCs w:val="21"/>
          <w:highlight w:val="none"/>
        </w:rPr>
      </w:pPr>
    </w:p>
    <w:p w14:paraId="6FD8C736">
      <w:pPr>
        <w:pStyle w:val="3"/>
        <w:spacing w:line="500" w:lineRule="exact"/>
        <w:rPr>
          <w:rFonts w:ascii="宋体" w:hAnsi="宋体" w:cs="宋体"/>
          <w:sz w:val="44"/>
          <w:szCs w:val="44"/>
          <w:highlight w:val="none"/>
        </w:rPr>
      </w:pPr>
      <w:r>
        <w:rPr>
          <w:rFonts w:hint="eastAsia" w:ascii="宋体" w:hAnsi="宋体" w:cs="宋体"/>
          <w:sz w:val="44"/>
          <w:szCs w:val="44"/>
          <w:highlight w:val="none"/>
        </w:rPr>
        <w:t>服务合同内容</w:t>
      </w:r>
    </w:p>
    <w:p w14:paraId="4D012A9B">
      <w:pPr>
        <w:spacing w:line="360" w:lineRule="auto"/>
        <w:ind w:firstLine="420" w:firstLineChars="200"/>
        <w:rPr>
          <w:rFonts w:ascii="宋体" w:hAnsi="宋体" w:cs="宋体"/>
          <w:szCs w:val="27"/>
          <w:highlight w:val="none"/>
        </w:rPr>
      </w:pPr>
    </w:p>
    <w:p w14:paraId="5D052B34">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 xml:space="preserve">采购人（甲方）： </w:t>
      </w:r>
    </w:p>
    <w:p w14:paraId="156D2E36">
      <w:pPr>
        <w:spacing w:line="360" w:lineRule="auto"/>
        <w:ind w:firstLine="420" w:firstLineChars="200"/>
        <w:rPr>
          <w:rFonts w:ascii="宋体" w:hAnsi="宋体" w:cs="宋体"/>
          <w:szCs w:val="27"/>
          <w:highlight w:val="none"/>
        </w:rPr>
      </w:pPr>
      <w:r>
        <w:rPr>
          <w:rFonts w:hint="eastAsia" w:ascii="宋体" w:hAnsi="宋体" w:cs="宋体"/>
          <w:szCs w:val="27"/>
          <w:highlight w:val="none"/>
        </w:rPr>
        <w:t>供应商（乙方）：</w:t>
      </w:r>
    </w:p>
    <w:p w14:paraId="59839757">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签订地点：</w:t>
      </w:r>
    </w:p>
    <w:p w14:paraId="0ABDDDB0">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项目名称：</w:t>
      </w:r>
    </w:p>
    <w:p w14:paraId="5FDB9A17">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项目编号：</w:t>
      </w:r>
    </w:p>
    <w:p w14:paraId="7C55AFC8">
      <w:pPr>
        <w:spacing w:line="360" w:lineRule="auto"/>
        <w:ind w:firstLine="420" w:firstLineChars="200"/>
        <w:rPr>
          <w:rFonts w:ascii="宋体" w:hAnsi="宋体" w:cs="宋体"/>
          <w:highlight w:val="none"/>
        </w:rPr>
      </w:pPr>
      <w:r>
        <w:rPr>
          <w:rFonts w:hint="eastAsia" w:ascii="宋体" w:hAnsi="宋体" w:cs="宋体"/>
          <w:szCs w:val="27"/>
          <w:highlight w:val="none"/>
        </w:rPr>
        <w:t>财政委托号：</w:t>
      </w:r>
      <w:r>
        <w:rPr>
          <w:rFonts w:hint="eastAsia" w:ascii="宋体" w:hAnsi="宋体" w:cs="宋体"/>
          <w:szCs w:val="27"/>
          <w:highlight w:val="none"/>
          <w:u w:val="single"/>
        </w:rPr>
        <w:t xml:space="preserve">      </w:t>
      </w:r>
      <w:r>
        <w:rPr>
          <w:rFonts w:hint="eastAsia" w:ascii="宋体" w:hAnsi="宋体" w:cs="宋体"/>
          <w:szCs w:val="27"/>
          <w:highlight w:val="none"/>
        </w:rPr>
        <w:t>(财政资金项目必须填写)</w:t>
      </w:r>
    </w:p>
    <w:p w14:paraId="7EEF2F78">
      <w:pPr>
        <w:spacing w:line="360" w:lineRule="auto"/>
        <w:ind w:firstLine="420" w:firstLineChars="200"/>
        <w:rPr>
          <w:rFonts w:ascii="宋体" w:hAnsi="宋体" w:cs="宋体"/>
          <w:highlight w:val="none"/>
        </w:rPr>
      </w:pPr>
      <w:r>
        <w:rPr>
          <w:rFonts w:hint="eastAsia" w:ascii="宋体" w:hAnsi="宋体" w:cs="宋体"/>
          <w:szCs w:val="27"/>
          <w:highlight w:val="none"/>
        </w:rPr>
        <w:t>本项目经批准采用</w:t>
      </w:r>
      <w:r>
        <w:rPr>
          <w:rFonts w:hint="eastAsia" w:ascii="宋体" w:hAnsi="宋体" w:cs="宋体"/>
          <w:szCs w:val="27"/>
          <w:highlight w:val="none"/>
          <w:u w:val="single"/>
        </w:rPr>
        <w:t xml:space="preserve">           </w:t>
      </w:r>
      <w:r>
        <w:rPr>
          <w:rFonts w:hint="eastAsia" w:ascii="宋体" w:hAnsi="宋体" w:cs="宋体"/>
          <w:szCs w:val="27"/>
          <w:highlight w:val="none"/>
        </w:rPr>
        <w:t>采购方式，经本项目评审委员会认真评审，决定将采购合同授予乙方。为进一步明确双方的责任，确保合同的顺利履行，根据《中华人民共和国采购法》、《中华人民共和国</w:t>
      </w:r>
      <w:r>
        <w:rPr>
          <w:rFonts w:hint="eastAsia" w:ascii="宋体" w:hAnsi="宋体" w:cs="宋体"/>
          <w:szCs w:val="27"/>
          <w:highlight w:val="none"/>
          <w:lang w:eastAsia="zh-CN"/>
        </w:rPr>
        <w:t>民法典</w:t>
      </w:r>
      <w:r>
        <w:rPr>
          <w:rFonts w:hint="eastAsia" w:ascii="宋体" w:hAnsi="宋体" w:cs="宋体"/>
          <w:szCs w:val="27"/>
          <w:highlight w:val="none"/>
        </w:rPr>
        <w:t>》之规定，经甲乙双方充分协商，特订立本合同，以便共同遵守。</w:t>
      </w:r>
    </w:p>
    <w:p w14:paraId="5AED4DEA">
      <w:pPr>
        <w:spacing w:line="360" w:lineRule="auto"/>
        <w:ind w:firstLine="422" w:firstLineChars="200"/>
        <w:rPr>
          <w:rFonts w:ascii="宋体" w:hAnsi="宋体" w:cs="宋体"/>
          <w:highlight w:val="none"/>
          <w:u w:val="single"/>
        </w:rPr>
      </w:pPr>
      <w:r>
        <w:rPr>
          <w:rFonts w:hint="eastAsia" w:ascii="宋体" w:hAnsi="宋体" w:cs="宋体"/>
          <w:b/>
          <w:bCs/>
          <w:szCs w:val="27"/>
          <w:highlight w:val="none"/>
        </w:rPr>
        <w:t>第一条</w:t>
      </w:r>
      <w:r>
        <w:rPr>
          <w:rFonts w:hint="eastAsia" w:ascii="宋体" w:hAnsi="宋体" w:cs="宋体"/>
          <w:szCs w:val="27"/>
          <w:highlight w:val="none"/>
        </w:rPr>
        <w:t>   服务的内容、标准、数量和价格：（若服务项目过多则见附表，如有附表则必须加盖印章）</w:t>
      </w:r>
    </w:p>
    <w:tbl>
      <w:tblPr>
        <w:tblStyle w:val="30"/>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25F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687CB4A">
            <w:pPr>
              <w:spacing w:line="360" w:lineRule="auto"/>
              <w:ind w:firstLine="420" w:firstLineChars="200"/>
              <w:rPr>
                <w:rFonts w:ascii="宋体" w:hAnsi="宋体" w:cs="宋体"/>
                <w:highlight w:val="none"/>
              </w:rPr>
            </w:pPr>
            <w:r>
              <w:rPr>
                <w:rFonts w:hint="eastAsia" w:ascii="宋体" w:hAnsi="宋体" w:cs="宋体"/>
                <w:highlight w:val="none"/>
              </w:rPr>
              <w:t>服务内容</w:t>
            </w:r>
          </w:p>
        </w:tc>
        <w:tc>
          <w:tcPr>
            <w:tcW w:w="1623" w:type="dxa"/>
          </w:tcPr>
          <w:p w14:paraId="7AFE482E">
            <w:pPr>
              <w:spacing w:line="360" w:lineRule="auto"/>
              <w:ind w:firstLine="420" w:firstLineChars="200"/>
              <w:rPr>
                <w:rFonts w:ascii="宋体" w:hAnsi="宋体" w:cs="宋体"/>
                <w:highlight w:val="none"/>
              </w:rPr>
            </w:pPr>
            <w:r>
              <w:rPr>
                <w:rFonts w:hint="eastAsia" w:ascii="宋体" w:hAnsi="宋体" w:cs="宋体"/>
                <w:highlight w:val="none"/>
              </w:rPr>
              <w:t>标准水平</w:t>
            </w:r>
          </w:p>
        </w:tc>
        <w:tc>
          <w:tcPr>
            <w:tcW w:w="902" w:type="dxa"/>
          </w:tcPr>
          <w:p w14:paraId="4CD98ABF">
            <w:pPr>
              <w:spacing w:line="360" w:lineRule="auto"/>
              <w:rPr>
                <w:rFonts w:ascii="宋体" w:hAnsi="宋体" w:cs="宋体"/>
                <w:highlight w:val="none"/>
              </w:rPr>
            </w:pPr>
            <w:r>
              <w:rPr>
                <w:rFonts w:hint="eastAsia" w:ascii="宋体" w:hAnsi="宋体" w:cs="宋体"/>
                <w:highlight w:val="none"/>
              </w:rPr>
              <w:t>单位</w:t>
            </w:r>
          </w:p>
        </w:tc>
        <w:tc>
          <w:tcPr>
            <w:tcW w:w="902" w:type="dxa"/>
          </w:tcPr>
          <w:p w14:paraId="68C0F52F">
            <w:pPr>
              <w:spacing w:line="360" w:lineRule="auto"/>
              <w:rPr>
                <w:rFonts w:ascii="宋体" w:hAnsi="宋体" w:cs="宋体"/>
                <w:highlight w:val="none"/>
              </w:rPr>
            </w:pPr>
            <w:r>
              <w:rPr>
                <w:rFonts w:hint="eastAsia" w:ascii="宋体" w:hAnsi="宋体" w:cs="宋体"/>
                <w:highlight w:val="none"/>
              </w:rPr>
              <w:t>数量</w:t>
            </w:r>
          </w:p>
        </w:tc>
        <w:tc>
          <w:tcPr>
            <w:tcW w:w="1071" w:type="dxa"/>
          </w:tcPr>
          <w:p w14:paraId="2068B4F2">
            <w:pPr>
              <w:spacing w:line="360" w:lineRule="auto"/>
              <w:ind w:firstLine="420" w:firstLineChars="200"/>
              <w:rPr>
                <w:rFonts w:ascii="宋体" w:hAnsi="宋体" w:cs="宋体"/>
                <w:highlight w:val="none"/>
              </w:rPr>
            </w:pPr>
            <w:r>
              <w:rPr>
                <w:rFonts w:hint="eastAsia" w:ascii="宋体" w:hAnsi="宋体" w:cs="宋体"/>
                <w:highlight w:val="none"/>
              </w:rPr>
              <w:t>单价</w:t>
            </w:r>
          </w:p>
        </w:tc>
        <w:tc>
          <w:tcPr>
            <w:tcW w:w="1250" w:type="dxa"/>
          </w:tcPr>
          <w:p w14:paraId="6BB73ADC">
            <w:pPr>
              <w:spacing w:line="360" w:lineRule="auto"/>
              <w:ind w:firstLine="420" w:firstLineChars="200"/>
              <w:rPr>
                <w:rFonts w:ascii="宋体" w:hAnsi="宋体" w:cs="宋体"/>
                <w:highlight w:val="none"/>
              </w:rPr>
            </w:pPr>
            <w:r>
              <w:rPr>
                <w:rFonts w:hint="eastAsia" w:ascii="宋体" w:hAnsi="宋体" w:cs="宋体"/>
                <w:highlight w:val="none"/>
              </w:rPr>
              <w:t>小计</w:t>
            </w:r>
          </w:p>
        </w:tc>
        <w:tc>
          <w:tcPr>
            <w:tcW w:w="1106" w:type="dxa"/>
          </w:tcPr>
          <w:p w14:paraId="3971FA34">
            <w:pPr>
              <w:spacing w:line="360" w:lineRule="auto"/>
              <w:ind w:firstLine="420" w:firstLineChars="200"/>
              <w:rPr>
                <w:rFonts w:ascii="宋体" w:hAnsi="宋体" w:cs="宋体"/>
                <w:highlight w:val="none"/>
              </w:rPr>
            </w:pPr>
            <w:r>
              <w:rPr>
                <w:rFonts w:hint="eastAsia" w:ascii="宋体" w:hAnsi="宋体" w:cs="宋体"/>
                <w:highlight w:val="none"/>
              </w:rPr>
              <w:t>备注</w:t>
            </w:r>
          </w:p>
        </w:tc>
      </w:tr>
      <w:tr w14:paraId="6C2D3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3C1F8D0">
            <w:pPr>
              <w:spacing w:line="360" w:lineRule="auto"/>
              <w:ind w:firstLine="420" w:firstLineChars="200"/>
              <w:rPr>
                <w:rFonts w:ascii="宋体" w:hAnsi="宋体" w:cs="宋体"/>
                <w:highlight w:val="none"/>
              </w:rPr>
            </w:pPr>
          </w:p>
        </w:tc>
        <w:tc>
          <w:tcPr>
            <w:tcW w:w="1623" w:type="dxa"/>
          </w:tcPr>
          <w:p w14:paraId="218A3568">
            <w:pPr>
              <w:spacing w:line="360" w:lineRule="auto"/>
              <w:ind w:firstLine="420" w:firstLineChars="200"/>
              <w:rPr>
                <w:rFonts w:ascii="宋体" w:hAnsi="宋体" w:cs="宋体"/>
                <w:highlight w:val="none"/>
              </w:rPr>
            </w:pPr>
          </w:p>
        </w:tc>
        <w:tc>
          <w:tcPr>
            <w:tcW w:w="902" w:type="dxa"/>
          </w:tcPr>
          <w:p w14:paraId="19FCD1BF">
            <w:pPr>
              <w:spacing w:line="360" w:lineRule="auto"/>
              <w:ind w:firstLine="420" w:firstLineChars="200"/>
              <w:rPr>
                <w:rFonts w:ascii="宋体" w:hAnsi="宋体" w:cs="宋体"/>
                <w:highlight w:val="none"/>
              </w:rPr>
            </w:pPr>
          </w:p>
        </w:tc>
        <w:tc>
          <w:tcPr>
            <w:tcW w:w="902" w:type="dxa"/>
          </w:tcPr>
          <w:p w14:paraId="1157EDB2">
            <w:pPr>
              <w:spacing w:line="360" w:lineRule="auto"/>
              <w:ind w:firstLine="420" w:firstLineChars="200"/>
              <w:rPr>
                <w:rFonts w:ascii="宋体" w:hAnsi="宋体" w:cs="宋体"/>
                <w:highlight w:val="none"/>
              </w:rPr>
            </w:pPr>
          </w:p>
        </w:tc>
        <w:tc>
          <w:tcPr>
            <w:tcW w:w="1071" w:type="dxa"/>
          </w:tcPr>
          <w:p w14:paraId="491D9F47">
            <w:pPr>
              <w:spacing w:line="360" w:lineRule="auto"/>
              <w:ind w:firstLine="420" w:firstLineChars="200"/>
              <w:rPr>
                <w:rFonts w:ascii="宋体" w:hAnsi="宋体" w:cs="宋体"/>
                <w:highlight w:val="none"/>
              </w:rPr>
            </w:pPr>
          </w:p>
        </w:tc>
        <w:tc>
          <w:tcPr>
            <w:tcW w:w="1250" w:type="dxa"/>
          </w:tcPr>
          <w:p w14:paraId="1509CD0F">
            <w:pPr>
              <w:spacing w:line="360" w:lineRule="auto"/>
              <w:ind w:firstLine="420" w:firstLineChars="200"/>
              <w:rPr>
                <w:rFonts w:ascii="宋体" w:hAnsi="宋体" w:cs="宋体"/>
                <w:highlight w:val="none"/>
              </w:rPr>
            </w:pPr>
          </w:p>
        </w:tc>
        <w:tc>
          <w:tcPr>
            <w:tcW w:w="1106" w:type="dxa"/>
          </w:tcPr>
          <w:p w14:paraId="50A2566B">
            <w:pPr>
              <w:spacing w:line="360" w:lineRule="auto"/>
              <w:ind w:firstLine="420" w:firstLineChars="200"/>
              <w:rPr>
                <w:rFonts w:ascii="宋体" w:hAnsi="宋体" w:cs="宋体"/>
                <w:highlight w:val="none"/>
              </w:rPr>
            </w:pPr>
          </w:p>
        </w:tc>
      </w:tr>
      <w:tr w14:paraId="1381E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66155BF">
            <w:pPr>
              <w:spacing w:line="360" w:lineRule="auto"/>
              <w:ind w:firstLine="420" w:firstLineChars="200"/>
              <w:rPr>
                <w:rFonts w:ascii="宋体" w:hAnsi="宋体" w:cs="宋体"/>
                <w:highlight w:val="none"/>
              </w:rPr>
            </w:pPr>
          </w:p>
        </w:tc>
        <w:tc>
          <w:tcPr>
            <w:tcW w:w="1623" w:type="dxa"/>
          </w:tcPr>
          <w:p w14:paraId="432460C1">
            <w:pPr>
              <w:spacing w:line="360" w:lineRule="auto"/>
              <w:ind w:firstLine="420" w:firstLineChars="200"/>
              <w:rPr>
                <w:rFonts w:ascii="宋体" w:hAnsi="宋体" w:cs="宋体"/>
                <w:highlight w:val="none"/>
              </w:rPr>
            </w:pPr>
          </w:p>
        </w:tc>
        <w:tc>
          <w:tcPr>
            <w:tcW w:w="902" w:type="dxa"/>
          </w:tcPr>
          <w:p w14:paraId="70C28F4F">
            <w:pPr>
              <w:spacing w:line="360" w:lineRule="auto"/>
              <w:ind w:firstLine="420" w:firstLineChars="200"/>
              <w:rPr>
                <w:rFonts w:ascii="宋体" w:hAnsi="宋体" w:cs="宋体"/>
                <w:highlight w:val="none"/>
              </w:rPr>
            </w:pPr>
          </w:p>
        </w:tc>
        <w:tc>
          <w:tcPr>
            <w:tcW w:w="902" w:type="dxa"/>
          </w:tcPr>
          <w:p w14:paraId="48CCF72A">
            <w:pPr>
              <w:spacing w:line="360" w:lineRule="auto"/>
              <w:ind w:firstLine="420" w:firstLineChars="200"/>
              <w:rPr>
                <w:rFonts w:ascii="宋体" w:hAnsi="宋体" w:cs="宋体"/>
                <w:highlight w:val="none"/>
              </w:rPr>
            </w:pPr>
          </w:p>
        </w:tc>
        <w:tc>
          <w:tcPr>
            <w:tcW w:w="1071" w:type="dxa"/>
          </w:tcPr>
          <w:p w14:paraId="5D040096">
            <w:pPr>
              <w:spacing w:line="360" w:lineRule="auto"/>
              <w:ind w:firstLine="420" w:firstLineChars="200"/>
              <w:rPr>
                <w:rFonts w:ascii="宋体" w:hAnsi="宋体" w:cs="宋体"/>
                <w:highlight w:val="none"/>
              </w:rPr>
            </w:pPr>
          </w:p>
        </w:tc>
        <w:tc>
          <w:tcPr>
            <w:tcW w:w="1250" w:type="dxa"/>
          </w:tcPr>
          <w:p w14:paraId="7BB33C65">
            <w:pPr>
              <w:spacing w:line="360" w:lineRule="auto"/>
              <w:ind w:firstLine="420" w:firstLineChars="200"/>
              <w:rPr>
                <w:rFonts w:ascii="宋体" w:hAnsi="宋体" w:cs="宋体"/>
                <w:highlight w:val="none"/>
              </w:rPr>
            </w:pPr>
          </w:p>
        </w:tc>
        <w:tc>
          <w:tcPr>
            <w:tcW w:w="1106" w:type="dxa"/>
          </w:tcPr>
          <w:p w14:paraId="55A7FD31">
            <w:pPr>
              <w:spacing w:line="360" w:lineRule="auto"/>
              <w:ind w:firstLine="420" w:firstLineChars="200"/>
              <w:rPr>
                <w:rFonts w:ascii="宋体" w:hAnsi="宋体" w:cs="宋体"/>
                <w:highlight w:val="none"/>
              </w:rPr>
            </w:pPr>
          </w:p>
        </w:tc>
      </w:tr>
      <w:tr w14:paraId="29623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D415AB5">
            <w:pPr>
              <w:spacing w:line="360" w:lineRule="auto"/>
              <w:ind w:firstLine="420" w:firstLineChars="200"/>
              <w:rPr>
                <w:rFonts w:ascii="宋体" w:hAnsi="宋体" w:cs="宋体"/>
                <w:highlight w:val="none"/>
              </w:rPr>
            </w:pPr>
          </w:p>
        </w:tc>
        <w:tc>
          <w:tcPr>
            <w:tcW w:w="1623" w:type="dxa"/>
          </w:tcPr>
          <w:p w14:paraId="07ED3A0A">
            <w:pPr>
              <w:spacing w:line="360" w:lineRule="auto"/>
              <w:ind w:firstLine="420" w:firstLineChars="200"/>
              <w:rPr>
                <w:rFonts w:ascii="宋体" w:hAnsi="宋体" w:cs="宋体"/>
                <w:highlight w:val="none"/>
              </w:rPr>
            </w:pPr>
          </w:p>
        </w:tc>
        <w:tc>
          <w:tcPr>
            <w:tcW w:w="902" w:type="dxa"/>
          </w:tcPr>
          <w:p w14:paraId="7863776F">
            <w:pPr>
              <w:spacing w:line="360" w:lineRule="auto"/>
              <w:ind w:firstLine="420" w:firstLineChars="200"/>
              <w:rPr>
                <w:rFonts w:ascii="宋体" w:hAnsi="宋体" w:cs="宋体"/>
                <w:highlight w:val="none"/>
              </w:rPr>
            </w:pPr>
          </w:p>
        </w:tc>
        <w:tc>
          <w:tcPr>
            <w:tcW w:w="902" w:type="dxa"/>
          </w:tcPr>
          <w:p w14:paraId="53BF5AB0">
            <w:pPr>
              <w:spacing w:line="360" w:lineRule="auto"/>
              <w:ind w:firstLine="420" w:firstLineChars="200"/>
              <w:rPr>
                <w:rFonts w:ascii="宋体" w:hAnsi="宋体" w:cs="宋体"/>
                <w:highlight w:val="none"/>
              </w:rPr>
            </w:pPr>
          </w:p>
        </w:tc>
        <w:tc>
          <w:tcPr>
            <w:tcW w:w="1071" w:type="dxa"/>
          </w:tcPr>
          <w:p w14:paraId="21170901">
            <w:pPr>
              <w:spacing w:line="360" w:lineRule="auto"/>
              <w:ind w:firstLine="420" w:firstLineChars="200"/>
              <w:rPr>
                <w:rFonts w:ascii="宋体" w:hAnsi="宋体" w:cs="宋体"/>
                <w:highlight w:val="none"/>
              </w:rPr>
            </w:pPr>
          </w:p>
        </w:tc>
        <w:tc>
          <w:tcPr>
            <w:tcW w:w="1250" w:type="dxa"/>
          </w:tcPr>
          <w:p w14:paraId="017DDA88">
            <w:pPr>
              <w:spacing w:line="360" w:lineRule="auto"/>
              <w:ind w:firstLine="420" w:firstLineChars="200"/>
              <w:rPr>
                <w:rFonts w:ascii="宋体" w:hAnsi="宋体" w:cs="宋体"/>
                <w:highlight w:val="none"/>
              </w:rPr>
            </w:pPr>
          </w:p>
        </w:tc>
        <w:tc>
          <w:tcPr>
            <w:tcW w:w="1106" w:type="dxa"/>
          </w:tcPr>
          <w:p w14:paraId="47DFA32F">
            <w:pPr>
              <w:spacing w:line="360" w:lineRule="auto"/>
              <w:ind w:firstLine="420" w:firstLineChars="200"/>
              <w:rPr>
                <w:rFonts w:ascii="宋体" w:hAnsi="宋体" w:cs="宋体"/>
                <w:highlight w:val="none"/>
              </w:rPr>
            </w:pPr>
          </w:p>
        </w:tc>
      </w:tr>
      <w:tr w14:paraId="6AFF4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065A5EE">
            <w:pPr>
              <w:spacing w:line="360" w:lineRule="auto"/>
              <w:ind w:firstLine="420" w:firstLineChars="200"/>
              <w:rPr>
                <w:rFonts w:ascii="宋体" w:hAnsi="宋体" w:cs="宋体"/>
                <w:highlight w:val="none"/>
              </w:rPr>
            </w:pPr>
            <w:r>
              <w:rPr>
                <w:rFonts w:hint="eastAsia" w:ascii="宋体" w:hAnsi="宋体" w:cs="宋体"/>
                <w:highlight w:val="none"/>
              </w:rPr>
              <w:t>合同总价款（大小写）：</w:t>
            </w:r>
          </w:p>
          <w:p w14:paraId="07FA2964">
            <w:pPr>
              <w:spacing w:line="360" w:lineRule="auto"/>
              <w:ind w:firstLine="420" w:firstLineChars="200"/>
              <w:rPr>
                <w:rFonts w:ascii="宋体" w:hAnsi="宋体" w:cs="宋体"/>
                <w:highlight w:val="none"/>
              </w:rPr>
            </w:pPr>
            <w:r>
              <w:rPr>
                <w:rFonts w:hint="eastAsia" w:ascii="宋体" w:hAnsi="宋体" w:cs="宋体"/>
                <w:szCs w:val="28"/>
                <w:highlight w:val="none"/>
              </w:rPr>
              <w:t>备注：上述服务包含相关设备购置、人员工资及售后服务、税金、劳保基金、人员培训等费用。</w:t>
            </w:r>
          </w:p>
        </w:tc>
      </w:tr>
    </w:tbl>
    <w:p w14:paraId="201B6019">
      <w:pPr>
        <w:spacing w:line="360" w:lineRule="auto"/>
        <w:ind w:firstLine="422" w:firstLineChars="200"/>
        <w:rPr>
          <w:rFonts w:ascii="宋体" w:hAnsi="宋体" w:cs="宋体"/>
          <w:highlight w:val="none"/>
        </w:rPr>
      </w:pPr>
      <w:r>
        <w:rPr>
          <w:rFonts w:hint="eastAsia" w:ascii="宋体" w:hAnsi="宋体" w:cs="宋体"/>
          <w:b/>
          <w:bCs/>
          <w:szCs w:val="27"/>
          <w:highlight w:val="none"/>
        </w:rPr>
        <w:t xml:space="preserve">第二条  </w:t>
      </w:r>
      <w:r>
        <w:rPr>
          <w:rFonts w:hint="eastAsia" w:ascii="宋体" w:hAnsi="宋体" w:cs="宋体"/>
          <w:szCs w:val="27"/>
          <w:highlight w:val="none"/>
        </w:rPr>
        <w:t>服务标准（包括达到的水平要求），按下列第（ ）项执行：</w:t>
      </w:r>
    </w:p>
    <w:p w14:paraId="4C371E12">
      <w:pPr>
        <w:spacing w:line="360" w:lineRule="auto"/>
        <w:ind w:firstLine="420" w:firstLineChars="200"/>
        <w:rPr>
          <w:rFonts w:ascii="宋体" w:hAnsi="宋体" w:cs="宋体"/>
          <w:szCs w:val="27"/>
          <w:highlight w:val="none"/>
        </w:rPr>
      </w:pPr>
      <w:r>
        <w:rPr>
          <w:rFonts w:hint="eastAsia" w:ascii="宋体" w:hAnsi="宋体" w:cs="宋体"/>
          <w:szCs w:val="27"/>
          <w:highlight w:val="none"/>
        </w:rPr>
        <w:t>①按国家标准执行；②按部颁标准执行；③若无以上标准，则应不低于同行业服务标准；④有特殊要求的，按甲乙双方在合同中商定的要求执行；</w:t>
      </w:r>
    </w:p>
    <w:p w14:paraId="3C1D4131">
      <w:pPr>
        <w:spacing w:line="360" w:lineRule="auto"/>
        <w:ind w:firstLine="420" w:firstLineChars="200"/>
        <w:rPr>
          <w:rFonts w:ascii="宋体" w:hAnsi="宋体" w:cs="宋体"/>
          <w:szCs w:val="27"/>
          <w:highlight w:val="none"/>
          <w:u w:val="single"/>
        </w:rPr>
      </w:pPr>
      <w:r>
        <w:rPr>
          <w:rFonts w:hint="eastAsia" w:ascii="宋体" w:hAnsi="宋体" w:cs="宋体"/>
          <w:highlight w:val="none"/>
        </w:rPr>
        <w:t>乙方提供的服务标准和水平应与招标采购文件规定的标准和水平相一致。</w:t>
      </w:r>
    </w:p>
    <w:p w14:paraId="6965B71C">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第三条  </w:t>
      </w:r>
      <w:r>
        <w:rPr>
          <w:rFonts w:hint="eastAsia" w:ascii="宋体" w:hAnsi="宋体" w:cs="宋体"/>
          <w:szCs w:val="27"/>
          <w:highlight w:val="none"/>
        </w:rPr>
        <w:t>服务的方式、方法、、地点和期限</w:t>
      </w:r>
    </w:p>
    <w:p w14:paraId="19760EBA">
      <w:pPr>
        <w:spacing w:line="360" w:lineRule="auto"/>
        <w:ind w:firstLine="420" w:firstLineChars="200"/>
        <w:rPr>
          <w:rFonts w:ascii="宋体" w:hAnsi="宋体" w:cs="宋体"/>
          <w:highlight w:val="none"/>
        </w:rPr>
      </w:pPr>
      <w:r>
        <w:rPr>
          <w:rFonts w:hint="eastAsia" w:ascii="宋体" w:hAnsi="宋体" w:cs="宋体"/>
          <w:szCs w:val="27"/>
          <w:highlight w:val="none"/>
        </w:rPr>
        <w:t>1、服务方式：</w:t>
      </w:r>
    </w:p>
    <w:p w14:paraId="15D6940D">
      <w:pPr>
        <w:spacing w:line="360" w:lineRule="auto"/>
        <w:ind w:firstLine="420" w:firstLineChars="200"/>
        <w:rPr>
          <w:rFonts w:ascii="宋体" w:hAnsi="宋体" w:cs="宋体"/>
          <w:highlight w:val="none"/>
        </w:rPr>
      </w:pPr>
      <w:r>
        <w:rPr>
          <w:rFonts w:hint="eastAsia" w:ascii="宋体" w:hAnsi="宋体" w:cs="宋体"/>
          <w:highlight w:val="none"/>
        </w:rPr>
        <w:t>2、服务方法：</w:t>
      </w:r>
    </w:p>
    <w:p w14:paraId="4261D105">
      <w:pPr>
        <w:spacing w:line="360" w:lineRule="auto"/>
        <w:ind w:firstLine="420" w:firstLineChars="200"/>
        <w:rPr>
          <w:rFonts w:ascii="宋体" w:hAnsi="宋体" w:cs="宋体"/>
          <w:szCs w:val="27"/>
          <w:highlight w:val="none"/>
        </w:rPr>
      </w:pPr>
      <w:r>
        <w:rPr>
          <w:rFonts w:hint="eastAsia" w:ascii="宋体" w:hAnsi="宋体" w:cs="宋体"/>
          <w:szCs w:val="27"/>
          <w:highlight w:val="none"/>
        </w:rPr>
        <w:t>2、服务地点：</w:t>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p>
    <w:p w14:paraId="679CCF03">
      <w:pPr>
        <w:spacing w:line="360" w:lineRule="auto"/>
        <w:ind w:firstLine="420" w:firstLineChars="200"/>
        <w:rPr>
          <w:rFonts w:ascii="宋体" w:hAnsi="宋体" w:cs="宋体"/>
          <w:szCs w:val="27"/>
          <w:highlight w:val="none"/>
        </w:rPr>
      </w:pPr>
      <w:r>
        <w:rPr>
          <w:rFonts w:hint="eastAsia" w:ascii="宋体" w:hAnsi="宋体" w:cs="宋体"/>
          <w:szCs w:val="27"/>
          <w:highlight w:val="none"/>
        </w:rPr>
        <w:t>3、服务期限：</w:t>
      </w:r>
    </w:p>
    <w:p w14:paraId="5476C1C4">
      <w:pPr>
        <w:spacing w:line="360" w:lineRule="auto"/>
        <w:ind w:firstLine="420" w:firstLineChars="200"/>
        <w:rPr>
          <w:rFonts w:ascii="宋体" w:hAnsi="宋体" w:cs="宋体"/>
          <w:highlight w:val="none"/>
        </w:rPr>
      </w:pPr>
      <w:r>
        <w:rPr>
          <w:rFonts w:hint="eastAsia" w:ascii="宋体" w:hAnsi="宋体" w:cs="宋体"/>
          <w:highlight w:val="none"/>
        </w:rPr>
        <w:t>第四条  费用及支付方式</w:t>
      </w:r>
    </w:p>
    <w:p w14:paraId="240A8FFE">
      <w:pPr>
        <w:pStyle w:val="11"/>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(一)本项目费用有以下组成：</w:t>
      </w:r>
    </w:p>
    <w:p w14:paraId="6A485CF7">
      <w:pPr>
        <w:pStyle w:val="11"/>
        <w:kinsoku w:val="0"/>
        <w:overflowPunct w:val="0"/>
        <w:spacing w:line="364" w:lineRule="auto"/>
        <w:ind w:firstLine="420" w:firstLineChars="200"/>
        <w:rPr>
          <w:rFonts w:ascii="宋体" w:hAnsi="宋体" w:cs="宋体"/>
          <w:highlight w:val="none"/>
        </w:rPr>
      </w:pPr>
      <w:r>
        <w:rPr>
          <w:rFonts w:hint="eastAsia" w:ascii="宋体" w:hAnsi="宋体" w:cs="宋体"/>
          <w:highlight w:val="none"/>
        </w:rPr>
        <w:t xml:space="preserve"> 1、XX 万元；</w:t>
      </w:r>
    </w:p>
    <w:p w14:paraId="467E4CF3">
      <w:pPr>
        <w:pStyle w:val="11"/>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 万元；</w:t>
      </w:r>
    </w:p>
    <w:p w14:paraId="3BE80A82">
      <w:pPr>
        <w:pStyle w:val="11"/>
        <w:kinsoku w:val="0"/>
        <w:overflowPunct w:val="0"/>
        <w:spacing w:line="364" w:lineRule="auto"/>
        <w:ind w:firstLine="420" w:firstLineChars="200"/>
        <w:rPr>
          <w:rFonts w:ascii="宋体" w:hAnsi="宋体" w:cs="宋体"/>
          <w:highlight w:val="none"/>
        </w:rPr>
      </w:pPr>
      <w:r>
        <w:rPr>
          <w:rFonts w:hint="eastAsia" w:ascii="宋体" w:hAnsi="宋体" w:cs="宋体"/>
          <w:highlight w:val="none"/>
        </w:rPr>
        <w:t>……</w:t>
      </w:r>
    </w:p>
    <w:p w14:paraId="6DC8C7B5">
      <w:pPr>
        <w:pStyle w:val="11"/>
        <w:kinsoku w:val="0"/>
        <w:overflowPunct w:val="0"/>
        <w:ind w:firstLine="422" w:firstLineChars="200"/>
        <w:rPr>
          <w:rFonts w:ascii="宋体" w:hAnsi="宋体" w:cs="宋体"/>
          <w:b/>
          <w:highlight w:val="none"/>
        </w:rPr>
      </w:pPr>
      <w:r>
        <w:rPr>
          <w:rFonts w:hint="eastAsia" w:ascii="宋体" w:hAnsi="宋体" w:cs="宋体"/>
          <w:b/>
          <w:highlight w:val="none"/>
        </w:rPr>
        <w:t>(二)费用支付方式：</w:t>
      </w:r>
    </w:p>
    <w:p w14:paraId="44E512A5">
      <w:pPr>
        <w:pStyle w:val="11"/>
        <w:kinsoku w:val="0"/>
        <w:overflowPunct w:val="0"/>
        <w:spacing w:line="364" w:lineRule="auto"/>
        <w:ind w:firstLine="420" w:firstLineChars="200"/>
        <w:rPr>
          <w:rFonts w:ascii="宋体" w:hAnsi="宋体" w:cs="宋体"/>
          <w:highlight w:val="none"/>
        </w:rPr>
      </w:pPr>
      <w:r>
        <w:rPr>
          <w:rFonts w:hint="eastAsia" w:ascii="宋体" w:hAnsi="宋体" w:cs="宋体"/>
          <w:highlight w:val="none"/>
        </w:rPr>
        <w:t>1、XXXX；</w:t>
      </w:r>
    </w:p>
    <w:p w14:paraId="4310A381">
      <w:pPr>
        <w:pStyle w:val="11"/>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2、XXXX ；</w:t>
      </w:r>
    </w:p>
    <w:p w14:paraId="514DBC92">
      <w:pPr>
        <w:pStyle w:val="11"/>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3、在支付前甲方对乙方的服务进行考核或验收，合格的支付相应款 项。乙方须向甲方出具合法有效完整的完税发票及凭证资料进行支付结算。</w:t>
      </w:r>
    </w:p>
    <w:p w14:paraId="2B0D38F0">
      <w:pPr>
        <w:pStyle w:val="11"/>
        <w:kinsoku w:val="0"/>
        <w:overflowPunct w:val="0"/>
        <w:ind w:firstLine="422" w:firstLineChars="200"/>
        <w:rPr>
          <w:rFonts w:ascii="宋体" w:hAnsi="宋体" w:cs="宋体"/>
          <w:highlight w:val="none"/>
        </w:rPr>
      </w:pPr>
      <w:r>
        <w:rPr>
          <w:rFonts w:hint="eastAsia" w:ascii="宋体" w:hAnsi="宋体" w:cs="宋体"/>
          <w:b/>
          <w:highlight w:val="none"/>
        </w:rPr>
        <w:t xml:space="preserve">第五条  付款条件   </w:t>
      </w:r>
      <w:r>
        <w:rPr>
          <w:rFonts w:hint="eastAsia" w:ascii="宋体" w:hAnsi="宋体" w:cs="宋体"/>
          <w:highlight w:val="none"/>
        </w:rPr>
        <w:t xml:space="preserve">               </w:t>
      </w:r>
    </w:p>
    <w:p w14:paraId="351A6511">
      <w:pPr>
        <w:spacing w:line="360" w:lineRule="auto"/>
        <w:ind w:firstLine="420" w:firstLineChars="200"/>
        <w:rPr>
          <w:rFonts w:ascii="宋体" w:hAnsi="宋体" w:cs="宋体"/>
          <w:highlight w:val="none"/>
        </w:rPr>
      </w:pPr>
      <w:r>
        <w:rPr>
          <w:rFonts w:hint="eastAsia" w:ascii="宋体" w:hAnsi="宋体" w:cs="宋体"/>
          <w:highlight w:val="none"/>
        </w:rPr>
        <w:t>本合同以人民币付款。</w:t>
      </w:r>
    </w:p>
    <w:p w14:paraId="7A4F98E7">
      <w:pPr>
        <w:spacing w:line="360" w:lineRule="auto"/>
        <w:ind w:firstLine="420" w:firstLineChars="200"/>
        <w:rPr>
          <w:rFonts w:ascii="宋体" w:hAnsi="宋体" w:cs="宋体"/>
          <w:highlight w:val="none"/>
        </w:rPr>
      </w:pPr>
      <w:r>
        <w:rPr>
          <w:rFonts w:hint="eastAsia" w:ascii="宋体" w:hAnsi="宋体" w:cs="宋体"/>
          <w:highlight w:val="none"/>
        </w:rPr>
        <w:t>该项目是否实行预付款：</w:t>
      </w:r>
    </w:p>
    <w:p w14:paraId="5648AB63">
      <w:pPr>
        <w:spacing w:line="360" w:lineRule="auto"/>
        <w:ind w:firstLine="420" w:firstLineChars="200"/>
        <w:rPr>
          <w:rFonts w:ascii="宋体" w:hAnsi="宋体" w:cs="宋体"/>
          <w:highlight w:val="none"/>
        </w:rPr>
      </w:pPr>
      <w:r>
        <w:rPr>
          <w:rFonts w:hint="eastAsia" w:ascii="宋体" w:hAnsi="宋体" w:cs="宋体"/>
          <w:highlight w:val="none"/>
        </w:rPr>
        <w:t>实行预付款的条件和比例：</w:t>
      </w:r>
    </w:p>
    <w:p w14:paraId="707BECA4">
      <w:pPr>
        <w:spacing w:line="360" w:lineRule="auto"/>
        <w:ind w:firstLine="420" w:firstLineChars="200"/>
        <w:rPr>
          <w:rFonts w:ascii="宋体" w:hAnsi="宋体" w:cs="宋体"/>
          <w:highlight w:val="none"/>
        </w:rPr>
      </w:pPr>
      <w:r>
        <w:rPr>
          <w:rFonts w:hint="eastAsia" w:ascii="宋体" w:hAnsi="宋体" w:cs="宋体"/>
          <w:highlight w:val="none"/>
        </w:rPr>
        <w:t xml:space="preserve">合同款项结算方式和支付比例：   </w:t>
      </w:r>
    </w:p>
    <w:p w14:paraId="6A1D0CB0">
      <w:pPr>
        <w:spacing w:line="360" w:lineRule="auto"/>
        <w:ind w:firstLine="420" w:firstLineChars="200"/>
        <w:rPr>
          <w:rFonts w:ascii="宋体" w:hAnsi="宋体" w:cs="宋体"/>
          <w:highlight w:val="none"/>
          <w:u w:val="single"/>
        </w:rPr>
      </w:pPr>
      <w:r>
        <w:rPr>
          <w:rFonts w:hint="eastAsia" w:ascii="宋体" w:hAnsi="宋体" w:cs="宋体"/>
          <w:highlight w:val="none"/>
        </w:rPr>
        <w:t>(具体付款方式</w:t>
      </w:r>
      <w:r>
        <w:rPr>
          <w:rFonts w:hint="eastAsia" w:ascii="宋体" w:hAnsi="宋体" w:cs="宋体"/>
          <w:highlight w:val="none"/>
          <w:u w:val="single"/>
        </w:rPr>
        <w:t>按投标人须知前附表以及采、购双方的具体约定</w:t>
      </w:r>
    </w:p>
    <w:p w14:paraId="4F7F6B92">
      <w:pPr>
        <w:pStyle w:val="2"/>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第六条  验收方法</w:t>
      </w:r>
    </w:p>
    <w:p w14:paraId="66FD8300">
      <w:pPr>
        <w:spacing w:line="360" w:lineRule="auto"/>
        <w:ind w:firstLine="420" w:firstLineChars="200"/>
        <w:rPr>
          <w:rFonts w:ascii="宋体" w:hAnsi="宋体" w:cs="宋体"/>
          <w:highlight w:val="none"/>
        </w:rPr>
      </w:pPr>
      <w:r>
        <w:rPr>
          <w:rFonts w:hint="eastAsia" w:ascii="宋体" w:hAnsi="宋体" w:cs="宋体"/>
          <w:highlight w:val="none"/>
        </w:rPr>
        <w:t>1.甲、乙双方应严格履行合同有关条款，如果验收过程中发现乙方在没有征得采购人同意的情况下擅自变更合同服务内容，将拒绝通过验收，由此引起的一切后果及损失由乙方承担。</w:t>
      </w:r>
    </w:p>
    <w:p w14:paraId="0AD656E5">
      <w:pPr>
        <w:spacing w:line="360" w:lineRule="auto"/>
        <w:ind w:firstLine="420" w:firstLineChars="200"/>
        <w:rPr>
          <w:rFonts w:ascii="宋体" w:hAnsi="宋体" w:cs="宋体"/>
          <w:highlight w:val="none"/>
        </w:rPr>
      </w:pPr>
      <w:r>
        <w:rPr>
          <w:rFonts w:hint="eastAsia" w:ascii="宋体" w:hAnsi="宋体" w:cs="宋体"/>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8661CAF">
      <w:pPr>
        <w:spacing w:line="360" w:lineRule="auto"/>
        <w:ind w:firstLine="420" w:firstLineChars="200"/>
        <w:rPr>
          <w:rFonts w:ascii="宋体" w:hAnsi="宋体" w:cs="宋体"/>
          <w:highlight w:val="none"/>
        </w:rPr>
      </w:pPr>
      <w:r>
        <w:rPr>
          <w:rFonts w:hint="eastAsia" w:ascii="宋体" w:hAnsi="宋体" w:cs="宋体"/>
          <w:highlight w:val="none"/>
        </w:rPr>
        <w:t>3、甲方视情况可以邀请参加本项目的其他投标人或者第三方机构参与验收，参与验收的投标人或者第三方机构的意见作为验收书的参考资料一并存档。</w:t>
      </w:r>
    </w:p>
    <w:p w14:paraId="4DDEE6FF">
      <w:pPr>
        <w:spacing w:line="360" w:lineRule="auto"/>
        <w:ind w:firstLine="420" w:firstLineChars="200"/>
        <w:rPr>
          <w:rFonts w:ascii="宋体" w:hAnsi="宋体" w:cs="宋体"/>
          <w:highlight w:val="none"/>
        </w:rPr>
      </w:pPr>
      <w:r>
        <w:rPr>
          <w:rFonts w:hint="eastAsia" w:ascii="宋体" w:hAnsi="宋体" w:cs="宋体"/>
          <w:highlight w:val="none"/>
        </w:rPr>
        <w:t>4、涉及安全、消防、环保等其他需要由质检或行业主管部门进行验收的项目，必须邀请相关部门或相关专家参与验收。涉及社会化服务的项目，甲方将要求社会公众人员参与验收。</w:t>
      </w:r>
    </w:p>
    <w:p w14:paraId="419355F3">
      <w:pPr>
        <w:spacing w:line="360" w:lineRule="auto"/>
        <w:ind w:firstLine="420" w:firstLineChars="200"/>
        <w:rPr>
          <w:rFonts w:ascii="宋体" w:hAnsi="宋体" w:cs="宋体"/>
          <w:highlight w:val="none"/>
        </w:rPr>
      </w:pPr>
      <w:r>
        <w:rPr>
          <w:rFonts w:hint="eastAsia" w:ascii="宋体" w:hAnsi="宋体" w:cs="宋体"/>
          <w:highlight w:val="none"/>
        </w:rPr>
        <w:t>检测、验收费用承担方式：</w:t>
      </w:r>
    </w:p>
    <w:p w14:paraId="2673D170">
      <w:pPr>
        <w:pStyle w:val="11"/>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第七条 知识产权</w:t>
      </w:r>
    </w:p>
    <w:p w14:paraId="386F12BD">
      <w:pPr>
        <w:pStyle w:val="11"/>
        <w:kinsoku w:val="0"/>
        <w:overflowPunct w:val="0"/>
        <w:spacing w:line="364" w:lineRule="auto"/>
        <w:ind w:firstLine="420" w:firstLineChars="200"/>
        <w:rPr>
          <w:rFonts w:ascii="宋体" w:hAnsi="宋体" w:cs="宋体"/>
          <w:highlight w:val="none"/>
        </w:rPr>
      </w:pPr>
      <w:r>
        <w:rPr>
          <w:rFonts w:hint="eastAsia" w:ascii="宋体" w:hAnsi="宋体" w:eastAsia="宋体" w:cs="宋体"/>
          <w:highlight w:val="none"/>
        </w:rPr>
        <w:t>乙方应</w:t>
      </w:r>
      <w:r>
        <w:rPr>
          <w:rFonts w:hint="eastAsia" w:ascii="宋体" w:hAnsi="宋体" w:cs="宋体"/>
          <w:highlight w:val="none"/>
          <w:lang w:val="en-US" w:eastAsia="zh-CN"/>
        </w:rPr>
        <w:t>保证</w:t>
      </w:r>
      <w:r>
        <w:rPr>
          <w:rFonts w:hint="eastAsia" w:ascii="宋体" w:hAnsi="宋体" w:eastAsia="宋体" w:cs="宋体"/>
          <w:highlight w:val="none"/>
        </w:rPr>
        <w:t>所提供的</w:t>
      </w:r>
      <w:r>
        <w:rPr>
          <w:rFonts w:hint="eastAsia" w:ascii="宋体" w:hAnsi="宋体" w:cs="宋体"/>
          <w:highlight w:val="none"/>
        </w:rPr>
        <w:t>服务或其任何一部分均不会侵犯任何第三方的专利权、商标权或著作权。</w:t>
      </w:r>
    </w:p>
    <w:p w14:paraId="77FAC778">
      <w:pPr>
        <w:pStyle w:val="2"/>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第八条 无产权瑕疵条款</w:t>
      </w:r>
    </w:p>
    <w:p w14:paraId="6C7DAD92">
      <w:pPr>
        <w:pStyle w:val="11"/>
        <w:kinsoku w:val="0"/>
        <w:overflowPunct w:val="0"/>
        <w:spacing w:line="364" w:lineRule="auto"/>
        <w:ind w:firstLine="420" w:firstLineChars="200"/>
        <w:rPr>
          <w:rFonts w:ascii="宋体" w:hAnsi="宋体" w:cs="宋体"/>
          <w:highlight w:val="none"/>
        </w:rPr>
      </w:pPr>
      <w:r>
        <w:rPr>
          <w:rFonts w:hint="eastAsia" w:ascii="宋体" w:hAnsi="宋体" w:cs="宋体"/>
          <w:highlight w:val="none"/>
        </w:rPr>
        <w:t>乙方保证所提供的服务的所有权完全属于乙方且无任何抵押、查封等产权瑕疵。如有产权瑕疵的，视为乙方违约。乙方应负担由此而产生的一切损失。</w:t>
      </w:r>
    </w:p>
    <w:p w14:paraId="70F84E5A">
      <w:pPr>
        <w:spacing w:line="400" w:lineRule="exact"/>
        <w:ind w:firstLine="422" w:firstLineChars="200"/>
        <w:rPr>
          <w:rFonts w:ascii="宋体" w:hAnsi="宋体" w:cs="宋体"/>
          <w:b/>
          <w:bCs/>
          <w:szCs w:val="27"/>
          <w:highlight w:val="none"/>
        </w:rPr>
      </w:pPr>
      <w:r>
        <w:rPr>
          <w:rFonts w:hint="eastAsia" w:ascii="宋体" w:hAnsi="宋体" w:cs="宋体"/>
          <w:b/>
          <w:bCs/>
          <w:szCs w:val="27"/>
          <w:highlight w:val="none"/>
        </w:rPr>
        <w:t xml:space="preserve">第九条  </w:t>
      </w:r>
      <w:r>
        <w:rPr>
          <w:rFonts w:hint="eastAsia" w:ascii="宋体" w:hAnsi="宋体" w:cs="宋体"/>
          <w:szCs w:val="27"/>
          <w:highlight w:val="none"/>
        </w:rPr>
        <w:t>履约（或质量）保证金</w:t>
      </w:r>
    </w:p>
    <w:p w14:paraId="2DAB908C">
      <w:pPr>
        <w:spacing w:line="360" w:lineRule="auto"/>
        <w:ind w:firstLine="420" w:firstLineChars="200"/>
        <w:rPr>
          <w:rFonts w:ascii="宋体" w:hAnsi="宋体" w:cs="宋体"/>
          <w:highlight w:val="none"/>
        </w:rPr>
      </w:pPr>
      <w:r>
        <w:rPr>
          <w:rFonts w:hint="eastAsia" w:ascii="宋体" w:hAnsi="宋体" w:cs="宋体"/>
          <w:highlight w:val="none"/>
        </w:rPr>
        <w:t>1.本项目不收取履约保证金。确需收取履约保证金的，甲方不得要求乙方以现款的形式提供。乙方提供的履约保证金按规定格式以银行保函形式提供，与此有关的费用由服务方承担。</w:t>
      </w:r>
    </w:p>
    <w:p w14:paraId="27BA3511">
      <w:pPr>
        <w:spacing w:line="360" w:lineRule="auto"/>
        <w:ind w:firstLine="420" w:firstLineChars="200"/>
        <w:rPr>
          <w:rFonts w:ascii="宋体" w:hAnsi="宋体" w:cs="宋体"/>
          <w:highlight w:val="none"/>
        </w:rPr>
      </w:pPr>
      <w:r>
        <w:rPr>
          <w:rFonts w:hint="eastAsia" w:ascii="宋体" w:hAnsi="宋体" w:cs="宋体"/>
          <w:highlight w:val="none"/>
        </w:rPr>
        <w:t>2.若确需质量保证金的，质量保证金不得超过合同总价款的5%</w:t>
      </w:r>
    </w:p>
    <w:p w14:paraId="418DD33F">
      <w:pPr>
        <w:spacing w:line="360" w:lineRule="auto"/>
        <w:ind w:firstLine="420" w:firstLineChars="200"/>
        <w:rPr>
          <w:rFonts w:ascii="宋体" w:hAnsi="宋体" w:cs="宋体"/>
          <w:highlight w:val="none"/>
        </w:rPr>
      </w:pPr>
      <w:r>
        <w:rPr>
          <w:rFonts w:hint="eastAsia" w:ascii="宋体" w:hAnsi="宋体" w:cs="宋体"/>
          <w:highlight w:val="none"/>
        </w:rPr>
        <w:t>3.如乙方未能履行其合同规定的任何义务，甲方有权从履约保证金中取得补偿。</w:t>
      </w:r>
    </w:p>
    <w:p w14:paraId="1904FA0F">
      <w:pPr>
        <w:pStyle w:val="2"/>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第十条 甲方的权利和义务</w:t>
      </w:r>
    </w:p>
    <w:p w14:paraId="7D3D3B3E">
      <w:pPr>
        <w:spacing w:line="360" w:lineRule="auto"/>
        <w:ind w:firstLine="420" w:firstLineChars="200"/>
        <w:rPr>
          <w:rFonts w:ascii="宋体" w:hAnsi="宋体" w:cs="宋体"/>
          <w:highlight w:val="none"/>
        </w:rPr>
      </w:pPr>
      <w:r>
        <w:rPr>
          <w:rFonts w:hint="eastAsia" w:ascii="宋体" w:hAnsi="宋体" w:cs="宋体"/>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2B9163F9">
      <w:pPr>
        <w:spacing w:line="360" w:lineRule="auto"/>
        <w:ind w:firstLine="420" w:firstLineChars="200"/>
        <w:rPr>
          <w:rFonts w:ascii="宋体" w:hAnsi="宋体" w:cs="宋体"/>
          <w:highlight w:val="none"/>
        </w:rPr>
      </w:pPr>
      <w:r>
        <w:rPr>
          <w:rFonts w:hint="eastAsia" w:ascii="宋体" w:hAnsi="宋体" w:cs="宋体"/>
          <w:highlight w:val="none"/>
        </w:rPr>
        <w:t>2、甲方有权依据双方签订的考评办法对乙方提供的服务进行定期考评。当考评结果未达到标准时，有权依据考评办法约定的数额扣除履约保证金。</w:t>
      </w:r>
    </w:p>
    <w:p w14:paraId="5CAD45C4">
      <w:pPr>
        <w:spacing w:line="360" w:lineRule="auto"/>
        <w:ind w:firstLine="420" w:firstLineChars="200"/>
        <w:rPr>
          <w:rFonts w:ascii="宋体" w:hAnsi="宋体" w:cs="宋体"/>
          <w:highlight w:val="none"/>
        </w:rPr>
      </w:pPr>
      <w:r>
        <w:rPr>
          <w:rFonts w:hint="eastAsia" w:ascii="宋体" w:hAnsi="宋体" w:cs="宋体"/>
          <w:highlight w:val="none"/>
        </w:rPr>
        <w:t>3、负责检查监督乙方管理工作的实施及制度的执行情况。</w:t>
      </w:r>
    </w:p>
    <w:p w14:paraId="37A0F422">
      <w:pPr>
        <w:spacing w:line="360" w:lineRule="auto"/>
        <w:ind w:firstLine="420" w:firstLineChars="200"/>
        <w:rPr>
          <w:rFonts w:ascii="宋体" w:hAnsi="宋体" w:cs="宋体"/>
          <w:highlight w:val="none"/>
        </w:rPr>
      </w:pPr>
      <w:r>
        <w:rPr>
          <w:rFonts w:hint="eastAsia" w:ascii="宋体" w:hAnsi="宋体" w:cs="宋体"/>
          <w:highlight w:val="none"/>
        </w:rPr>
        <w:t>4、根据本合同规定，按时向乙方支付应付服务费用。</w:t>
      </w:r>
    </w:p>
    <w:p w14:paraId="6F1CF7A1">
      <w:pPr>
        <w:spacing w:line="360" w:lineRule="auto"/>
        <w:ind w:firstLine="420" w:firstLineChars="200"/>
        <w:rPr>
          <w:rFonts w:ascii="宋体" w:hAnsi="宋体" w:cs="宋体"/>
          <w:highlight w:val="none"/>
        </w:rPr>
      </w:pPr>
      <w:r>
        <w:rPr>
          <w:rFonts w:hint="eastAsia" w:ascii="宋体" w:hAnsi="宋体" w:cs="宋体"/>
          <w:highlight w:val="none"/>
        </w:rPr>
        <w:t xml:space="preserve">5、国家法律、法规所规定由甲方承担的其他责任               </w:t>
      </w:r>
    </w:p>
    <w:p w14:paraId="2C8A64B5">
      <w:pPr>
        <w:pStyle w:val="11"/>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第十一条 乙方的权利和义务</w:t>
      </w:r>
    </w:p>
    <w:p w14:paraId="3E57543F">
      <w:pPr>
        <w:spacing w:line="360" w:lineRule="auto"/>
        <w:ind w:firstLine="420" w:firstLineChars="200"/>
        <w:rPr>
          <w:rFonts w:ascii="宋体" w:hAnsi="宋体" w:cs="宋体"/>
          <w:highlight w:val="none"/>
        </w:rPr>
      </w:pPr>
      <w:r>
        <w:rPr>
          <w:rFonts w:hint="eastAsia" w:ascii="宋体" w:hAnsi="宋体" w:cs="宋体"/>
          <w:highlight w:val="none"/>
        </w:rPr>
        <w:t>1、对本合同规定的委托服务范围内的项目享有管理权及服务义务。</w:t>
      </w:r>
    </w:p>
    <w:p w14:paraId="157894C7">
      <w:pPr>
        <w:spacing w:line="360" w:lineRule="auto"/>
        <w:ind w:firstLine="420" w:firstLineChars="200"/>
        <w:rPr>
          <w:rFonts w:ascii="宋体" w:hAnsi="宋体" w:cs="宋体"/>
          <w:highlight w:val="none"/>
        </w:rPr>
      </w:pPr>
      <w:r>
        <w:rPr>
          <w:rFonts w:hint="eastAsia" w:ascii="宋体" w:hAnsi="宋体" w:cs="宋体"/>
          <w:highlight w:val="none"/>
        </w:rPr>
        <w:t>2、根据本合同的规定向甲方收取相关服务费用，并有权在本项目管理范围内管理及合理使用。</w:t>
      </w:r>
    </w:p>
    <w:p w14:paraId="37ADFDBE">
      <w:pPr>
        <w:spacing w:line="360" w:lineRule="auto"/>
        <w:ind w:firstLine="420" w:firstLineChars="200"/>
        <w:rPr>
          <w:rFonts w:ascii="宋体" w:hAnsi="宋体" w:cs="宋体"/>
          <w:highlight w:val="none"/>
        </w:rPr>
      </w:pPr>
      <w:r>
        <w:rPr>
          <w:rFonts w:hint="eastAsia" w:ascii="宋体" w:hAnsi="宋体" w:cs="宋体"/>
          <w:highlight w:val="none"/>
        </w:rPr>
        <w:t>3、及时向甲方通告本项目服务范围内有关服务的重大事项，及时配合处理投诉。</w:t>
      </w:r>
    </w:p>
    <w:p w14:paraId="4B668C52">
      <w:pPr>
        <w:spacing w:line="360" w:lineRule="auto"/>
        <w:ind w:firstLine="420" w:firstLineChars="200"/>
        <w:rPr>
          <w:rFonts w:ascii="宋体" w:hAnsi="宋体" w:cs="宋体"/>
          <w:highlight w:val="none"/>
        </w:rPr>
      </w:pPr>
      <w:r>
        <w:rPr>
          <w:rFonts w:hint="eastAsia" w:ascii="宋体" w:hAnsi="宋体" w:cs="宋体"/>
          <w:highlight w:val="none"/>
        </w:rPr>
        <w:t>4、接受项目行业管理部门及政府有关部门的指导，接受甲方的监督。</w:t>
      </w:r>
    </w:p>
    <w:p w14:paraId="4DF696BA">
      <w:pPr>
        <w:spacing w:line="360" w:lineRule="auto"/>
        <w:ind w:firstLine="420" w:firstLineChars="200"/>
        <w:rPr>
          <w:rFonts w:ascii="宋体" w:hAnsi="宋体" w:cs="宋体"/>
          <w:highlight w:val="none"/>
        </w:rPr>
      </w:pPr>
      <w:r>
        <w:rPr>
          <w:rFonts w:hint="eastAsia" w:ascii="宋体" w:hAnsi="宋体" w:cs="宋体"/>
          <w:highlight w:val="none"/>
        </w:rPr>
        <w:t>5、国家法律、法规所规定由乙方承担的其它责任。</w:t>
      </w:r>
    </w:p>
    <w:p w14:paraId="5BBDA883">
      <w:pPr>
        <w:pStyle w:val="11"/>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第十二条 违约责任</w:t>
      </w:r>
    </w:p>
    <w:p w14:paraId="716B25A4">
      <w:pPr>
        <w:pStyle w:val="11"/>
        <w:kinsoku w:val="0"/>
        <w:overflowPunct w:val="0"/>
        <w:ind w:firstLine="420" w:firstLineChars="200"/>
        <w:rPr>
          <w:rFonts w:ascii="宋体" w:hAnsi="宋体" w:cs="宋体"/>
          <w:highlight w:val="none"/>
        </w:rPr>
      </w:pPr>
      <w:r>
        <w:rPr>
          <w:rFonts w:hint="eastAsia" w:ascii="宋体" w:hAnsi="宋体" w:cs="宋体"/>
          <w:highlight w:val="none"/>
        </w:rPr>
        <w:t>1、甲乙双方必须遵守本合同并执行合同中的各项规定，保证本合同的正常履行。</w:t>
      </w:r>
    </w:p>
    <w:p w14:paraId="3FC755F9">
      <w:pPr>
        <w:pStyle w:val="11"/>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2、甲方逾期付款的，除应及时付足款项外，应向乙方偿付欠款总额万分之 /天的违约金；逾期付款超过 天的，乙方有权终止合同。</w:t>
      </w:r>
    </w:p>
    <w:p w14:paraId="23F1D9D4">
      <w:pPr>
        <w:pStyle w:val="11"/>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4FE71B38">
      <w:pPr>
        <w:pStyle w:val="11"/>
        <w:kinsoku w:val="0"/>
        <w:overflowPunct w:val="0"/>
        <w:spacing w:line="364" w:lineRule="auto"/>
        <w:ind w:firstLine="420" w:firstLineChars="200"/>
        <w:rPr>
          <w:rFonts w:ascii="宋体" w:hAnsi="宋体" w:cs="宋体"/>
          <w:highlight w:val="none"/>
        </w:rPr>
      </w:pPr>
      <w:r>
        <w:rPr>
          <w:rFonts w:hint="eastAsia" w:ascii="宋体" w:hAnsi="宋体" w:cs="宋体"/>
          <w:highlight w:val="none"/>
        </w:rPr>
        <w:t>4、变更、中止或者终止合同，有过错的一方应当承担赔偿责任，双方都有过错的，各自承担相应的责任。</w:t>
      </w:r>
    </w:p>
    <w:p w14:paraId="5F626ECF">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第十三条 </w:t>
      </w:r>
      <w:r>
        <w:rPr>
          <w:rFonts w:hint="eastAsia" w:ascii="宋体" w:hAnsi="宋体" w:cs="宋体"/>
          <w:bCs/>
          <w:highlight w:val="none"/>
        </w:rPr>
        <w:t>转让与分包</w:t>
      </w:r>
    </w:p>
    <w:p w14:paraId="695C4208">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除甲方事先书面同意外，乙方不得部分转让或全部转让其应履行的合同义务。</w:t>
      </w:r>
    </w:p>
    <w:p w14:paraId="012D43FA">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13FEEACF">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第十四条 </w:t>
      </w:r>
      <w:r>
        <w:rPr>
          <w:rFonts w:hint="eastAsia" w:ascii="宋体" w:hAnsi="宋体" w:cs="宋体"/>
          <w:bCs/>
          <w:highlight w:val="none"/>
        </w:rPr>
        <w:t>合同文件及资料的使用</w:t>
      </w:r>
    </w:p>
    <w:p w14:paraId="36743F2B">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乙方在未经甲方同意的情况下，不得将合同、合同中的规定、有关计划、图纸、样本或甲方为上述内容向乙方提供的资料透露给任何人。</w:t>
      </w:r>
    </w:p>
    <w:p w14:paraId="2CC5605F">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除非执行合同需要，在事先未得到甲方同意的情况下，乙方不得使用前款所列的任何文件和资料。</w:t>
      </w:r>
    </w:p>
    <w:p w14:paraId="52A5F73B">
      <w:pPr>
        <w:pStyle w:val="2"/>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第十五条 不可抗力事件处理</w:t>
      </w:r>
    </w:p>
    <w:p w14:paraId="20D78CC1">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2CFA383">
      <w:pPr>
        <w:spacing w:line="360" w:lineRule="auto"/>
        <w:ind w:firstLine="420" w:firstLineChars="200"/>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8C5C8D9">
      <w:pPr>
        <w:pStyle w:val="2"/>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第十六条 合同纠纷调处</w:t>
      </w:r>
    </w:p>
    <w:p w14:paraId="352E088D">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.按本合同规定应该偿付的违约金、赔偿金、保管保养费和各种经济损失，应当在明确责任后10天内，按银行规定的结算办法付清，否则按逾期付款处理。</w:t>
      </w:r>
    </w:p>
    <w:p w14:paraId="6118E556">
      <w:pPr>
        <w:spacing w:line="360" w:lineRule="auto"/>
        <w:ind w:firstLine="420" w:firstLineChars="200"/>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highlight w:val="none"/>
          <w:u w:val="single"/>
        </w:rPr>
        <w:t>周口仲裁委员会</w:t>
      </w:r>
      <w:r>
        <w:rPr>
          <w:rFonts w:hint="eastAsia" w:ascii="宋体" w:hAnsi="宋体" w:cs="宋体"/>
          <w:szCs w:val="27"/>
          <w:highlight w:val="none"/>
        </w:rPr>
        <w:t>申请仲裁。②向</w:t>
      </w:r>
      <w:r>
        <w:rPr>
          <w:rFonts w:hint="eastAsia" w:ascii="宋体" w:hAnsi="宋体" w:cs="宋体"/>
          <w:highlight w:val="none"/>
        </w:rPr>
        <w:t>合同签订地有级别管辖权的</w:t>
      </w:r>
      <w:r>
        <w:rPr>
          <w:rFonts w:hint="eastAsia" w:ascii="宋体" w:hAnsi="宋体" w:cs="宋体"/>
          <w:szCs w:val="27"/>
          <w:highlight w:val="none"/>
        </w:rPr>
        <w:t>人民法院起诉。</w:t>
      </w:r>
    </w:p>
    <w:p w14:paraId="5728625C">
      <w:pPr>
        <w:pStyle w:val="2"/>
        <w:kinsoku w:val="0"/>
        <w:overflowPunct w:val="0"/>
        <w:ind w:firstLine="420" w:firstLineChars="200"/>
        <w:rPr>
          <w:rFonts w:ascii="宋体" w:hAnsi="宋体" w:cs="宋体"/>
          <w:b w:val="0"/>
          <w:bCs w:val="0"/>
          <w:kern w:val="2"/>
          <w:sz w:val="21"/>
          <w:szCs w:val="27"/>
          <w:highlight w:val="none"/>
        </w:rPr>
      </w:pPr>
      <w:r>
        <w:rPr>
          <w:rFonts w:hint="eastAsia" w:ascii="宋体" w:hAnsi="宋体" w:cs="宋体"/>
          <w:b w:val="0"/>
          <w:bCs w:val="0"/>
          <w:kern w:val="2"/>
          <w:sz w:val="21"/>
          <w:szCs w:val="27"/>
          <w:highlight w:val="none"/>
        </w:rPr>
        <w:t>3、甲、乙双方均有权利向本项目具有监管职能的政府采购监督管理部门举报反映对方在合同履约中的违法违纪行为。</w:t>
      </w:r>
    </w:p>
    <w:p w14:paraId="48955C5D">
      <w:pPr>
        <w:spacing w:line="360" w:lineRule="auto"/>
        <w:ind w:firstLine="422" w:firstLineChars="200"/>
        <w:rPr>
          <w:rFonts w:ascii="宋体" w:hAnsi="宋体" w:cs="宋体"/>
          <w:b/>
          <w:bCs/>
          <w:szCs w:val="27"/>
          <w:highlight w:val="none"/>
        </w:rPr>
      </w:pPr>
      <w:r>
        <w:rPr>
          <w:rFonts w:hint="eastAsia" w:ascii="宋体" w:hAnsi="宋体" w:cs="宋体"/>
          <w:b/>
          <w:bCs/>
          <w:szCs w:val="27"/>
          <w:highlight w:val="none"/>
        </w:rPr>
        <w:t>第十七条 其他</w:t>
      </w:r>
    </w:p>
    <w:p w14:paraId="237BDDBF">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 </w:t>
      </w:r>
      <w:r>
        <w:rPr>
          <w:rFonts w:hint="eastAsia" w:ascii="宋体" w:hAnsi="宋体" w:cs="宋体"/>
          <w:szCs w:val="27"/>
          <w:highlight w:val="none"/>
        </w:rPr>
        <w:t>下列关于周口市公共资源交易中心政府采购代理机构名称</w:t>
      </w:r>
      <w:r>
        <w:rPr>
          <w:rFonts w:hint="eastAsia" w:ascii="宋体" w:hAnsi="宋体" w:cs="宋体"/>
          <w:szCs w:val="27"/>
          <w:highlight w:val="none"/>
          <w:u w:val="single"/>
        </w:rPr>
        <w:t>某项目（项目编号：某编号）</w:t>
      </w:r>
      <w:r>
        <w:rPr>
          <w:rFonts w:hint="eastAsia" w:ascii="宋体" w:hAnsi="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AD06DF0">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    </w:t>
      </w:r>
      <w:r>
        <w:rPr>
          <w:rFonts w:hint="eastAsia" w:ascii="宋体" w:hAnsi="宋体" w:cs="宋体"/>
          <w:highlight w:val="none"/>
        </w:rPr>
        <w:t>本合同一式</w:t>
      </w:r>
      <w:r>
        <w:rPr>
          <w:rFonts w:hint="eastAsia" w:ascii="宋体" w:hAnsi="宋体" w:cs="宋体"/>
          <w:highlight w:val="none"/>
          <w:u w:val="single"/>
        </w:rPr>
        <w:t xml:space="preserve">   </w:t>
      </w:r>
      <w:r>
        <w:rPr>
          <w:rFonts w:hint="eastAsia" w:ascii="宋体" w:hAnsi="宋体" w:cs="宋体"/>
          <w:highlight w:val="none"/>
        </w:rPr>
        <w:t>份，甲乙双方各执</w:t>
      </w:r>
      <w:r>
        <w:rPr>
          <w:rFonts w:hint="eastAsia" w:ascii="宋体" w:hAnsi="宋体" w:cs="宋体"/>
          <w:highlight w:val="none"/>
          <w:u w:val="single"/>
        </w:rPr>
        <w:t xml:space="preserve">   </w:t>
      </w:r>
      <w:r>
        <w:rPr>
          <w:rFonts w:hint="eastAsia" w:ascii="宋体" w:hAnsi="宋体" w:cs="宋体"/>
          <w:highlight w:val="none"/>
        </w:rPr>
        <w:t>份，自双方当事人签字盖章之日起生效。</w:t>
      </w:r>
    </w:p>
    <w:p w14:paraId="09D934BF">
      <w:pPr>
        <w:spacing w:line="360" w:lineRule="auto"/>
        <w:ind w:firstLine="420" w:firstLineChars="200"/>
        <w:rPr>
          <w:rFonts w:ascii="宋体" w:hAnsi="宋体" w:cs="宋体"/>
          <w:szCs w:val="27"/>
          <w:highlight w:val="none"/>
        </w:rPr>
      </w:pPr>
    </w:p>
    <w:p w14:paraId="4C05B336">
      <w:pPr>
        <w:pStyle w:val="41"/>
        <w:ind w:firstLine="210"/>
        <w:rPr>
          <w:rFonts w:ascii="宋体" w:hAnsi="宋体" w:cs="宋体"/>
          <w:highlight w:val="none"/>
        </w:rPr>
      </w:pPr>
    </w:p>
    <w:p w14:paraId="5EDD4426">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采购人（甲方）：    （公章）           供货人（乙方）：     （公章）  </w:t>
      </w:r>
    </w:p>
    <w:p w14:paraId="3E300B26">
      <w:pPr>
        <w:spacing w:line="360" w:lineRule="auto"/>
        <w:ind w:firstLine="420" w:firstLineChars="200"/>
        <w:rPr>
          <w:rFonts w:ascii="宋体" w:hAnsi="宋体" w:cs="宋体"/>
          <w:highlight w:val="none"/>
        </w:rPr>
      </w:pPr>
      <w:r>
        <w:rPr>
          <w:rFonts w:hint="eastAsia" w:ascii="宋体" w:hAnsi="宋体" w:cs="宋体"/>
          <w:szCs w:val="27"/>
          <w:highlight w:val="none"/>
        </w:rPr>
        <w:t>地址：                               地址：</w:t>
      </w:r>
    </w:p>
    <w:p w14:paraId="51513B72">
      <w:pPr>
        <w:spacing w:line="360" w:lineRule="auto"/>
        <w:ind w:firstLine="420" w:firstLineChars="200"/>
        <w:rPr>
          <w:rFonts w:ascii="宋体" w:hAnsi="宋体" w:cs="宋体"/>
          <w:szCs w:val="27"/>
          <w:highlight w:val="none"/>
        </w:rPr>
      </w:pPr>
      <w:r>
        <w:rPr>
          <w:rFonts w:hint="eastAsia" w:ascii="宋体" w:hAnsi="宋体" w:cs="宋体"/>
          <w:szCs w:val="27"/>
          <w:highlight w:val="none"/>
        </w:rPr>
        <w:t>法定代表人：                         法定代表人：</w:t>
      </w:r>
    </w:p>
    <w:p w14:paraId="7B3D10F7">
      <w:pPr>
        <w:spacing w:line="360" w:lineRule="auto"/>
        <w:ind w:firstLine="420" w:firstLineChars="200"/>
        <w:rPr>
          <w:rFonts w:ascii="宋体" w:hAnsi="宋体" w:cs="宋体"/>
          <w:highlight w:val="none"/>
          <w:u w:val="single"/>
        </w:rPr>
      </w:pPr>
      <w:r>
        <w:rPr>
          <w:rFonts w:hint="eastAsia" w:ascii="宋体" w:hAnsi="宋体" w:cs="宋体"/>
          <w:szCs w:val="27"/>
          <w:highlight w:val="none"/>
        </w:rPr>
        <w:t>委托代理人：                         委托代理人：</w:t>
      </w:r>
    </w:p>
    <w:p w14:paraId="40365D4B">
      <w:pPr>
        <w:spacing w:line="360" w:lineRule="auto"/>
        <w:ind w:firstLine="420" w:firstLineChars="200"/>
        <w:rPr>
          <w:rFonts w:ascii="宋体" w:hAnsi="宋体" w:cs="宋体"/>
          <w:highlight w:val="none"/>
        </w:rPr>
      </w:pPr>
      <w:r>
        <w:rPr>
          <w:rFonts w:hint="eastAsia" w:ascii="宋体" w:hAnsi="宋体" w:cs="宋体"/>
          <w:highlight w:val="none"/>
        </w:rPr>
        <w:t>电话：                               电话：</w:t>
      </w:r>
    </w:p>
    <w:p w14:paraId="57A55312">
      <w:pPr>
        <w:spacing w:line="360" w:lineRule="auto"/>
        <w:ind w:firstLine="420" w:firstLineChars="200"/>
        <w:rPr>
          <w:rFonts w:ascii="宋体" w:hAnsi="宋体" w:cs="宋体"/>
          <w:szCs w:val="27"/>
          <w:highlight w:val="none"/>
        </w:rPr>
      </w:pPr>
      <w:r>
        <w:rPr>
          <w:rFonts w:hint="eastAsia" w:ascii="宋体" w:hAnsi="宋体" w:cs="宋体"/>
          <w:szCs w:val="27"/>
          <w:highlight w:val="none"/>
        </w:rPr>
        <w:t>开户银行：                           开户银行：</w:t>
      </w:r>
    </w:p>
    <w:p w14:paraId="1DB52E6B">
      <w:pPr>
        <w:spacing w:line="360" w:lineRule="auto"/>
        <w:ind w:firstLine="420" w:firstLineChars="200"/>
        <w:rPr>
          <w:rFonts w:ascii="宋体" w:hAnsi="宋体" w:cs="宋体"/>
          <w:highlight w:val="none"/>
        </w:rPr>
      </w:pPr>
      <w:r>
        <w:rPr>
          <w:rFonts w:hint="eastAsia" w:ascii="宋体" w:hAnsi="宋体" w:cs="宋体"/>
          <w:szCs w:val="27"/>
          <w:highlight w:val="none"/>
        </w:rPr>
        <w:t>账号：                               账号：</w:t>
      </w:r>
    </w:p>
    <w:p w14:paraId="5513A3A8">
      <w:pPr>
        <w:spacing w:line="640" w:lineRule="exact"/>
        <w:ind w:firstLine="420" w:firstLineChars="200"/>
        <w:rPr>
          <w:rFonts w:ascii="宋体" w:hAnsi="宋体" w:cs="宋体"/>
          <w:szCs w:val="27"/>
          <w:highlight w:val="none"/>
          <w:u w:val="single"/>
        </w:rPr>
      </w:pPr>
    </w:p>
    <w:p w14:paraId="7A8977D9">
      <w:pPr>
        <w:pStyle w:val="41"/>
        <w:ind w:firstLine="210"/>
        <w:jc w:val="center"/>
        <w:rPr>
          <w:b/>
          <w:sz w:val="32"/>
          <w:szCs w:val="32"/>
          <w:highlight w:val="none"/>
        </w:rPr>
      </w:pPr>
      <w:r>
        <w:rPr>
          <w:rFonts w:hint="eastAsia" w:ascii="宋体" w:hAnsi="宋体" w:cs="宋体"/>
          <w:szCs w:val="27"/>
          <w:highlight w:val="none"/>
          <w:u w:val="single"/>
        </w:rPr>
        <w:t>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 xml:space="preserve">日                      </w:t>
      </w:r>
      <w:r>
        <w:rPr>
          <w:rFonts w:hint="eastAsia" w:ascii="宋体" w:hAnsi="宋体" w:cs="宋体"/>
          <w:szCs w:val="27"/>
          <w:highlight w:val="none"/>
          <w:u w:val="single"/>
        </w:rPr>
        <w:t xml:space="preserve">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日</w:t>
      </w:r>
    </w:p>
    <w:p w14:paraId="56DE733F">
      <w:pPr>
        <w:pStyle w:val="41"/>
        <w:ind w:firstLine="321"/>
        <w:jc w:val="center"/>
        <w:rPr>
          <w:b/>
          <w:sz w:val="32"/>
          <w:szCs w:val="32"/>
          <w:highlight w:val="none"/>
        </w:rPr>
      </w:pPr>
      <w:r>
        <w:rPr>
          <w:rFonts w:hint="eastAsia"/>
          <w:b/>
          <w:sz w:val="32"/>
          <w:szCs w:val="32"/>
          <w:highlight w:val="none"/>
        </w:rPr>
        <w:t>周口市政府采购合同融资政策告知函</w:t>
      </w:r>
    </w:p>
    <w:p w14:paraId="1FD406FB">
      <w:pPr>
        <w:pStyle w:val="41"/>
        <w:ind w:firstLine="240"/>
        <w:rPr>
          <w:rFonts w:asciiTheme="minorEastAsia" w:hAnsiTheme="minorEastAsia" w:eastAsiaTheme="minorEastAsia"/>
          <w:sz w:val="24"/>
          <w:highlight w:val="none"/>
        </w:rPr>
      </w:pPr>
    </w:p>
    <w:p w14:paraId="0E082FA9">
      <w:pPr>
        <w:pStyle w:val="41"/>
        <w:ind w:firstLine="240"/>
        <w:rPr>
          <w:rFonts w:asciiTheme="minorEastAsia" w:hAnsiTheme="minorEastAsia" w:eastAsiaTheme="minorEastAsia"/>
          <w:sz w:val="24"/>
          <w:highlight w:val="none"/>
        </w:rPr>
      </w:pPr>
    </w:p>
    <w:p w14:paraId="620107BF">
      <w:pPr>
        <w:pStyle w:val="41"/>
        <w:ind w:firstLine="240"/>
        <w:rPr>
          <w:rFonts w:asciiTheme="minorEastAsia" w:hAnsiTheme="minorEastAsia" w:eastAsiaTheme="minorEastAsia"/>
          <w:sz w:val="24"/>
          <w:highlight w:val="none"/>
        </w:rPr>
      </w:pPr>
    </w:p>
    <w:p w14:paraId="01674F72">
      <w:pPr>
        <w:pStyle w:val="4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7F8E0639">
      <w:pPr>
        <w:pStyle w:val="4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73CAA36C">
      <w:pPr>
        <w:pStyle w:val="4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934336D">
      <w:pPr>
        <w:pStyle w:val="4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18404FD9">
      <w:pPr>
        <w:pStyle w:val="27"/>
        <w:spacing w:before="0" w:beforeAutospacing="0" w:after="0" w:afterAutospacing="0" w:line="330" w:lineRule="atLeast"/>
        <w:rPr>
          <w:rFonts w:cs="仿宋_GB2312"/>
          <w:b/>
          <w:bCs/>
          <w:color w:val="0000FF"/>
          <w:sz w:val="21"/>
          <w:szCs w:val="21"/>
          <w:highlight w:val="none"/>
        </w:rPr>
      </w:pPr>
    </w:p>
    <w:p w14:paraId="40B779FA">
      <w:pPr>
        <w:pStyle w:val="27"/>
        <w:spacing w:before="0" w:beforeAutospacing="0" w:after="0" w:afterAutospacing="0" w:line="330" w:lineRule="atLeast"/>
        <w:rPr>
          <w:rFonts w:cs="仿宋_GB2312"/>
          <w:b/>
          <w:bCs/>
          <w:color w:val="0000FF"/>
          <w:sz w:val="21"/>
          <w:szCs w:val="21"/>
          <w:highlight w:val="none"/>
        </w:rPr>
      </w:pPr>
    </w:p>
    <w:p w14:paraId="183C33C5">
      <w:pPr>
        <w:pStyle w:val="27"/>
        <w:spacing w:before="0" w:beforeAutospacing="0" w:after="0" w:afterAutospacing="0" w:line="330" w:lineRule="atLeast"/>
        <w:rPr>
          <w:rFonts w:cs="仿宋_GB2312"/>
          <w:b/>
          <w:bCs/>
          <w:color w:val="0000FF"/>
          <w:sz w:val="21"/>
          <w:szCs w:val="21"/>
          <w:highlight w:val="none"/>
        </w:rPr>
      </w:pPr>
    </w:p>
    <w:p w14:paraId="37E20749">
      <w:pPr>
        <w:pStyle w:val="27"/>
        <w:spacing w:before="0" w:beforeAutospacing="0" w:after="0" w:afterAutospacing="0" w:line="330" w:lineRule="atLeast"/>
        <w:rPr>
          <w:rFonts w:cs="仿宋_GB2312"/>
          <w:b/>
          <w:bCs/>
          <w:color w:val="0000FF"/>
          <w:sz w:val="21"/>
          <w:szCs w:val="21"/>
          <w:highlight w:val="none"/>
        </w:rPr>
      </w:pPr>
    </w:p>
    <w:p w14:paraId="085FE3BA">
      <w:pPr>
        <w:pStyle w:val="27"/>
        <w:spacing w:before="0" w:beforeAutospacing="0" w:after="0" w:afterAutospacing="0" w:line="330" w:lineRule="atLeast"/>
        <w:rPr>
          <w:rFonts w:cs="仿宋_GB2312"/>
          <w:b/>
          <w:bCs/>
          <w:color w:val="0000FF"/>
          <w:sz w:val="21"/>
          <w:szCs w:val="21"/>
          <w:highlight w:val="none"/>
        </w:rPr>
      </w:pPr>
    </w:p>
    <w:p w14:paraId="78203EFC">
      <w:pPr>
        <w:pStyle w:val="27"/>
        <w:spacing w:before="0" w:beforeAutospacing="0" w:after="0" w:afterAutospacing="0" w:line="330" w:lineRule="atLeast"/>
        <w:rPr>
          <w:rFonts w:cs="仿宋_GB2312"/>
          <w:b/>
          <w:bCs/>
          <w:color w:val="0000FF"/>
          <w:sz w:val="21"/>
          <w:szCs w:val="21"/>
          <w:highlight w:val="none"/>
        </w:rPr>
      </w:pPr>
    </w:p>
    <w:p w14:paraId="062659B3">
      <w:pPr>
        <w:pStyle w:val="27"/>
        <w:spacing w:before="0" w:beforeAutospacing="0" w:after="0" w:afterAutospacing="0" w:line="330" w:lineRule="atLeast"/>
        <w:rPr>
          <w:rFonts w:cs="仿宋_GB2312"/>
          <w:b/>
          <w:bCs/>
          <w:color w:val="0000FF"/>
          <w:sz w:val="21"/>
          <w:szCs w:val="21"/>
          <w:highlight w:val="none"/>
        </w:rPr>
      </w:pPr>
    </w:p>
    <w:p w14:paraId="14F724CC">
      <w:pPr>
        <w:pStyle w:val="27"/>
        <w:spacing w:before="0" w:beforeAutospacing="0" w:after="0" w:afterAutospacing="0" w:line="330" w:lineRule="atLeast"/>
        <w:rPr>
          <w:rFonts w:cs="仿宋_GB2312"/>
          <w:b/>
          <w:bCs/>
          <w:color w:val="0000FF"/>
          <w:sz w:val="21"/>
          <w:szCs w:val="21"/>
          <w:highlight w:val="none"/>
        </w:rPr>
      </w:pPr>
    </w:p>
    <w:p w14:paraId="57E04E81">
      <w:pPr>
        <w:pStyle w:val="27"/>
        <w:spacing w:before="0" w:beforeAutospacing="0" w:after="0" w:afterAutospacing="0" w:line="330" w:lineRule="atLeast"/>
        <w:rPr>
          <w:rFonts w:cs="仿宋_GB2312"/>
          <w:b/>
          <w:bCs/>
          <w:color w:val="0000FF"/>
          <w:sz w:val="21"/>
          <w:szCs w:val="21"/>
          <w:highlight w:val="none"/>
        </w:rPr>
      </w:pPr>
    </w:p>
    <w:p w14:paraId="46A6A1B1">
      <w:pPr>
        <w:pStyle w:val="27"/>
        <w:spacing w:before="0" w:beforeAutospacing="0" w:after="0" w:afterAutospacing="0" w:line="330" w:lineRule="atLeast"/>
        <w:rPr>
          <w:rFonts w:cs="仿宋_GB2312"/>
          <w:b/>
          <w:bCs/>
          <w:color w:val="0000FF"/>
          <w:sz w:val="21"/>
          <w:szCs w:val="21"/>
          <w:highlight w:val="none"/>
        </w:rPr>
      </w:pPr>
    </w:p>
    <w:p w14:paraId="3EFB33B5">
      <w:pPr>
        <w:pStyle w:val="27"/>
        <w:spacing w:before="0" w:beforeAutospacing="0" w:after="0" w:afterAutospacing="0" w:line="330" w:lineRule="atLeast"/>
        <w:rPr>
          <w:rFonts w:cs="仿宋_GB2312"/>
          <w:b/>
          <w:bCs/>
          <w:color w:val="0000FF"/>
          <w:sz w:val="21"/>
          <w:szCs w:val="21"/>
          <w:highlight w:val="none"/>
        </w:rPr>
      </w:pPr>
    </w:p>
    <w:p w14:paraId="12ABD3D6">
      <w:pPr>
        <w:pStyle w:val="27"/>
        <w:spacing w:before="0" w:beforeAutospacing="0" w:after="0" w:afterAutospacing="0" w:line="330" w:lineRule="atLeast"/>
        <w:rPr>
          <w:rFonts w:cs="仿宋_GB2312"/>
          <w:b/>
          <w:bCs/>
          <w:color w:val="0000FF"/>
          <w:sz w:val="21"/>
          <w:szCs w:val="21"/>
          <w:highlight w:val="none"/>
        </w:rPr>
      </w:pPr>
    </w:p>
    <w:p w14:paraId="6B947510">
      <w:pPr>
        <w:pStyle w:val="27"/>
        <w:spacing w:before="0" w:beforeAutospacing="0" w:after="0" w:afterAutospacing="0" w:line="330" w:lineRule="atLeast"/>
        <w:rPr>
          <w:rFonts w:cs="仿宋_GB2312"/>
          <w:b/>
          <w:bCs/>
          <w:color w:val="0000FF"/>
          <w:sz w:val="21"/>
          <w:szCs w:val="21"/>
          <w:highlight w:val="none"/>
        </w:rPr>
      </w:pPr>
    </w:p>
    <w:p w14:paraId="0622DF07">
      <w:pPr>
        <w:pStyle w:val="41"/>
        <w:ind w:firstLine="210"/>
        <w:rPr>
          <w:highlight w:val="none"/>
        </w:rPr>
      </w:pPr>
    </w:p>
    <w:sectPr>
      <w:pgSz w:w="11907" w:h="16840"/>
      <w:pgMar w:top="1440" w:right="1588" w:bottom="1440" w:left="1588"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华文楷体">
    <w:altName w:val="宋体"/>
    <w:panose1 w:val="02010600040101010101"/>
    <w:charset w:val="86"/>
    <w:family w:val="auto"/>
    <w:pitch w:val="default"/>
    <w:sig w:usb0="00000000" w:usb1="00000000" w:usb2="00000000" w:usb3="00000000" w:csb0="0004009F" w:csb1="DFD7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等线">
    <w:altName w:val="微软雅黑"/>
    <w:panose1 w:val="02010600030101010101"/>
    <w:charset w:val="86"/>
    <w:family w:val="auto"/>
    <w:pitch w:val="default"/>
    <w:sig w:usb0="00000000" w:usb1="00000000" w:usb2="00000016" w:usb3="00000000" w:csb0="0004000F" w:csb1="00000000"/>
  </w:font>
  <w:font w:name="Arial Black">
    <w:panose1 w:val="020B0A04020102020204"/>
    <w:charset w:val="00"/>
    <w:family w:val="swiss"/>
    <w:pitch w:val="default"/>
    <w:sig w:usb0="00000287" w:usb1="00000000" w:usb2="00000000" w:usb3="00000000" w:csb0="2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1B397">
    <w:pPr>
      <w:pStyle w:val="19"/>
    </w:pPr>
    <w:r>
      <w:rPr>
        <w:sz w:val="18"/>
      </w:rPr>
      <w:pict>
        <v:shape id="_x0000_s4099" o:spid="_x0000_s409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274E6B6D">
                <w:pPr>
                  <w:pStyle w:val="19"/>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2A7A7">
    <w:pPr>
      <w:pStyle w:val="21"/>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3D9CF9"/>
    <w:multiLevelType w:val="singleLevel"/>
    <w:tmpl w:val="8E3D9CF9"/>
    <w:lvl w:ilvl="0" w:tentative="0">
      <w:start w:val="2"/>
      <w:numFmt w:val="decimal"/>
      <w:lvlText w:val="%1."/>
      <w:lvlJc w:val="left"/>
      <w:pPr>
        <w:tabs>
          <w:tab w:val="left" w:pos="312"/>
        </w:tabs>
      </w:pPr>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k3MTljMjFmNGQyMDhhMTQ1NzQyNzdkNjAxNGE2NjkifQ=="/>
    <w:docVar w:name="KSO_WPS_MARK_KEY" w:val="54303b05-852d-469c-a882-2ee4ae2cfa35"/>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AE9"/>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52C8"/>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1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07289"/>
    <w:rsid w:val="0081290A"/>
    <w:rsid w:val="008154F8"/>
    <w:rsid w:val="00820E85"/>
    <w:rsid w:val="008249A0"/>
    <w:rsid w:val="008256E0"/>
    <w:rsid w:val="0082787A"/>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A3EA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53E32"/>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227D26"/>
    <w:rsid w:val="01311D17"/>
    <w:rsid w:val="017C3055"/>
    <w:rsid w:val="018B5C56"/>
    <w:rsid w:val="01934780"/>
    <w:rsid w:val="01C86C1D"/>
    <w:rsid w:val="01DF5C17"/>
    <w:rsid w:val="01EC42D0"/>
    <w:rsid w:val="02104022"/>
    <w:rsid w:val="021533E7"/>
    <w:rsid w:val="021A62ED"/>
    <w:rsid w:val="021F6AE2"/>
    <w:rsid w:val="02300221"/>
    <w:rsid w:val="02305D77"/>
    <w:rsid w:val="0243687E"/>
    <w:rsid w:val="026C6D7F"/>
    <w:rsid w:val="027A149C"/>
    <w:rsid w:val="02B07FF7"/>
    <w:rsid w:val="02BA21E0"/>
    <w:rsid w:val="02CA345F"/>
    <w:rsid w:val="02ED333D"/>
    <w:rsid w:val="02F32FFC"/>
    <w:rsid w:val="03092923"/>
    <w:rsid w:val="03196F07"/>
    <w:rsid w:val="034026E5"/>
    <w:rsid w:val="0346264F"/>
    <w:rsid w:val="035166A0"/>
    <w:rsid w:val="03733BDF"/>
    <w:rsid w:val="03A308DC"/>
    <w:rsid w:val="03D5618C"/>
    <w:rsid w:val="03DC636C"/>
    <w:rsid w:val="03EF6322"/>
    <w:rsid w:val="040532BA"/>
    <w:rsid w:val="040B08CC"/>
    <w:rsid w:val="04176582"/>
    <w:rsid w:val="04717837"/>
    <w:rsid w:val="04B32967"/>
    <w:rsid w:val="04BA2023"/>
    <w:rsid w:val="050B6D23"/>
    <w:rsid w:val="051259ED"/>
    <w:rsid w:val="05252CCF"/>
    <w:rsid w:val="053718C6"/>
    <w:rsid w:val="056326BB"/>
    <w:rsid w:val="056401E1"/>
    <w:rsid w:val="05645491"/>
    <w:rsid w:val="05936B68"/>
    <w:rsid w:val="05C0008F"/>
    <w:rsid w:val="05F504EE"/>
    <w:rsid w:val="061E4834"/>
    <w:rsid w:val="06253CC7"/>
    <w:rsid w:val="06287461"/>
    <w:rsid w:val="064B1AAF"/>
    <w:rsid w:val="065D2B7B"/>
    <w:rsid w:val="06C13B3D"/>
    <w:rsid w:val="07041580"/>
    <w:rsid w:val="072010BD"/>
    <w:rsid w:val="07726BE5"/>
    <w:rsid w:val="07932A4C"/>
    <w:rsid w:val="07D93108"/>
    <w:rsid w:val="07F876A6"/>
    <w:rsid w:val="08306015"/>
    <w:rsid w:val="083E11BD"/>
    <w:rsid w:val="08660CC0"/>
    <w:rsid w:val="08703D30"/>
    <w:rsid w:val="088E7A4F"/>
    <w:rsid w:val="08B33959"/>
    <w:rsid w:val="08BB45BC"/>
    <w:rsid w:val="08CC4A1B"/>
    <w:rsid w:val="08DB1CFF"/>
    <w:rsid w:val="09066CD0"/>
    <w:rsid w:val="090F7700"/>
    <w:rsid w:val="092E1232"/>
    <w:rsid w:val="095C6D8E"/>
    <w:rsid w:val="096D2F3E"/>
    <w:rsid w:val="098761CE"/>
    <w:rsid w:val="09885527"/>
    <w:rsid w:val="0989722B"/>
    <w:rsid w:val="09A92667"/>
    <w:rsid w:val="09C23374"/>
    <w:rsid w:val="09D65411"/>
    <w:rsid w:val="09E813E1"/>
    <w:rsid w:val="09EF6C13"/>
    <w:rsid w:val="0A261F09"/>
    <w:rsid w:val="0A2F0DBE"/>
    <w:rsid w:val="0A481E7F"/>
    <w:rsid w:val="0A9E30AD"/>
    <w:rsid w:val="0AA51080"/>
    <w:rsid w:val="0AB4794F"/>
    <w:rsid w:val="0AC105A6"/>
    <w:rsid w:val="0AC736EC"/>
    <w:rsid w:val="0AEE2A27"/>
    <w:rsid w:val="0B226B74"/>
    <w:rsid w:val="0B867103"/>
    <w:rsid w:val="0B93537C"/>
    <w:rsid w:val="0BAE62C0"/>
    <w:rsid w:val="0BBA0B5B"/>
    <w:rsid w:val="0BD0037E"/>
    <w:rsid w:val="0BE35ECF"/>
    <w:rsid w:val="0BEB3B44"/>
    <w:rsid w:val="0C0644C0"/>
    <w:rsid w:val="0C4F74F5"/>
    <w:rsid w:val="0C505731"/>
    <w:rsid w:val="0C522BFB"/>
    <w:rsid w:val="0C7B02EA"/>
    <w:rsid w:val="0CB8153E"/>
    <w:rsid w:val="0CBB4B8B"/>
    <w:rsid w:val="0CC2416B"/>
    <w:rsid w:val="0CCA3020"/>
    <w:rsid w:val="0D417345"/>
    <w:rsid w:val="0D4234FE"/>
    <w:rsid w:val="0DC32327"/>
    <w:rsid w:val="0DC54782"/>
    <w:rsid w:val="0DD405FA"/>
    <w:rsid w:val="0DDC1DC5"/>
    <w:rsid w:val="0E3C1CFB"/>
    <w:rsid w:val="0E470868"/>
    <w:rsid w:val="0E4D1706"/>
    <w:rsid w:val="0E590AFF"/>
    <w:rsid w:val="0E745939"/>
    <w:rsid w:val="0EA31D7A"/>
    <w:rsid w:val="0EDB4DDC"/>
    <w:rsid w:val="0EF425D6"/>
    <w:rsid w:val="0F6634D4"/>
    <w:rsid w:val="0F9F2542"/>
    <w:rsid w:val="0FDF5034"/>
    <w:rsid w:val="100131FC"/>
    <w:rsid w:val="10141182"/>
    <w:rsid w:val="10234F21"/>
    <w:rsid w:val="10280789"/>
    <w:rsid w:val="103435D2"/>
    <w:rsid w:val="10753CA3"/>
    <w:rsid w:val="107B4D5D"/>
    <w:rsid w:val="10855BDB"/>
    <w:rsid w:val="10A67900"/>
    <w:rsid w:val="10AB7932"/>
    <w:rsid w:val="10D62AA4"/>
    <w:rsid w:val="10F93ED3"/>
    <w:rsid w:val="112F78F5"/>
    <w:rsid w:val="11613351"/>
    <w:rsid w:val="11844488"/>
    <w:rsid w:val="11B36778"/>
    <w:rsid w:val="12080872"/>
    <w:rsid w:val="12103BCB"/>
    <w:rsid w:val="126A32DB"/>
    <w:rsid w:val="12C0739F"/>
    <w:rsid w:val="13070B2A"/>
    <w:rsid w:val="1351688D"/>
    <w:rsid w:val="13517FF7"/>
    <w:rsid w:val="13533D6F"/>
    <w:rsid w:val="13552B79"/>
    <w:rsid w:val="13561AB1"/>
    <w:rsid w:val="13793DF7"/>
    <w:rsid w:val="137D5290"/>
    <w:rsid w:val="137E7A43"/>
    <w:rsid w:val="13E23345"/>
    <w:rsid w:val="13FB7F63"/>
    <w:rsid w:val="141C4A83"/>
    <w:rsid w:val="14214AFF"/>
    <w:rsid w:val="14354A58"/>
    <w:rsid w:val="144E2788"/>
    <w:rsid w:val="1451054A"/>
    <w:rsid w:val="14677422"/>
    <w:rsid w:val="146A4FD5"/>
    <w:rsid w:val="147A17CF"/>
    <w:rsid w:val="148B12E6"/>
    <w:rsid w:val="149522B6"/>
    <w:rsid w:val="149C34F4"/>
    <w:rsid w:val="14DE58BA"/>
    <w:rsid w:val="152E6B10"/>
    <w:rsid w:val="15311E8E"/>
    <w:rsid w:val="15437E13"/>
    <w:rsid w:val="154C6CC8"/>
    <w:rsid w:val="15593193"/>
    <w:rsid w:val="156C736A"/>
    <w:rsid w:val="157C1645"/>
    <w:rsid w:val="1585042C"/>
    <w:rsid w:val="1598015F"/>
    <w:rsid w:val="159D5775"/>
    <w:rsid w:val="15BF1042"/>
    <w:rsid w:val="15D47D5A"/>
    <w:rsid w:val="15FA2BC8"/>
    <w:rsid w:val="16041350"/>
    <w:rsid w:val="160C6457"/>
    <w:rsid w:val="161B48EC"/>
    <w:rsid w:val="161C0D90"/>
    <w:rsid w:val="16282019"/>
    <w:rsid w:val="16353AA0"/>
    <w:rsid w:val="16421E79"/>
    <w:rsid w:val="164B6F7F"/>
    <w:rsid w:val="1656732A"/>
    <w:rsid w:val="16571DC8"/>
    <w:rsid w:val="169F376F"/>
    <w:rsid w:val="16A62408"/>
    <w:rsid w:val="16BA4105"/>
    <w:rsid w:val="17215529"/>
    <w:rsid w:val="175B58E8"/>
    <w:rsid w:val="1783656C"/>
    <w:rsid w:val="17944956"/>
    <w:rsid w:val="179A1DFB"/>
    <w:rsid w:val="17C117AD"/>
    <w:rsid w:val="17E10BD4"/>
    <w:rsid w:val="17E86A50"/>
    <w:rsid w:val="180513B0"/>
    <w:rsid w:val="181939B9"/>
    <w:rsid w:val="183323C1"/>
    <w:rsid w:val="18952734"/>
    <w:rsid w:val="18A60DE5"/>
    <w:rsid w:val="18D74DC1"/>
    <w:rsid w:val="18EB2C9C"/>
    <w:rsid w:val="18F57676"/>
    <w:rsid w:val="195E16BF"/>
    <w:rsid w:val="197C38F7"/>
    <w:rsid w:val="19A60971"/>
    <w:rsid w:val="19ED659F"/>
    <w:rsid w:val="1A2024D1"/>
    <w:rsid w:val="1A6C12ED"/>
    <w:rsid w:val="1A8618F5"/>
    <w:rsid w:val="1A9D7FC6"/>
    <w:rsid w:val="1AA94BBC"/>
    <w:rsid w:val="1AE259D8"/>
    <w:rsid w:val="1AE34745"/>
    <w:rsid w:val="1AED58EF"/>
    <w:rsid w:val="1B057C4F"/>
    <w:rsid w:val="1B3501FE"/>
    <w:rsid w:val="1B561B37"/>
    <w:rsid w:val="1B960FA2"/>
    <w:rsid w:val="1BF51B10"/>
    <w:rsid w:val="1C2362A8"/>
    <w:rsid w:val="1C273FEB"/>
    <w:rsid w:val="1C424981"/>
    <w:rsid w:val="1C5A7422"/>
    <w:rsid w:val="1C940F54"/>
    <w:rsid w:val="1C9A2A0F"/>
    <w:rsid w:val="1CA078F9"/>
    <w:rsid w:val="1CA473E9"/>
    <w:rsid w:val="1CA76EDA"/>
    <w:rsid w:val="1CB12360"/>
    <w:rsid w:val="1CC82894"/>
    <w:rsid w:val="1CDC777D"/>
    <w:rsid w:val="1CFA2F29"/>
    <w:rsid w:val="1D747E59"/>
    <w:rsid w:val="1DB01DBE"/>
    <w:rsid w:val="1DB7314C"/>
    <w:rsid w:val="1DCA7323"/>
    <w:rsid w:val="1E430E84"/>
    <w:rsid w:val="1E4F7829"/>
    <w:rsid w:val="1E7159F1"/>
    <w:rsid w:val="1E982F7E"/>
    <w:rsid w:val="1EA3498E"/>
    <w:rsid w:val="1EBB0A1A"/>
    <w:rsid w:val="1EBF4137"/>
    <w:rsid w:val="1EFC175F"/>
    <w:rsid w:val="1F132604"/>
    <w:rsid w:val="1F1C595D"/>
    <w:rsid w:val="1F397F3B"/>
    <w:rsid w:val="1F3A0BB5"/>
    <w:rsid w:val="1F5A46D7"/>
    <w:rsid w:val="1F78690B"/>
    <w:rsid w:val="1FA92FCB"/>
    <w:rsid w:val="1FAB4B1F"/>
    <w:rsid w:val="1FB50AD1"/>
    <w:rsid w:val="1FBC7140"/>
    <w:rsid w:val="1FC252A5"/>
    <w:rsid w:val="20193BC8"/>
    <w:rsid w:val="202D76F6"/>
    <w:rsid w:val="204F3B10"/>
    <w:rsid w:val="20601879"/>
    <w:rsid w:val="2063580D"/>
    <w:rsid w:val="206C021E"/>
    <w:rsid w:val="20981EA4"/>
    <w:rsid w:val="20A51947"/>
    <w:rsid w:val="20EC5803"/>
    <w:rsid w:val="20F36B91"/>
    <w:rsid w:val="21222FD3"/>
    <w:rsid w:val="21747CD2"/>
    <w:rsid w:val="21751354"/>
    <w:rsid w:val="2177331E"/>
    <w:rsid w:val="218617B3"/>
    <w:rsid w:val="219A700D"/>
    <w:rsid w:val="21ED67BC"/>
    <w:rsid w:val="21EF55AB"/>
    <w:rsid w:val="220D398C"/>
    <w:rsid w:val="22721109"/>
    <w:rsid w:val="22EA32EC"/>
    <w:rsid w:val="22F4099F"/>
    <w:rsid w:val="22FD3CF7"/>
    <w:rsid w:val="2301566F"/>
    <w:rsid w:val="23242385"/>
    <w:rsid w:val="23290648"/>
    <w:rsid w:val="23384D2F"/>
    <w:rsid w:val="234731C4"/>
    <w:rsid w:val="23825FAA"/>
    <w:rsid w:val="23B00D6A"/>
    <w:rsid w:val="23CB7951"/>
    <w:rsid w:val="240B2444"/>
    <w:rsid w:val="24165293"/>
    <w:rsid w:val="24634583"/>
    <w:rsid w:val="24727DCD"/>
    <w:rsid w:val="24822706"/>
    <w:rsid w:val="2482721D"/>
    <w:rsid w:val="2483647E"/>
    <w:rsid w:val="24A10BF5"/>
    <w:rsid w:val="24D70B68"/>
    <w:rsid w:val="24FB6014"/>
    <w:rsid w:val="2519649B"/>
    <w:rsid w:val="251E2F40"/>
    <w:rsid w:val="25203CCD"/>
    <w:rsid w:val="2584600A"/>
    <w:rsid w:val="258C3110"/>
    <w:rsid w:val="25DF5936"/>
    <w:rsid w:val="25E46AA9"/>
    <w:rsid w:val="26223BC6"/>
    <w:rsid w:val="262525E5"/>
    <w:rsid w:val="26483AF9"/>
    <w:rsid w:val="264E6012"/>
    <w:rsid w:val="26802C75"/>
    <w:rsid w:val="26AB07CC"/>
    <w:rsid w:val="26C03072"/>
    <w:rsid w:val="26E86A6C"/>
    <w:rsid w:val="26F62F37"/>
    <w:rsid w:val="275D2FB6"/>
    <w:rsid w:val="27610678"/>
    <w:rsid w:val="27873B8F"/>
    <w:rsid w:val="28593D52"/>
    <w:rsid w:val="285E0D94"/>
    <w:rsid w:val="287B63A6"/>
    <w:rsid w:val="28887BBF"/>
    <w:rsid w:val="28F25980"/>
    <w:rsid w:val="28F33BD2"/>
    <w:rsid w:val="29023E15"/>
    <w:rsid w:val="292A336C"/>
    <w:rsid w:val="29613C02"/>
    <w:rsid w:val="297E7214"/>
    <w:rsid w:val="29A0718A"/>
    <w:rsid w:val="29BD5D4E"/>
    <w:rsid w:val="29DD218D"/>
    <w:rsid w:val="29DD2CB3"/>
    <w:rsid w:val="2A111E36"/>
    <w:rsid w:val="2A383867"/>
    <w:rsid w:val="2A397C18"/>
    <w:rsid w:val="2A5015D5"/>
    <w:rsid w:val="2AA44A58"/>
    <w:rsid w:val="2AB729DE"/>
    <w:rsid w:val="2AB949A8"/>
    <w:rsid w:val="2AF27EBA"/>
    <w:rsid w:val="2AF63392"/>
    <w:rsid w:val="2B856638"/>
    <w:rsid w:val="2BA2368E"/>
    <w:rsid w:val="2BA67492"/>
    <w:rsid w:val="2BDA1BE3"/>
    <w:rsid w:val="2C0343BA"/>
    <w:rsid w:val="2C047EA4"/>
    <w:rsid w:val="2C66791C"/>
    <w:rsid w:val="2C673F8F"/>
    <w:rsid w:val="2C6B1CD2"/>
    <w:rsid w:val="2CB41783"/>
    <w:rsid w:val="2CC338BC"/>
    <w:rsid w:val="2CE00E0B"/>
    <w:rsid w:val="2D221D01"/>
    <w:rsid w:val="2D360531"/>
    <w:rsid w:val="2D531028"/>
    <w:rsid w:val="2D676A80"/>
    <w:rsid w:val="2D7352E2"/>
    <w:rsid w:val="2D7A3266"/>
    <w:rsid w:val="2DA134D1"/>
    <w:rsid w:val="2DCE2518"/>
    <w:rsid w:val="2DD41AF8"/>
    <w:rsid w:val="2DD9710F"/>
    <w:rsid w:val="2DDB4C35"/>
    <w:rsid w:val="2DE0224B"/>
    <w:rsid w:val="2DE53D06"/>
    <w:rsid w:val="2DFB7085"/>
    <w:rsid w:val="2E591C0D"/>
    <w:rsid w:val="2E8E1A42"/>
    <w:rsid w:val="2EAA4B78"/>
    <w:rsid w:val="2EC95935"/>
    <w:rsid w:val="2F097580"/>
    <w:rsid w:val="2F5F2B72"/>
    <w:rsid w:val="2F7E1D1C"/>
    <w:rsid w:val="2F932167"/>
    <w:rsid w:val="2F9B467C"/>
    <w:rsid w:val="2FAA0D63"/>
    <w:rsid w:val="2FC17E5A"/>
    <w:rsid w:val="2FCA6D0F"/>
    <w:rsid w:val="2FD01CE8"/>
    <w:rsid w:val="30C212F0"/>
    <w:rsid w:val="30D512C0"/>
    <w:rsid w:val="30D77936"/>
    <w:rsid w:val="30E20088"/>
    <w:rsid w:val="30E50629"/>
    <w:rsid w:val="312513B2"/>
    <w:rsid w:val="312863E3"/>
    <w:rsid w:val="31787686"/>
    <w:rsid w:val="31853836"/>
    <w:rsid w:val="31995893"/>
    <w:rsid w:val="31B042BF"/>
    <w:rsid w:val="31BB3E93"/>
    <w:rsid w:val="31DE2F46"/>
    <w:rsid w:val="31E85B72"/>
    <w:rsid w:val="31F12401"/>
    <w:rsid w:val="31FE5396"/>
    <w:rsid w:val="31FF5F72"/>
    <w:rsid w:val="32035D60"/>
    <w:rsid w:val="32195D2C"/>
    <w:rsid w:val="321B3C68"/>
    <w:rsid w:val="323F1C36"/>
    <w:rsid w:val="32466BB1"/>
    <w:rsid w:val="325154C6"/>
    <w:rsid w:val="326E6953"/>
    <w:rsid w:val="32847649"/>
    <w:rsid w:val="32961BEB"/>
    <w:rsid w:val="32967883"/>
    <w:rsid w:val="32C71C2C"/>
    <w:rsid w:val="32E427DE"/>
    <w:rsid w:val="32EC3440"/>
    <w:rsid w:val="33055DF4"/>
    <w:rsid w:val="33482D6D"/>
    <w:rsid w:val="33523A32"/>
    <w:rsid w:val="339B7340"/>
    <w:rsid w:val="33DA636A"/>
    <w:rsid w:val="33EA25D1"/>
    <w:rsid w:val="33F848B7"/>
    <w:rsid w:val="342521E3"/>
    <w:rsid w:val="34366616"/>
    <w:rsid w:val="345D2848"/>
    <w:rsid w:val="34637732"/>
    <w:rsid w:val="346C2A8B"/>
    <w:rsid w:val="34943D90"/>
    <w:rsid w:val="349A13A6"/>
    <w:rsid w:val="34B524C1"/>
    <w:rsid w:val="34D60CBB"/>
    <w:rsid w:val="34E341D7"/>
    <w:rsid w:val="34FC75A6"/>
    <w:rsid w:val="35030C9C"/>
    <w:rsid w:val="353C4230"/>
    <w:rsid w:val="35A23F2B"/>
    <w:rsid w:val="35E85214"/>
    <w:rsid w:val="360311CD"/>
    <w:rsid w:val="360D7E33"/>
    <w:rsid w:val="362C7056"/>
    <w:rsid w:val="3659703F"/>
    <w:rsid w:val="36857E34"/>
    <w:rsid w:val="36943C7E"/>
    <w:rsid w:val="36B71ED4"/>
    <w:rsid w:val="36B85B13"/>
    <w:rsid w:val="36D23A94"/>
    <w:rsid w:val="36D30B9F"/>
    <w:rsid w:val="36F56D67"/>
    <w:rsid w:val="372D6D42"/>
    <w:rsid w:val="37405933"/>
    <w:rsid w:val="37607F59"/>
    <w:rsid w:val="376940D0"/>
    <w:rsid w:val="3790083E"/>
    <w:rsid w:val="37AE7F63"/>
    <w:rsid w:val="37B370E4"/>
    <w:rsid w:val="38204506"/>
    <w:rsid w:val="386677F1"/>
    <w:rsid w:val="38AF73EA"/>
    <w:rsid w:val="38D95136"/>
    <w:rsid w:val="38DC4FA1"/>
    <w:rsid w:val="38ED03A5"/>
    <w:rsid w:val="38FB1FB4"/>
    <w:rsid w:val="391D25A6"/>
    <w:rsid w:val="39243934"/>
    <w:rsid w:val="39321D68"/>
    <w:rsid w:val="393517E8"/>
    <w:rsid w:val="393C475A"/>
    <w:rsid w:val="3942025E"/>
    <w:rsid w:val="396170BB"/>
    <w:rsid w:val="39736669"/>
    <w:rsid w:val="39D4535A"/>
    <w:rsid w:val="3A1C460B"/>
    <w:rsid w:val="3A26548A"/>
    <w:rsid w:val="3A612966"/>
    <w:rsid w:val="3A777A93"/>
    <w:rsid w:val="3A944AE9"/>
    <w:rsid w:val="3AC16F61"/>
    <w:rsid w:val="3ACA2C02"/>
    <w:rsid w:val="3ACC1BCC"/>
    <w:rsid w:val="3ACC4283"/>
    <w:rsid w:val="3AE80991"/>
    <w:rsid w:val="3B08098E"/>
    <w:rsid w:val="3B693880"/>
    <w:rsid w:val="3B8763FC"/>
    <w:rsid w:val="3B903503"/>
    <w:rsid w:val="3B920829"/>
    <w:rsid w:val="3BAE6CD9"/>
    <w:rsid w:val="3BB84807"/>
    <w:rsid w:val="3BC82C9D"/>
    <w:rsid w:val="3C270B87"/>
    <w:rsid w:val="3C3000ED"/>
    <w:rsid w:val="3C371186"/>
    <w:rsid w:val="3C3C2D43"/>
    <w:rsid w:val="3C5207B8"/>
    <w:rsid w:val="3C7921E9"/>
    <w:rsid w:val="3CBE5E4E"/>
    <w:rsid w:val="3CF25AF7"/>
    <w:rsid w:val="3D141F11"/>
    <w:rsid w:val="3D232399"/>
    <w:rsid w:val="3D2E2D19"/>
    <w:rsid w:val="3D31181A"/>
    <w:rsid w:val="3D485717"/>
    <w:rsid w:val="3DA037A5"/>
    <w:rsid w:val="3DC87CB2"/>
    <w:rsid w:val="3DDC65E6"/>
    <w:rsid w:val="3DDF7E2A"/>
    <w:rsid w:val="3E18158D"/>
    <w:rsid w:val="3E216694"/>
    <w:rsid w:val="3E285C74"/>
    <w:rsid w:val="3E3839DE"/>
    <w:rsid w:val="3E4E3201"/>
    <w:rsid w:val="3E7C38CA"/>
    <w:rsid w:val="3E873BCC"/>
    <w:rsid w:val="3E9055C8"/>
    <w:rsid w:val="3EAD617A"/>
    <w:rsid w:val="3ECF7E9E"/>
    <w:rsid w:val="3ED96F6F"/>
    <w:rsid w:val="3EFB5137"/>
    <w:rsid w:val="3F1749BD"/>
    <w:rsid w:val="3F285800"/>
    <w:rsid w:val="3F2A77CA"/>
    <w:rsid w:val="3F4F365B"/>
    <w:rsid w:val="3F4F5483"/>
    <w:rsid w:val="3F577E93"/>
    <w:rsid w:val="3F6A6789"/>
    <w:rsid w:val="3F7D78FA"/>
    <w:rsid w:val="3F9A5B70"/>
    <w:rsid w:val="3FA56E51"/>
    <w:rsid w:val="3FBB0422"/>
    <w:rsid w:val="3FCC6AD3"/>
    <w:rsid w:val="4050500F"/>
    <w:rsid w:val="40517EBE"/>
    <w:rsid w:val="405C7E57"/>
    <w:rsid w:val="409273D5"/>
    <w:rsid w:val="40AC5344"/>
    <w:rsid w:val="40D27557"/>
    <w:rsid w:val="40D6427E"/>
    <w:rsid w:val="40EF3CF6"/>
    <w:rsid w:val="41093759"/>
    <w:rsid w:val="41263FC1"/>
    <w:rsid w:val="412D35A2"/>
    <w:rsid w:val="412F10C8"/>
    <w:rsid w:val="41380196"/>
    <w:rsid w:val="41415EFF"/>
    <w:rsid w:val="414F52C6"/>
    <w:rsid w:val="41A20564"/>
    <w:rsid w:val="41D026B4"/>
    <w:rsid w:val="41EE4ADF"/>
    <w:rsid w:val="420A5691"/>
    <w:rsid w:val="42213106"/>
    <w:rsid w:val="422E5823"/>
    <w:rsid w:val="425608D6"/>
    <w:rsid w:val="425D589D"/>
    <w:rsid w:val="425F59DD"/>
    <w:rsid w:val="42770F78"/>
    <w:rsid w:val="42935686"/>
    <w:rsid w:val="42982C9D"/>
    <w:rsid w:val="42B6777F"/>
    <w:rsid w:val="42CB6A8E"/>
    <w:rsid w:val="42E3216A"/>
    <w:rsid w:val="43195B8C"/>
    <w:rsid w:val="43574906"/>
    <w:rsid w:val="43640466"/>
    <w:rsid w:val="43D1290A"/>
    <w:rsid w:val="43EA7528"/>
    <w:rsid w:val="4439400C"/>
    <w:rsid w:val="44C47D79"/>
    <w:rsid w:val="44CB55AC"/>
    <w:rsid w:val="44D0671E"/>
    <w:rsid w:val="44D81A76"/>
    <w:rsid w:val="44F22B38"/>
    <w:rsid w:val="44F45243"/>
    <w:rsid w:val="45050ABD"/>
    <w:rsid w:val="45100658"/>
    <w:rsid w:val="451707F1"/>
    <w:rsid w:val="452567EA"/>
    <w:rsid w:val="456B16B7"/>
    <w:rsid w:val="45921C25"/>
    <w:rsid w:val="459260C9"/>
    <w:rsid w:val="45E05087"/>
    <w:rsid w:val="45E16709"/>
    <w:rsid w:val="46207231"/>
    <w:rsid w:val="465313B5"/>
    <w:rsid w:val="4654337F"/>
    <w:rsid w:val="46603AD2"/>
    <w:rsid w:val="46886BA6"/>
    <w:rsid w:val="471A1ED2"/>
    <w:rsid w:val="4743767B"/>
    <w:rsid w:val="474451A1"/>
    <w:rsid w:val="475D052A"/>
    <w:rsid w:val="47777325"/>
    <w:rsid w:val="477E5B11"/>
    <w:rsid w:val="478657BA"/>
    <w:rsid w:val="47C655AE"/>
    <w:rsid w:val="47CA7D9C"/>
    <w:rsid w:val="47CB141F"/>
    <w:rsid w:val="47F46BC7"/>
    <w:rsid w:val="481132D5"/>
    <w:rsid w:val="48524AAD"/>
    <w:rsid w:val="48627FD5"/>
    <w:rsid w:val="48861F15"/>
    <w:rsid w:val="48D72771"/>
    <w:rsid w:val="490552AA"/>
    <w:rsid w:val="49AB59AC"/>
    <w:rsid w:val="49D722FD"/>
    <w:rsid w:val="49EF3AEA"/>
    <w:rsid w:val="4A003601"/>
    <w:rsid w:val="4A0B1FA6"/>
    <w:rsid w:val="4A1277D9"/>
    <w:rsid w:val="4A260766"/>
    <w:rsid w:val="4A5B1180"/>
    <w:rsid w:val="4AB61684"/>
    <w:rsid w:val="4AF528F5"/>
    <w:rsid w:val="4AF869CF"/>
    <w:rsid w:val="4B315A3D"/>
    <w:rsid w:val="4B5C2F33"/>
    <w:rsid w:val="4B5D6832"/>
    <w:rsid w:val="4B7A4CDC"/>
    <w:rsid w:val="4B8225F6"/>
    <w:rsid w:val="4B937D5C"/>
    <w:rsid w:val="4B944C64"/>
    <w:rsid w:val="4C346C1E"/>
    <w:rsid w:val="4C3E2B07"/>
    <w:rsid w:val="4C577725"/>
    <w:rsid w:val="4C63431C"/>
    <w:rsid w:val="4C935807"/>
    <w:rsid w:val="4CAC7A71"/>
    <w:rsid w:val="4CB87FAD"/>
    <w:rsid w:val="4CF22EBA"/>
    <w:rsid w:val="4D091EAA"/>
    <w:rsid w:val="4D153868"/>
    <w:rsid w:val="4D21045F"/>
    <w:rsid w:val="4D471D29"/>
    <w:rsid w:val="4D4C3002"/>
    <w:rsid w:val="4D7F33D7"/>
    <w:rsid w:val="4DA90454"/>
    <w:rsid w:val="4DEA4CF4"/>
    <w:rsid w:val="4E516B22"/>
    <w:rsid w:val="4E79167E"/>
    <w:rsid w:val="4E913FBD"/>
    <w:rsid w:val="4E9F7959"/>
    <w:rsid w:val="4EAA4484"/>
    <w:rsid w:val="4ECF5C98"/>
    <w:rsid w:val="4F245FE4"/>
    <w:rsid w:val="4F6E3703"/>
    <w:rsid w:val="4FAE58AE"/>
    <w:rsid w:val="4FB11A1F"/>
    <w:rsid w:val="4FE15C83"/>
    <w:rsid w:val="4FFA680C"/>
    <w:rsid w:val="502B33A2"/>
    <w:rsid w:val="503E1327"/>
    <w:rsid w:val="50970A38"/>
    <w:rsid w:val="50981A4B"/>
    <w:rsid w:val="50BD3AD5"/>
    <w:rsid w:val="50EF43D0"/>
    <w:rsid w:val="50FF09C9"/>
    <w:rsid w:val="51024103"/>
    <w:rsid w:val="51084354"/>
    <w:rsid w:val="51143E36"/>
    <w:rsid w:val="51411B30"/>
    <w:rsid w:val="5177586B"/>
    <w:rsid w:val="51842D6A"/>
    <w:rsid w:val="519A2E90"/>
    <w:rsid w:val="51A90A23"/>
    <w:rsid w:val="520420FD"/>
    <w:rsid w:val="52390069"/>
    <w:rsid w:val="524F431A"/>
    <w:rsid w:val="52500E9E"/>
    <w:rsid w:val="52861534"/>
    <w:rsid w:val="528D1696"/>
    <w:rsid w:val="52A04D83"/>
    <w:rsid w:val="52AD183E"/>
    <w:rsid w:val="52CB2821"/>
    <w:rsid w:val="52CC5908"/>
    <w:rsid w:val="530879CB"/>
    <w:rsid w:val="53330CBE"/>
    <w:rsid w:val="53A86F0D"/>
    <w:rsid w:val="53B65415"/>
    <w:rsid w:val="53D77AC9"/>
    <w:rsid w:val="53FD0BB2"/>
    <w:rsid w:val="53FF0DCE"/>
    <w:rsid w:val="540957A8"/>
    <w:rsid w:val="542F765C"/>
    <w:rsid w:val="543E06FA"/>
    <w:rsid w:val="54596730"/>
    <w:rsid w:val="546463D8"/>
    <w:rsid w:val="54813591"/>
    <w:rsid w:val="54901A26"/>
    <w:rsid w:val="54914939"/>
    <w:rsid w:val="54B576DE"/>
    <w:rsid w:val="54D04160"/>
    <w:rsid w:val="54D758A7"/>
    <w:rsid w:val="54E34B9A"/>
    <w:rsid w:val="54EB5EC1"/>
    <w:rsid w:val="54F226E1"/>
    <w:rsid w:val="55052414"/>
    <w:rsid w:val="553D1BAE"/>
    <w:rsid w:val="554D13F6"/>
    <w:rsid w:val="55766E6E"/>
    <w:rsid w:val="558F3DC0"/>
    <w:rsid w:val="55997DAA"/>
    <w:rsid w:val="55B94FAC"/>
    <w:rsid w:val="55F3226C"/>
    <w:rsid w:val="56165297"/>
    <w:rsid w:val="56486A5C"/>
    <w:rsid w:val="56B24C1F"/>
    <w:rsid w:val="56CF0F2B"/>
    <w:rsid w:val="56E16569"/>
    <w:rsid w:val="570457DB"/>
    <w:rsid w:val="571C57F3"/>
    <w:rsid w:val="57580486"/>
    <w:rsid w:val="575E462C"/>
    <w:rsid w:val="57C40364"/>
    <w:rsid w:val="57D63BF4"/>
    <w:rsid w:val="57DD1426"/>
    <w:rsid w:val="57DE6E15"/>
    <w:rsid w:val="57E66554"/>
    <w:rsid w:val="57F8000E"/>
    <w:rsid w:val="585711D8"/>
    <w:rsid w:val="587D519F"/>
    <w:rsid w:val="589A7317"/>
    <w:rsid w:val="59444C41"/>
    <w:rsid w:val="59B52E52"/>
    <w:rsid w:val="59B90367"/>
    <w:rsid w:val="59CC347C"/>
    <w:rsid w:val="59DA41E0"/>
    <w:rsid w:val="59F900F6"/>
    <w:rsid w:val="5A0C1C4B"/>
    <w:rsid w:val="5A2375CC"/>
    <w:rsid w:val="5A2424B3"/>
    <w:rsid w:val="5A2F4B9E"/>
    <w:rsid w:val="5A3906A0"/>
    <w:rsid w:val="5A7B6CD4"/>
    <w:rsid w:val="5A9919E3"/>
    <w:rsid w:val="5AAE70AA"/>
    <w:rsid w:val="5ABF12B7"/>
    <w:rsid w:val="5B2A7B0A"/>
    <w:rsid w:val="5B2F58ED"/>
    <w:rsid w:val="5B411CCC"/>
    <w:rsid w:val="5B417B6B"/>
    <w:rsid w:val="5B54373E"/>
    <w:rsid w:val="5B8027F4"/>
    <w:rsid w:val="5B81656C"/>
    <w:rsid w:val="5BA1276A"/>
    <w:rsid w:val="5BC745F2"/>
    <w:rsid w:val="5BCD3B32"/>
    <w:rsid w:val="5BD963A8"/>
    <w:rsid w:val="5C115B42"/>
    <w:rsid w:val="5C1B42CB"/>
    <w:rsid w:val="5C3F7E9C"/>
    <w:rsid w:val="5C5F065B"/>
    <w:rsid w:val="5C6F4617"/>
    <w:rsid w:val="5C982768"/>
    <w:rsid w:val="5CA161B2"/>
    <w:rsid w:val="5CAF68E9"/>
    <w:rsid w:val="5CBC5AAE"/>
    <w:rsid w:val="5CC543A9"/>
    <w:rsid w:val="5CE46DB3"/>
    <w:rsid w:val="5CF27722"/>
    <w:rsid w:val="5D1F7DEB"/>
    <w:rsid w:val="5D3C6BEF"/>
    <w:rsid w:val="5E196F30"/>
    <w:rsid w:val="5E1A1D8F"/>
    <w:rsid w:val="5E2E29DB"/>
    <w:rsid w:val="5E3577AE"/>
    <w:rsid w:val="5E655CD1"/>
    <w:rsid w:val="5EB855B3"/>
    <w:rsid w:val="5ED510A9"/>
    <w:rsid w:val="5EE21916"/>
    <w:rsid w:val="5F0E295E"/>
    <w:rsid w:val="5F1871E8"/>
    <w:rsid w:val="5F1C0A86"/>
    <w:rsid w:val="5F2416E8"/>
    <w:rsid w:val="5F261B1F"/>
    <w:rsid w:val="5F3B6A32"/>
    <w:rsid w:val="5F4417E0"/>
    <w:rsid w:val="5F6E5059"/>
    <w:rsid w:val="5F750196"/>
    <w:rsid w:val="5F88669E"/>
    <w:rsid w:val="5FBA204D"/>
    <w:rsid w:val="5FEB2206"/>
    <w:rsid w:val="5FF23595"/>
    <w:rsid w:val="5FF94923"/>
    <w:rsid w:val="60363DC9"/>
    <w:rsid w:val="605F38FD"/>
    <w:rsid w:val="606C7B8D"/>
    <w:rsid w:val="606F72DB"/>
    <w:rsid w:val="608368E3"/>
    <w:rsid w:val="60AC7F80"/>
    <w:rsid w:val="60C56EFB"/>
    <w:rsid w:val="60D22077"/>
    <w:rsid w:val="60F035F8"/>
    <w:rsid w:val="613E10B3"/>
    <w:rsid w:val="61483DB4"/>
    <w:rsid w:val="61905EB4"/>
    <w:rsid w:val="61D373F6"/>
    <w:rsid w:val="61F03F10"/>
    <w:rsid w:val="61FD4500"/>
    <w:rsid w:val="622A5268"/>
    <w:rsid w:val="622F04A1"/>
    <w:rsid w:val="623C143F"/>
    <w:rsid w:val="623E1776"/>
    <w:rsid w:val="62456183"/>
    <w:rsid w:val="62707B3A"/>
    <w:rsid w:val="62744735"/>
    <w:rsid w:val="62A768B8"/>
    <w:rsid w:val="62B334AF"/>
    <w:rsid w:val="62DF24F6"/>
    <w:rsid w:val="63B05C41"/>
    <w:rsid w:val="63BC45E5"/>
    <w:rsid w:val="63C86026"/>
    <w:rsid w:val="63F0603D"/>
    <w:rsid w:val="64025D70"/>
    <w:rsid w:val="64436AB5"/>
    <w:rsid w:val="645C0879"/>
    <w:rsid w:val="645F787B"/>
    <w:rsid w:val="64741C1C"/>
    <w:rsid w:val="647D689B"/>
    <w:rsid w:val="648C064A"/>
    <w:rsid w:val="649F2599"/>
    <w:rsid w:val="65055B18"/>
    <w:rsid w:val="651641C9"/>
    <w:rsid w:val="655C6080"/>
    <w:rsid w:val="65605444"/>
    <w:rsid w:val="656B3097"/>
    <w:rsid w:val="65742119"/>
    <w:rsid w:val="657F2DFA"/>
    <w:rsid w:val="65A44D2D"/>
    <w:rsid w:val="65B0017A"/>
    <w:rsid w:val="65B0271E"/>
    <w:rsid w:val="65C43C25"/>
    <w:rsid w:val="65EF1521"/>
    <w:rsid w:val="665C4848"/>
    <w:rsid w:val="668A0D6B"/>
    <w:rsid w:val="66AB4942"/>
    <w:rsid w:val="66B94F27"/>
    <w:rsid w:val="66C37A39"/>
    <w:rsid w:val="66DC0AFB"/>
    <w:rsid w:val="66F67E0E"/>
    <w:rsid w:val="67303449"/>
    <w:rsid w:val="679E1DF4"/>
    <w:rsid w:val="67E73776"/>
    <w:rsid w:val="67F85E08"/>
    <w:rsid w:val="68411B87"/>
    <w:rsid w:val="687951D6"/>
    <w:rsid w:val="688431F8"/>
    <w:rsid w:val="68AB69AF"/>
    <w:rsid w:val="68D653C8"/>
    <w:rsid w:val="68D85250"/>
    <w:rsid w:val="68F6059A"/>
    <w:rsid w:val="69470DF5"/>
    <w:rsid w:val="695D23C7"/>
    <w:rsid w:val="696077C1"/>
    <w:rsid w:val="698D4180"/>
    <w:rsid w:val="69AF055A"/>
    <w:rsid w:val="69B51B3F"/>
    <w:rsid w:val="69BF098B"/>
    <w:rsid w:val="69C441F4"/>
    <w:rsid w:val="69F50851"/>
    <w:rsid w:val="69FF522C"/>
    <w:rsid w:val="6A885ED1"/>
    <w:rsid w:val="6AAD6A36"/>
    <w:rsid w:val="6B182A49"/>
    <w:rsid w:val="6B511AB7"/>
    <w:rsid w:val="6B762D04"/>
    <w:rsid w:val="6BE9595D"/>
    <w:rsid w:val="6C660F5A"/>
    <w:rsid w:val="6C8C5F63"/>
    <w:rsid w:val="6CCD1611"/>
    <w:rsid w:val="6CD02EB0"/>
    <w:rsid w:val="6D1A1931"/>
    <w:rsid w:val="6D1F0B58"/>
    <w:rsid w:val="6D321474"/>
    <w:rsid w:val="6D3654A5"/>
    <w:rsid w:val="6D664A01"/>
    <w:rsid w:val="6DA71E62"/>
    <w:rsid w:val="6DB602F7"/>
    <w:rsid w:val="6DDE15FC"/>
    <w:rsid w:val="6DE0518A"/>
    <w:rsid w:val="6DE7336D"/>
    <w:rsid w:val="6E22598D"/>
    <w:rsid w:val="6E3B6A4F"/>
    <w:rsid w:val="6E3F02ED"/>
    <w:rsid w:val="6E7206C2"/>
    <w:rsid w:val="6EB24C26"/>
    <w:rsid w:val="6EBC037B"/>
    <w:rsid w:val="6ED24CBD"/>
    <w:rsid w:val="6EE47BF5"/>
    <w:rsid w:val="6F047014"/>
    <w:rsid w:val="6F0E46F1"/>
    <w:rsid w:val="6F2439FD"/>
    <w:rsid w:val="6F751AEC"/>
    <w:rsid w:val="6FB2689C"/>
    <w:rsid w:val="70075491"/>
    <w:rsid w:val="707F7384"/>
    <w:rsid w:val="709E54A1"/>
    <w:rsid w:val="70D50A94"/>
    <w:rsid w:val="718F6E95"/>
    <w:rsid w:val="71973F9C"/>
    <w:rsid w:val="71A32941"/>
    <w:rsid w:val="71FD0B25"/>
    <w:rsid w:val="720B620B"/>
    <w:rsid w:val="721147C0"/>
    <w:rsid w:val="721A6835"/>
    <w:rsid w:val="72823C75"/>
    <w:rsid w:val="729F75AC"/>
    <w:rsid w:val="72A430EE"/>
    <w:rsid w:val="72A5093A"/>
    <w:rsid w:val="72BE68BD"/>
    <w:rsid w:val="72C708B1"/>
    <w:rsid w:val="72CD6775"/>
    <w:rsid w:val="72EE22E1"/>
    <w:rsid w:val="73075151"/>
    <w:rsid w:val="731F249B"/>
    <w:rsid w:val="739A5FC5"/>
    <w:rsid w:val="73C83C54"/>
    <w:rsid w:val="73D31750"/>
    <w:rsid w:val="74170E85"/>
    <w:rsid w:val="74365CEE"/>
    <w:rsid w:val="74392095"/>
    <w:rsid w:val="7447614D"/>
    <w:rsid w:val="7465554B"/>
    <w:rsid w:val="74975370"/>
    <w:rsid w:val="74AA60C2"/>
    <w:rsid w:val="74DE3871"/>
    <w:rsid w:val="75096F5F"/>
    <w:rsid w:val="751E6757"/>
    <w:rsid w:val="752B3379"/>
    <w:rsid w:val="759321B8"/>
    <w:rsid w:val="75954C96"/>
    <w:rsid w:val="759E1D9D"/>
    <w:rsid w:val="75CD2682"/>
    <w:rsid w:val="75DA08FB"/>
    <w:rsid w:val="75DC35E9"/>
    <w:rsid w:val="75FA2D4B"/>
    <w:rsid w:val="7629538E"/>
    <w:rsid w:val="762F6E99"/>
    <w:rsid w:val="767F69B6"/>
    <w:rsid w:val="769E5BA6"/>
    <w:rsid w:val="77184DE6"/>
    <w:rsid w:val="773D55E5"/>
    <w:rsid w:val="77AE2E62"/>
    <w:rsid w:val="77BE6726"/>
    <w:rsid w:val="77E517D3"/>
    <w:rsid w:val="77ED2E5B"/>
    <w:rsid w:val="77FA11D3"/>
    <w:rsid w:val="77FD1797"/>
    <w:rsid w:val="78120820"/>
    <w:rsid w:val="782C4FAF"/>
    <w:rsid w:val="789E20B4"/>
    <w:rsid w:val="789E6834"/>
    <w:rsid w:val="78AF2513"/>
    <w:rsid w:val="78B443FF"/>
    <w:rsid w:val="78BE4504"/>
    <w:rsid w:val="78ED1F7D"/>
    <w:rsid w:val="78FB3F8B"/>
    <w:rsid w:val="791365FE"/>
    <w:rsid w:val="794A5D98"/>
    <w:rsid w:val="79521FAF"/>
    <w:rsid w:val="795F7FF3"/>
    <w:rsid w:val="797F3C93"/>
    <w:rsid w:val="799534B7"/>
    <w:rsid w:val="79986B03"/>
    <w:rsid w:val="79DD67E6"/>
    <w:rsid w:val="79FA072F"/>
    <w:rsid w:val="7A3C1B84"/>
    <w:rsid w:val="7A545120"/>
    <w:rsid w:val="7A684727"/>
    <w:rsid w:val="7A835A05"/>
    <w:rsid w:val="7AB23BF5"/>
    <w:rsid w:val="7AD26045"/>
    <w:rsid w:val="7AE81103"/>
    <w:rsid w:val="7AEC7106"/>
    <w:rsid w:val="7B095F0A"/>
    <w:rsid w:val="7B25086A"/>
    <w:rsid w:val="7BA72548"/>
    <w:rsid w:val="7BCB1412"/>
    <w:rsid w:val="7BCF79D9"/>
    <w:rsid w:val="7BDA1655"/>
    <w:rsid w:val="7BDE7397"/>
    <w:rsid w:val="7BFF6846"/>
    <w:rsid w:val="7C0304D8"/>
    <w:rsid w:val="7C10151B"/>
    <w:rsid w:val="7C1A4C7A"/>
    <w:rsid w:val="7C2974E5"/>
    <w:rsid w:val="7C444892"/>
    <w:rsid w:val="7C55371E"/>
    <w:rsid w:val="7CAE7448"/>
    <w:rsid w:val="7CB62772"/>
    <w:rsid w:val="7CCD4D16"/>
    <w:rsid w:val="7D6F401F"/>
    <w:rsid w:val="7D9D293A"/>
    <w:rsid w:val="7DBB1012"/>
    <w:rsid w:val="7DF36BF7"/>
    <w:rsid w:val="7DF764EE"/>
    <w:rsid w:val="7E33504C"/>
    <w:rsid w:val="7E543E84"/>
    <w:rsid w:val="7E7F0292"/>
    <w:rsid w:val="7E8A310F"/>
    <w:rsid w:val="7EAC5767"/>
    <w:rsid w:val="7EBC3294"/>
    <w:rsid w:val="7EC90255"/>
    <w:rsid w:val="7EED5B43"/>
    <w:rsid w:val="7EF40C80"/>
    <w:rsid w:val="7F101066"/>
    <w:rsid w:val="7F565496"/>
    <w:rsid w:val="7F620EF8"/>
    <w:rsid w:val="7F822E3C"/>
    <w:rsid w:val="7FED31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qFormat/>
    <w:uiPriority w:val="0"/>
    <w:pPr>
      <w:keepNext/>
      <w:keepLines/>
      <w:spacing w:before="340" w:after="330" w:line="578" w:lineRule="auto"/>
      <w:outlineLvl w:val="0"/>
    </w:pPr>
    <w:rPr>
      <w:b/>
      <w:bCs/>
      <w:kern w:val="44"/>
      <w:sz w:val="44"/>
      <w:szCs w:val="44"/>
    </w:rPr>
  </w:style>
  <w:style w:type="paragraph" w:styleId="3">
    <w:name w:val="heading 2"/>
    <w:basedOn w:val="1"/>
    <w:next w:val="4"/>
    <w:qFormat/>
    <w:uiPriority w:val="0"/>
    <w:pPr>
      <w:spacing w:line="0" w:lineRule="atLeast"/>
      <w:jc w:val="center"/>
      <w:outlineLvl w:val="1"/>
    </w:pPr>
    <w:rPr>
      <w:kern w:val="0"/>
      <w:sz w:val="28"/>
    </w:rPr>
  </w:style>
  <w:style w:type="paragraph" w:styleId="5">
    <w:name w:val="heading 3"/>
    <w:basedOn w:val="1"/>
    <w:next w:val="1"/>
    <w:link w:val="38"/>
    <w:qFormat/>
    <w:uiPriority w:val="0"/>
    <w:pPr>
      <w:keepNext/>
      <w:keepLines/>
      <w:spacing w:before="260" w:after="260" w:line="416" w:lineRule="auto"/>
      <w:outlineLvl w:val="2"/>
    </w:pPr>
    <w:rPr>
      <w:b/>
      <w:bCs/>
      <w:sz w:val="32"/>
      <w:szCs w:val="32"/>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4">
    <w:name w:val="文档正文"/>
    <w:basedOn w:val="1"/>
    <w:qFormat/>
    <w:uiPriority w:val="0"/>
    <w:pPr>
      <w:adjustRightInd w:val="0"/>
      <w:spacing w:line="480" w:lineRule="atLeast"/>
      <w:ind w:firstLine="567"/>
      <w:textAlignment w:val="baseline"/>
    </w:pPr>
    <w:rPr>
      <w:rFonts w:ascii="仿宋_GB2312" w:hAnsi="Times New Roman" w:eastAsia="仿宋_GB2312" w:cs="Times New Roman"/>
      <w:kern w:val="0"/>
      <w:sz w:val="28"/>
      <w:szCs w:val="20"/>
    </w:rPr>
  </w:style>
  <w:style w:type="paragraph" w:styleId="6">
    <w:name w:val="index 8"/>
    <w:basedOn w:val="1"/>
    <w:next w:val="1"/>
    <w:qFormat/>
    <w:uiPriority w:val="0"/>
    <w:pPr>
      <w:ind w:left="1400" w:leftChars="1400"/>
    </w:pPr>
  </w:style>
  <w:style w:type="paragraph" w:styleId="7">
    <w:name w:val="caption"/>
    <w:basedOn w:val="1"/>
    <w:next w:val="1"/>
    <w:qFormat/>
    <w:uiPriority w:val="0"/>
    <w:rPr>
      <w:rFonts w:ascii="Cambria" w:hAnsi="Cambria" w:eastAsia="黑体"/>
      <w:sz w:val="20"/>
    </w:rPr>
  </w:style>
  <w:style w:type="paragraph" w:styleId="8">
    <w:name w:val="Document Map"/>
    <w:basedOn w:val="1"/>
    <w:link w:val="53"/>
    <w:qFormat/>
    <w:uiPriority w:val="0"/>
    <w:rPr>
      <w:rFonts w:ascii="宋体"/>
      <w:sz w:val="18"/>
      <w:szCs w:val="18"/>
    </w:rPr>
  </w:style>
  <w:style w:type="paragraph" w:styleId="9">
    <w:name w:val="annotation text"/>
    <w:basedOn w:val="1"/>
    <w:link w:val="52"/>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2"/>
    <w:link w:val="50"/>
    <w:qFormat/>
    <w:uiPriority w:val="99"/>
    <w:pPr>
      <w:spacing w:after="120"/>
    </w:pPr>
  </w:style>
  <w:style w:type="paragraph" w:customStyle="1" w:styleId="12">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3">
    <w:name w:val="Body Text Indent"/>
    <w:basedOn w:val="1"/>
    <w:next w:val="1"/>
    <w:qFormat/>
    <w:uiPriority w:val="0"/>
    <w:pPr>
      <w:ind w:firstLine="632" w:firstLineChars="200"/>
    </w:pPr>
    <w:rPr>
      <w:rFonts w:ascii="仿宋_GB2312" w:hAnsi="华文楷体" w:eastAsia="仿宋_GB2312"/>
      <w:sz w:val="32"/>
    </w:rPr>
  </w:style>
  <w:style w:type="paragraph" w:styleId="14">
    <w:name w:val="List 2"/>
    <w:basedOn w:val="1"/>
    <w:qFormat/>
    <w:uiPriority w:val="0"/>
    <w:pPr>
      <w:ind w:left="400" w:leftChars="200" w:hanging="200" w:hangingChars="200"/>
    </w:pPr>
  </w:style>
  <w:style w:type="paragraph" w:styleId="15">
    <w:name w:val="Plain Text"/>
    <w:basedOn w:val="1"/>
    <w:link w:val="58"/>
    <w:qFormat/>
    <w:uiPriority w:val="99"/>
    <w:rPr>
      <w:rFonts w:ascii="宋体" w:hAnsi="Courier New"/>
      <w:szCs w:val="20"/>
    </w:rPr>
  </w:style>
  <w:style w:type="paragraph" w:styleId="16">
    <w:name w:val="Date"/>
    <w:basedOn w:val="1"/>
    <w:next w:val="1"/>
    <w:link w:val="54"/>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75"/>
    <w:qFormat/>
    <w:uiPriority w:val="99"/>
    <w:pPr>
      <w:tabs>
        <w:tab w:val="center" w:pos="4153"/>
        <w:tab w:val="right" w:pos="8306"/>
      </w:tabs>
      <w:snapToGrid w:val="0"/>
      <w:jc w:val="left"/>
    </w:pPr>
    <w:rPr>
      <w:sz w:val="18"/>
      <w:szCs w:val="18"/>
    </w:rPr>
  </w:style>
  <w:style w:type="paragraph" w:styleId="20">
    <w:name w:val="envelope return"/>
    <w:basedOn w:val="1"/>
    <w:qFormat/>
    <w:uiPriority w:val="99"/>
    <w:pPr>
      <w:snapToGrid w:val="0"/>
    </w:pPr>
    <w:rPr>
      <w:rFonts w:ascii="Arial" w:hAnsi="Arial"/>
    </w:rPr>
  </w:style>
  <w:style w:type="paragraph" w:styleId="21">
    <w:name w:val="header"/>
    <w:basedOn w:val="1"/>
    <w:link w:val="74"/>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Body Text 2"/>
    <w:basedOn w:val="1"/>
    <w:link w:val="72"/>
    <w:qFormat/>
    <w:uiPriority w:val="0"/>
    <w:pPr>
      <w:spacing w:after="120" w:line="480" w:lineRule="auto"/>
    </w:pPr>
  </w:style>
  <w:style w:type="paragraph" w:styleId="25">
    <w:name w:val="Message Header"/>
    <w:basedOn w:val="1"/>
    <w:next w:val="26"/>
    <w:qFormat/>
    <w:uiPriority w:val="0"/>
    <w:pPr>
      <w:widowControl/>
      <w:shd w:val="pct20" w:color="000000" w:fill="auto"/>
      <w:ind w:left="1080" w:hanging="1080"/>
    </w:pPr>
    <w:rPr>
      <w:rFonts w:ascii="Cambria" w:hAnsi="Cambria" w:eastAsia="Cambria"/>
      <w:sz w:val="24"/>
    </w:rPr>
  </w:style>
  <w:style w:type="paragraph" w:customStyle="1" w:styleId="26">
    <w:name w:val="我的正文"/>
    <w:basedOn w:val="13"/>
    <w:qFormat/>
    <w:uiPriority w:val="0"/>
    <w:pPr>
      <w:spacing w:line="500" w:lineRule="exact"/>
      <w:ind w:firstLine="480" w:firstLineChars="200"/>
    </w:pPr>
    <w:rPr>
      <w:sz w:val="24"/>
    </w:rPr>
  </w:style>
  <w:style w:type="paragraph" w:styleId="27">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8">
    <w:name w:val="Body Text First Indent"/>
    <w:basedOn w:val="11"/>
    <w:next w:val="29"/>
    <w:link w:val="49"/>
    <w:qFormat/>
    <w:uiPriority w:val="0"/>
    <w:pPr>
      <w:ind w:firstLine="420" w:firstLineChars="100"/>
    </w:pPr>
  </w:style>
  <w:style w:type="paragraph" w:styleId="29">
    <w:name w:val="Body Text First Indent 2"/>
    <w:basedOn w:val="13"/>
    <w:next w:val="1"/>
    <w:qFormat/>
    <w:uiPriority w:val="99"/>
    <w:pPr>
      <w:tabs>
        <w:tab w:val="left" w:pos="0"/>
        <w:tab w:val="left" w:pos="993"/>
        <w:tab w:val="left" w:pos="1134"/>
      </w:tabs>
      <w:ind w:firstLine="420"/>
    </w:p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qFormat/>
    <w:uiPriority w:val="22"/>
    <w:rPr>
      <w:b/>
      <w:bCs/>
    </w:rPr>
  </w:style>
  <w:style w:type="character" w:styleId="34">
    <w:name w:val="page number"/>
    <w:basedOn w:val="32"/>
    <w:qFormat/>
    <w:uiPriority w:val="0"/>
  </w:style>
  <w:style w:type="character" w:styleId="35">
    <w:name w:val="FollowedHyperlink"/>
    <w:basedOn w:val="32"/>
    <w:qFormat/>
    <w:uiPriority w:val="0"/>
    <w:rPr>
      <w:color w:val="000000"/>
      <w:u w:val="none"/>
    </w:rPr>
  </w:style>
  <w:style w:type="character" w:styleId="36">
    <w:name w:val="Hyperlink"/>
    <w:qFormat/>
    <w:uiPriority w:val="0"/>
    <w:rPr>
      <w:color w:val="333333"/>
      <w:u w:val="none"/>
    </w:rPr>
  </w:style>
  <w:style w:type="character" w:styleId="37">
    <w:name w:val="annotation reference"/>
    <w:qFormat/>
    <w:uiPriority w:val="99"/>
    <w:rPr>
      <w:sz w:val="21"/>
    </w:rPr>
  </w:style>
  <w:style w:type="character" w:customStyle="1" w:styleId="38">
    <w:name w:val="标题 3 字符"/>
    <w:link w:val="5"/>
    <w:semiHidden/>
    <w:qFormat/>
    <w:uiPriority w:val="0"/>
    <w:rPr>
      <w:b/>
      <w:bCs/>
      <w:kern w:val="2"/>
      <w:sz w:val="32"/>
      <w:szCs w:val="32"/>
    </w:rPr>
  </w:style>
  <w:style w:type="paragraph" w:customStyle="1" w:styleId="39">
    <w:name w:val="无间隔1"/>
    <w:next w:val="7"/>
    <w:qFormat/>
    <w:uiPriority w:val="0"/>
    <w:pPr>
      <w:widowControl w:val="0"/>
      <w:jc w:val="both"/>
    </w:pPr>
    <w:rPr>
      <w:rFonts w:ascii="Calibri" w:hAnsi="Calibri" w:eastAsia="宋体" w:cs="Times New Roman"/>
      <w:kern w:val="2"/>
      <w:sz w:val="21"/>
      <w:szCs w:val="22"/>
      <w:lang w:val="en-US" w:eastAsia="zh-CN" w:bidi="ar-SA"/>
    </w:rPr>
  </w:style>
  <w:style w:type="paragraph" w:customStyle="1" w:styleId="40">
    <w:name w:val="Body Text 21"/>
    <w:basedOn w:val="1"/>
    <w:next w:val="11"/>
    <w:qFormat/>
    <w:uiPriority w:val="0"/>
    <w:rPr>
      <w:rFonts w:ascii="ˎ̥" w:hAnsi="ˎ̥" w:cs="宋体"/>
      <w:b/>
      <w:sz w:val="32"/>
    </w:rPr>
  </w:style>
  <w:style w:type="paragraph" w:customStyle="1" w:styleId="41">
    <w:name w:val="BodyText1I"/>
    <w:basedOn w:val="42"/>
    <w:qFormat/>
    <w:uiPriority w:val="99"/>
    <w:pPr>
      <w:ind w:firstLine="420" w:firstLineChars="100"/>
    </w:pPr>
  </w:style>
  <w:style w:type="paragraph" w:customStyle="1" w:styleId="42">
    <w:name w:val="BodyText"/>
    <w:basedOn w:val="1"/>
    <w:qFormat/>
    <w:uiPriority w:val="99"/>
    <w:pPr>
      <w:spacing w:after="120"/>
    </w:pPr>
  </w:style>
  <w:style w:type="paragraph" w:customStyle="1" w:styleId="43">
    <w:name w:val="Char Char10 Char Char Char Char"/>
    <w:basedOn w:val="1"/>
    <w:next w:val="44"/>
    <w:qFormat/>
    <w:uiPriority w:val="0"/>
    <w:rPr>
      <w:rFonts w:ascii="Times New Roman" w:hAnsi="Times New Roman" w:eastAsia="宋体" w:cs="Times New Roman"/>
    </w:rPr>
  </w:style>
  <w:style w:type="paragraph" w:customStyle="1" w:styleId="44">
    <w:name w:val="xl87"/>
    <w:basedOn w:val="1"/>
    <w:next w:val="45"/>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0"/>
    </w:rPr>
  </w:style>
  <w:style w:type="paragraph" w:customStyle="1" w:styleId="45">
    <w:name w:val="xl72"/>
    <w:basedOn w:val="1"/>
    <w:next w:val="16"/>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仿宋_GB2312" w:hAnsi="宋体" w:eastAsia="仿宋_GB2312" w:cs="宋体"/>
      <w:kern w:val="0"/>
      <w:sz w:val="20"/>
    </w:rPr>
  </w:style>
  <w:style w:type="character" w:customStyle="1" w:styleId="46">
    <w:name w:val="font231"/>
    <w:qFormat/>
    <w:uiPriority w:val="0"/>
    <w:rPr>
      <w:rFonts w:hint="eastAsia" w:ascii="宋体" w:hAnsi="宋体" w:eastAsia="宋体" w:cs="宋体"/>
      <w:color w:val="000000"/>
      <w:sz w:val="22"/>
      <w:szCs w:val="22"/>
      <w:u w:val="none"/>
    </w:rPr>
  </w:style>
  <w:style w:type="character" w:customStyle="1" w:styleId="47">
    <w:name w:val="font11"/>
    <w:qFormat/>
    <w:uiPriority w:val="0"/>
    <w:rPr>
      <w:rFonts w:hint="default" w:ascii="Times New Roman" w:hAnsi="Times New Roman" w:cs="Times New Roman"/>
      <w:color w:val="000000"/>
      <w:sz w:val="18"/>
      <w:szCs w:val="18"/>
      <w:u w:val="none"/>
    </w:rPr>
  </w:style>
  <w:style w:type="character" w:customStyle="1" w:styleId="48">
    <w:name w:val="font191"/>
    <w:qFormat/>
    <w:uiPriority w:val="0"/>
    <w:rPr>
      <w:rFonts w:hint="default" w:ascii="Calibri" w:hAnsi="Calibri" w:cs="Calibri"/>
      <w:color w:val="000000"/>
      <w:sz w:val="22"/>
      <w:szCs w:val="22"/>
      <w:u w:val="none"/>
    </w:rPr>
  </w:style>
  <w:style w:type="character" w:customStyle="1" w:styleId="49">
    <w:name w:val="正文文本首行缩进 字符"/>
    <w:link w:val="28"/>
    <w:qFormat/>
    <w:uiPriority w:val="0"/>
    <w:rPr>
      <w:kern w:val="2"/>
      <w:sz w:val="21"/>
      <w:szCs w:val="24"/>
    </w:rPr>
  </w:style>
  <w:style w:type="character" w:customStyle="1" w:styleId="50">
    <w:name w:val="正文文本 字符"/>
    <w:link w:val="11"/>
    <w:qFormat/>
    <w:uiPriority w:val="99"/>
    <w:rPr>
      <w:kern w:val="2"/>
      <w:sz w:val="21"/>
      <w:szCs w:val="24"/>
    </w:rPr>
  </w:style>
  <w:style w:type="character" w:customStyle="1" w:styleId="51">
    <w:name w:val="font151"/>
    <w:qFormat/>
    <w:uiPriority w:val="0"/>
    <w:rPr>
      <w:rFonts w:hint="default" w:ascii="Calibri" w:hAnsi="Calibri" w:cs="Calibri"/>
      <w:color w:val="000000"/>
      <w:sz w:val="22"/>
      <w:szCs w:val="22"/>
      <w:u w:val="none"/>
    </w:rPr>
  </w:style>
  <w:style w:type="character" w:customStyle="1" w:styleId="52">
    <w:name w:val="批注文字 字符"/>
    <w:link w:val="9"/>
    <w:qFormat/>
    <w:uiPriority w:val="0"/>
    <w:rPr>
      <w:kern w:val="2"/>
      <w:sz w:val="21"/>
      <w:szCs w:val="24"/>
    </w:rPr>
  </w:style>
  <w:style w:type="character" w:customStyle="1" w:styleId="53">
    <w:name w:val="文档结构图 字符"/>
    <w:link w:val="8"/>
    <w:qFormat/>
    <w:uiPriority w:val="0"/>
    <w:rPr>
      <w:rFonts w:ascii="宋体"/>
      <w:kern w:val="2"/>
      <w:sz w:val="18"/>
      <w:szCs w:val="18"/>
    </w:rPr>
  </w:style>
  <w:style w:type="character" w:customStyle="1" w:styleId="54">
    <w:name w:val="日期 字符"/>
    <w:link w:val="16"/>
    <w:qFormat/>
    <w:uiPriority w:val="0"/>
    <w:rPr>
      <w:kern w:val="2"/>
      <w:sz w:val="21"/>
      <w:szCs w:val="24"/>
    </w:rPr>
  </w:style>
  <w:style w:type="character" w:customStyle="1" w:styleId="55">
    <w:name w:val="font221"/>
    <w:qFormat/>
    <w:uiPriority w:val="0"/>
    <w:rPr>
      <w:rFonts w:hint="eastAsia" w:ascii="宋体" w:hAnsi="宋体" w:eastAsia="宋体" w:cs="宋体"/>
      <w:color w:val="000000"/>
      <w:sz w:val="20"/>
      <w:szCs w:val="20"/>
      <w:u w:val="none"/>
    </w:rPr>
  </w:style>
  <w:style w:type="character" w:customStyle="1" w:styleId="56">
    <w:name w:val="font61"/>
    <w:qFormat/>
    <w:uiPriority w:val="0"/>
    <w:rPr>
      <w:rFonts w:hint="eastAsia" w:ascii="宋体" w:hAnsi="宋体" w:eastAsia="宋体" w:cs="宋体"/>
      <w:color w:val="FF0000"/>
      <w:sz w:val="22"/>
      <w:szCs w:val="22"/>
      <w:u w:val="none"/>
    </w:rPr>
  </w:style>
  <w:style w:type="character" w:customStyle="1" w:styleId="57">
    <w:name w:val="font31"/>
    <w:basedOn w:val="32"/>
    <w:qFormat/>
    <w:uiPriority w:val="0"/>
    <w:rPr>
      <w:rFonts w:hint="eastAsia" w:ascii="宋体" w:hAnsi="宋体" w:eastAsia="宋体" w:cs="宋体"/>
      <w:color w:val="000000"/>
      <w:sz w:val="18"/>
      <w:szCs w:val="18"/>
      <w:u w:val="none"/>
    </w:rPr>
  </w:style>
  <w:style w:type="character" w:customStyle="1" w:styleId="58">
    <w:name w:val="纯文本 字符"/>
    <w:link w:val="15"/>
    <w:qFormat/>
    <w:uiPriority w:val="99"/>
    <w:rPr>
      <w:rFonts w:ascii="宋体" w:hAnsi="Courier New"/>
      <w:kern w:val="2"/>
      <w:sz w:val="21"/>
    </w:rPr>
  </w:style>
  <w:style w:type="character" w:customStyle="1" w:styleId="59">
    <w:name w:val="访问过的超链接1"/>
    <w:qFormat/>
    <w:uiPriority w:val="0"/>
    <w:rPr>
      <w:color w:val="333333"/>
      <w:u w:val="none"/>
    </w:rPr>
  </w:style>
  <w:style w:type="character" w:customStyle="1" w:styleId="60">
    <w:name w:val="font01"/>
    <w:qFormat/>
    <w:uiPriority w:val="0"/>
    <w:rPr>
      <w:rFonts w:hint="eastAsia" w:ascii="宋体" w:hAnsi="宋体" w:eastAsia="宋体" w:cs="宋体"/>
      <w:color w:val="000000"/>
      <w:sz w:val="22"/>
      <w:szCs w:val="22"/>
      <w:u w:val="none"/>
    </w:rPr>
  </w:style>
  <w:style w:type="character" w:customStyle="1" w:styleId="61">
    <w:name w:val="font21"/>
    <w:qFormat/>
    <w:uiPriority w:val="0"/>
    <w:rPr>
      <w:rFonts w:hint="default" w:ascii="Times New Roman" w:hAnsi="Times New Roman" w:cs="Times New Roman"/>
      <w:color w:val="000000"/>
      <w:sz w:val="18"/>
      <w:szCs w:val="18"/>
      <w:u w:val="none"/>
    </w:rPr>
  </w:style>
  <w:style w:type="paragraph" w:customStyle="1" w:styleId="62">
    <w:name w:val="p0"/>
    <w:basedOn w:val="1"/>
    <w:qFormat/>
    <w:uiPriority w:val="0"/>
    <w:pPr>
      <w:widowControl/>
    </w:pPr>
    <w:rPr>
      <w:rFonts w:ascii="Calibri" w:hAnsi="Calibri" w:cs="宋体"/>
      <w:kern w:val="0"/>
      <w:szCs w:val="21"/>
    </w:rPr>
  </w:style>
  <w:style w:type="paragraph" w:customStyle="1" w:styleId="63">
    <w:name w:val="List Paragraph1"/>
    <w:basedOn w:val="1"/>
    <w:qFormat/>
    <w:uiPriority w:val="0"/>
    <w:pPr>
      <w:ind w:firstLine="420" w:firstLineChars="200"/>
    </w:pPr>
  </w:style>
  <w:style w:type="paragraph" w:customStyle="1" w:styleId="64">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5">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6">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7">
    <w:name w:val="Char Char Char Char Char Char Char1 Char"/>
    <w:basedOn w:val="1"/>
    <w:qFormat/>
    <w:uiPriority w:val="0"/>
    <w:rPr>
      <w:rFonts w:ascii="Tahoma" w:hAnsi="Tahoma"/>
      <w:sz w:val="24"/>
      <w:szCs w:val="20"/>
    </w:rPr>
  </w:style>
  <w:style w:type="paragraph" w:styleId="68">
    <w:name w:val="List Paragraph"/>
    <w:basedOn w:val="1"/>
    <w:qFormat/>
    <w:uiPriority w:val="34"/>
    <w:pPr>
      <w:ind w:firstLine="420" w:firstLineChars="200"/>
    </w:pPr>
  </w:style>
  <w:style w:type="paragraph" w:customStyle="1" w:styleId="69">
    <w:name w:val="Char Char Char1 Char"/>
    <w:basedOn w:val="1"/>
    <w:qFormat/>
    <w:uiPriority w:val="0"/>
    <w:pPr>
      <w:spacing w:line="360" w:lineRule="auto"/>
      <w:ind w:firstLine="200" w:firstLineChars="200"/>
    </w:pPr>
    <w:rPr>
      <w:rFonts w:ascii="宋体" w:hAnsi="宋体" w:cs="宋体"/>
      <w:sz w:val="24"/>
    </w:rPr>
  </w:style>
  <w:style w:type="paragraph" w:customStyle="1" w:styleId="70">
    <w:name w:val="默认段落字体 Para Char Char Char Char Char Char Char Char Char Char"/>
    <w:basedOn w:val="1"/>
    <w:qFormat/>
    <w:uiPriority w:val="0"/>
    <w:pPr>
      <w:tabs>
        <w:tab w:val="right" w:pos="-2120"/>
      </w:tabs>
      <w:snapToGrid w:val="0"/>
    </w:pPr>
  </w:style>
  <w:style w:type="character" w:customStyle="1" w:styleId="71">
    <w:name w:val="generalinfo-address-text"/>
    <w:basedOn w:val="32"/>
    <w:qFormat/>
    <w:uiPriority w:val="0"/>
  </w:style>
  <w:style w:type="character" w:customStyle="1" w:styleId="72">
    <w:name w:val="正文文本 2 字符"/>
    <w:link w:val="24"/>
    <w:qFormat/>
    <w:uiPriority w:val="0"/>
    <w:rPr>
      <w:kern w:val="2"/>
      <w:sz w:val="21"/>
      <w:szCs w:val="24"/>
    </w:rPr>
  </w:style>
  <w:style w:type="character" w:customStyle="1" w:styleId="73">
    <w:name w:val="NormalCharacter"/>
    <w:qFormat/>
    <w:uiPriority w:val="0"/>
  </w:style>
  <w:style w:type="character" w:customStyle="1" w:styleId="74">
    <w:name w:val="页眉 字符"/>
    <w:link w:val="21"/>
    <w:qFormat/>
    <w:uiPriority w:val="99"/>
    <w:rPr>
      <w:kern w:val="2"/>
      <w:sz w:val="18"/>
      <w:szCs w:val="18"/>
    </w:rPr>
  </w:style>
  <w:style w:type="character" w:customStyle="1" w:styleId="75">
    <w:name w:val="页脚 字符"/>
    <w:link w:val="19"/>
    <w:qFormat/>
    <w:uiPriority w:val="99"/>
    <w:rPr>
      <w:kern w:val="2"/>
      <w:sz w:val="18"/>
      <w:szCs w:val="18"/>
    </w:rPr>
  </w:style>
  <w:style w:type="paragraph" w:customStyle="1" w:styleId="76">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7">
    <w:name w:val="contentlabel"/>
    <w:qFormat/>
    <w:uiPriority w:val="0"/>
  </w:style>
  <w:style w:type="paragraph" w:customStyle="1" w:styleId="78">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9">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0">
    <w:name w:val="icon_gys"/>
    <w:basedOn w:val="32"/>
    <w:qFormat/>
    <w:uiPriority w:val="0"/>
    <w:rPr>
      <w:sz w:val="21"/>
      <w:szCs w:val="21"/>
    </w:rPr>
  </w:style>
  <w:style w:type="character" w:customStyle="1" w:styleId="81">
    <w:name w:val="first-child"/>
    <w:basedOn w:val="32"/>
    <w:qFormat/>
    <w:uiPriority w:val="0"/>
    <w:rPr>
      <w:color w:val="1F3149"/>
      <w:sz w:val="24"/>
      <w:szCs w:val="24"/>
    </w:rPr>
  </w:style>
  <w:style w:type="character" w:customStyle="1" w:styleId="82">
    <w:name w:val="first-child1"/>
    <w:basedOn w:val="32"/>
    <w:qFormat/>
    <w:uiPriority w:val="0"/>
    <w:rPr>
      <w:color w:val="1F3149"/>
      <w:sz w:val="24"/>
      <w:szCs w:val="24"/>
    </w:rPr>
  </w:style>
  <w:style w:type="character" w:customStyle="1" w:styleId="83">
    <w:name w:val="xiadan"/>
    <w:basedOn w:val="32"/>
    <w:qFormat/>
    <w:uiPriority w:val="0"/>
    <w:rPr>
      <w:shd w:val="clear" w:color="auto" w:fill="E4393C"/>
    </w:rPr>
  </w:style>
  <w:style w:type="character" w:customStyle="1" w:styleId="84">
    <w:name w:val="fr"/>
    <w:basedOn w:val="32"/>
    <w:qFormat/>
    <w:uiPriority w:val="0"/>
  </w:style>
  <w:style w:type="character" w:customStyle="1" w:styleId="85">
    <w:name w:val="icon_ds"/>
    <w:basedOn w:val="32"/>
    <w:qFormat/>
    <w:uiPriority w:val="0"/>
  </w:style>
  <w:style w:type="paragraph" w:customStyle="1" w:styleId="86">
    <w:name w:val="正文1"/>
    <w:basedOn w:val="1"/>
    <w:qFormat/>
    <w:uiPriority w:val="0"/>
    <w:pPr>
      <w:widowControl/>
      <w:topLinePunct/>
      <w:spacing w:beforeLines="50" w:afterLines="50" w:line="300" w:lineRule="auto"/>
      <w:ind w:left="420"/>
    </w:pPr>
  </w:style>
  <w:style w:type="table" w:customStyle="1" w:styleId="87">
    <w:name w:val="Table Normal"/>
    <w:basedOn w:val="30"/>
    <w:semiHidden/>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88">
    <w:name w:val="前附表"/>
    <w:basedOn w:val="89"/>
    <w:qFormat/>
    <w:uiPriority w:val="0"/>
    <w:pPr>
      <w:spacing w:line="440" w:lineRule="exact"/>
      <w:ind w:left="50" w:leftChars="50" w:right="50" w:rightChars="50" w:firstLine="0" w:firstLineChars="0"/>
      <w:jc w:val="left"/>
    </w:pPr>
    <w:rPr>
      <w:rFonts w:cs="宋体"/>
      <w:color w:val="000000"/>
      <w:kern w:val="0"/>
      <w:sz w:val="21"/>
      <w:szCs w:val="21"/>
    </w:rPr>
  </w:style>
  <w:style w:type="paragraph" w:customStyle="1" w:styleId="89">
    <w:name w:val="正文样式"/>
    <w:basedOn w:val="1"/>
    <w:qFormat/>
    <w:uiPriority w:val="0"/>
  </w:style>
  <w:style w:type="paragraph" w:customStyle="1" w:styleId="90">
    <w:name w:val="Table Text"/>
    <w:basedOn w:val="1"/>
    <w:semiHidden/>
    <w:qFormat/>
    <w:uiPriority w:val="0"/>
    <w:rPr>
      <w:rFonts w:ascii="宋体" w:hAnsi="宋体" w:eastAsia="宋体" w:cs="宋体"/>
      <w:sz w:val="20"/>
      <w:szCs w:val="20"/>
      <w:lang w:val="en-US" w:eastAsia="en-US" w:bidi="ar-SA"/>
    </w:rPr>
  </w:style>
  <w:style w:type="character" w:customStyle="1" w:styleId="91">
    <w:name w:val="font41"/>
    <w:basedOn w:val="32"/>
    <w:qFormat/>
    <w:uiPriority w:val="0"/>
    <w:rPr>
      <w:rFonts w:hint="eastAsia" w:ascii="宋体" w:hAnsi="宋体" w:eastAsia="宋体" w:cs="宋体"/>
      <w:b/>
      <w:bCs/>
      <w:color w:val="000000"/>
      <w:sz w:val="24"/>
      <w:szCs w:val="24"/>
      <w:u w:val="none"/>
    </w:rPr>
  </w:style>
  <w:style w:type="character" w:customStyle="1" w:styleId="92">
    <w:name w:val="font51"/>
    <w:basedOn w:val="32"/>
    <w:qFormat/>
    <w:uiPriority w:val="0"/>
    <w:rPr>
      <w:rFonts w:ascii="Arial" w:hAnsi="Arial" w:cs="Arial"/>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9"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46</Pages>
  <Words>3327</Words>
  <Characters>3617</Characters>
  <Lines>146</Lines>
  <Paragraphs>41</Paragraphs>
  <TotalTime>11</TotalTime>
  <ScaleCrop>false</ScaleCrop>
  <LinksUpToDate>false</LinksUpToDate>
  <CharactersWithSpaces>3831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Administrator</cp:lastModifiedBy>
  <cp:lastPrinted>2024-03-20T01:10:00Z</cp:lastPrinted>
  <dcterms:modified xsi:type="dcterms:W3CDTF">2025-05-28T06:54:54Z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3F3AEF60031F459BB45F1EB8C7A16E06</vt:lpwstr>
  </property>
  <property fmtid="{D5CDD505-2E9C-101B-9397-08002B2CF9AE}" pid="4" name="KSOTemplateDocerSaveRecord">
    <vt:lpwstr>eyJoZGlkIjoiMWQ5NTFkZjg3ZTFjOWE3NmM0NWZmYWUyYjc2ODE4NjMifQ==</vt:lpwstr>
  </property>
</Properties>
</file>